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174F8" w14:textId="24564769" w:rsidR="00E42E4C" w:rsidRDefault="00254BC4" w:rsidP="00254BC4">
      <w:pPr>
        <w:pStyle w:val="Heading2"/>
      </w:pPr>
      <w:r>
        <w:t>1</w:t>
      </w:r>
    </w:p>
    <w:p w14:paraId="0B27E743" w14:textId="77777777" w:rsidR="00254BC4" w:rsidRDefault="00254BC4" w:rsidP="00254BC4">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14DFBCE6" w14:textId="77777777" w:rsidR="00254BC4" w:rsidRDefault="00254BC4" w:rsidP="00254BC4">
      <w:pPr>
        <w:pStyle w:val="Heading4"/>
      </w:pPr>
      <w:r>
        <w:t>Ethics must begin a priori:</w:t>
      </w:r>
    </w:p>
    <w:p w14:paraId="665E88F0" w14:textId="77777777" w:rsidR="00254BC4" w:rsidRDefault="00254BC4" w:rsidP="00254BC4">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53B840AB" w14:textId="77777777" w:rsidR="00254BC4" w:rsidRDefault="00254BC4" w:rsidP="00254BC4">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5E95C606" w14:textId="77777777" w:rsidR="00254BC4" w:rsidRDefault="00254BC4" w:rsidP="00254BC4">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32DAAF38" w14:textId="77777777" w:rsidR="00254BC4" w:rsidRDefault="00254BC4" w:rsidP="00254BC4">
      <w:pPr>
        <w:pStyle w:val="Heading4"/>
      </w:pPr>
      <w:r w:rsidRPr="000A5608">
        <w:t xml:space="preserve">Thus, the standard is consistency with the categorical imperative. </w:t>
      </w:r>
    </w:p>
    <w:p w14:paraId="0A80C56C" w14:textId="7B00E1A6" w:rsidR="00254BC4" w:rsidRDefault="00254BC4" w:rsidP="00254BC4">
      <w:pPr>
        <w:pStyle w:val="Heading4"/>
      </w:pPr>
      <w:r w:rsidRPr="006D7903">
        <w:rPr>
          <w:rFonts w:cs="Calibri"/>
        </w:rPr>
        <w:t xml:space="preserve">Prefer the standard: [a] </w:t>
      </w:r>
      <w:r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[b]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2E0D6BB4" w14:textId="77777777" w:rsidR="00DB5CD0" w:rsidRPr="00CE11B7" w:rsidRDefault="00DB5CD0" w:rsidP="00DB5CD0">
      <w:pPr>
        <w:pStyle w:val="Heading4"/>
      </w:pPr>
      <w:r w:rsidRPr="00CE11B7">
        <w:t>Only universalizable reason can effectively explain the perspectives of agents – that’s the best method for combatting oppression</w:t>
      </w:r>
      <w:r>
        <w:t>.</w:t>
      </w:r>
    </w:p>
    <w:p w14:paraId="53E99442" w14:textId="77777777" w:rsidR="00DB5CD0" w:rsidRPr="00426666" w:rsidRDefault="00DB5CD0" w:rsidP="00DB5CD0">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42E986D6" w14:textId="77777777" w:rsidR="00DB5CD0" w:rsidRDefault="00DB5CD0" w:rsidP="00DB5CD0">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 xml:space="preserve">the </w:t>
      </w:r>
      <w:r w:rsidRPr="00CE11B7">
        <w:rPr>
          <w:rFonts w:asciiTheme="majorHAnsi" w:hAnsiTheme="majorHAnsi" w:cstheme="majorHAnsi"/>
          <w:b/>
          <w:u w:val="single"/>
        </w:rPr>
        <w:lastRenderedPageBreak/>
        <w:t>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429EC2C0" w14:textId="77777777" w:rsidR="00632AEA" w:rsidRDefault="00632AEA" w:rsidP="00632AEA">
      <w:pPr>
        <w:pStyle w:val="Heading4"/>
        <w:rPr>
          <w:color w:val="000000" w:themeColor="text1"/>
        </w:rPr>
      </w:pPr>
      <w:r w:rsidRPr="00B50399">
        <w:t>Reject</w:t>
      </w:r>
      <w:r>
        <w:t xml:space="preserve"> non</w:t>
      </w:r>
      <w:r w:rsidRPr="00B50399">
        <w:t xml:space="preserve"> ideal theory/abstraction Ks [</w:t>
      </w:r>
      <w:r>
        <w:t>a</w:t>
      </w:r>
      <w:r w:rsidRPr="00B50399">
        <w:t xml:space="preserve">] The Ks do not posit an alternative ethical theory so the problem is just non </w:t>
      </w:r>
      <w:proofErr w:type="spellStart"/>
      <w:r w:rsidRPr="00B50399">
        <w:t>unq</w:t>
      </w:r>
      <w:proofErr w:type="spellEnd"/>
      <w:r w:rsidRPr="00B50399">
        <w:t xml:space="preserve"> [</w:t>
      </w:r>
      <w:r>
        <w:t>b</w:t>
      </w:r>
      <w:r w:rsidRPr="00B50399">
        <w:t xml:space="preserve">] Consequences are much worse because they cannot condemn any action as wrong </w:t>
      </w:r>
      <w:proofErr w:type="spellStart"/>
      <w:r w:rsidRPr="00B50399">
        <w:t>ie</w:t>
      </w:r>
      <w:proofErr w:type="spellEnd"/>
      <w:r w:rsidRPr="00B50399">
        <w:t xml:space="preserve"> there can a consequence where slavery is good so long as it is good the majority which means they are worse [</w:t>
      </w:r>
      <w:r>
        <w:t>c</w:t>
      </w:r>
      <w:r w:rsidRPr="00B50399">
        <w:t>] They are inherently bite back into ideal theory because they appeal to ideals of equality where oppressed are no longer oppressed which also means they needs so sort of ideal to measure progress [</w:t>
      </w:r>
      <w:r>
        <w:t>d</w:t>
      </w:r>
      <w:r w:rsidRPr="00B50399">
        <w:t>] Totally abandoning ethics is bad because then it results in ethical egoism which we all have our one personal set of ethics which would justify white supremacist doing racist stuff because we don’t have a universal way to condemn bad things</w:t>
      </w:r>
    </w:p>
    <w:p w14:paraId="6BDD90EB" w14:textId="77777777" w:rsidR="00DB5CD0" w:rsidRPr="00DB5CD0" w:rsidRDefault="00DB5CD0" w:rsidP="00DB5CD0"/>
    <w:p w14:paraId="1CFE5945" w14:textId="5BBB3186" w:rsidR="00254BC4" w:rsidRDefault="00254BC4" w:rsidP="00254BC4">
      <w:r>
        <w:t>Negate</w:t>
      </w:r>
    </w:p>
    <w:p w14:paraId="3767BA05" w14:textId="77777777" w:rsidR="00254BC4" w:rsidRPr="00A057DB" w:rsidRDefault="00254BC4" w:rsidP="00254BC4">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21583194" w14:textId="77777777" w:rsidR="00254BC4" w:rsidRPr="00E45605" w:rsidRDefault="00254BC4" w:rsidP="00254BC4">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Cookie JX</w:t>
      </w:r>
    </w:p>
    <w:p w14:paraId="4F72B37C" w14:textId="77777777" w:rsidR="00254BC4" w:rsidRDefault="00254BC4" w:rsidP="00254BC4">
      <w:pPr>
        <w:rPr>
          <w:sz w:val="16"/>
        </w:rPr>
      </w:pPr>
      <w:r w:rsidRPr="006F1739">
        <w:rPr>
          <w:sz w:val="16"/>
        </w:rPr>
        <w:lastRenderedPageBreak/>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t>
      </w:r>
      <w:proofErr w:type="gramStart"/>
      <w:r w:rsidRPr="006F1739">
        <w:rPr>
          <w:sz w:val="16"/>
        </w:rPr>
        <w:t>with regard to</w:t>
      </w:r>
      <w:proofErr w:type="gramEnd"/>
      <w:r w:rsidRPr="006F1739">
        <w:rPr>
          <w:sz w:val="16"/>
        </w:rPr>
        <w:t xml:space="preserve">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w:t>
      </w:r>
      <w:proofErr w:type="gramStart"/>
      <w:r w:rsidRPr="006F1739">
        <w:rPr>
          <w:sz w:val="16"/>
        </w:rPr>
        <w:t>In particular, Fichte</w:t>
      </w:r>
      <w:proofErr w:type="gramEnd"/>
      <w:r w:rsidRPr="006F1739">
        <w:rPr>
          <w:sz w:val="16"/>
        </w:rPr>
        <w:t xml:space="preserv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w:t>
      </w:r>
      <w:r w:rsidRPr="006F1739">
        <w:rPr>
          <w:sz w:val="16"/>
        </w:rPr>
        <w:lastRenderedPageBreak/>
        <w:t xml:space="preserve">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3E9B7A70" w14:textId="21790CE1" w:rsidR="00254BC4" w:rsidRPr="00A057DB" w:rsidRDefault="00254BC4" w:rsidP="00254BC4">
      <w:pPr>
        <w:pStyle w:val="Heading4"/>
        <w:spacing w:before="240"/>
        <w:rPr>
          <w:u w:val="single"/>
        </w:rPr>
      </w:pPr>
      <w:r>
        <w:t>2</w:t>
      </w:r>
      <w:r>
        <w:t xml:space="preserve">]The </w:t>
      </w:r>
      <w:proofErr w:type="spellStart"/>
      <w:r>
        <w:t>aff</w:t>
      </w:r>
      <w:proofErr w:type="spellEnd"/>
      <w:r>
        <w:t xml:space="preserve"> encourages free riding- that treats people as </w:t>
      </w:r>
      <w:r>
        <w:softHyphen/>
      </w:r>
      <w:r>
        <w:rPr>
          <w:u w:val="single"/>
        </w:rPr>
        <w:t>means to an end</w:t>
      </w:r>
      <w:r>
        <w:t xml:space="preserve"> and takes advantage of their efforts which violates </w:t>
      </w:r>
      <w:r>
        <w:rPr>
          <w:u w:val="single"/>
        </w:rPr>
        <w:t>the principle of humanity</w:t>
      </w:r>
    </w:p>
    <w:p w14:paraId="6DB4FB0B" w14:textId="77777777" w:rsidR="00254BC4" w:rsidRPr="00D6603B" w:rsidRDefault="00254BC4" w:rsidP="00254BC4">
      <w:r w:rsidRPr="001E5989">
        <w:rPr>
          <w:rFonts w:eastAsiaTheme="majorEastAsia" w:cstheme="majorBidi"/>
          <w:b/>
          <w:bCs/>
          <w:sz w:val="26"/>
        </w:rPr>
        <w:t xml:space="preserve">Van Dyke </w:t>
      </w:r>
      <w:r>
        <w:rPr>
          <w:rFonts w:eastAsiaTheme="majorEastAsia" w:cstheme="majorBidi"/>
          <w:b/>
          <w:bCs/>
          <w:sz w:val="26"/>
        </w:rPr>
        <w:t>2</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9" w:history="1">
        <w:r w:rsidRPr="005523C8">
          <w:rPr>
            <w:rStyle w:val="Hyperlink"/>
          </w:rPr>
          <w:t>https://www.ipwatchdog.com/2018/07/17/categorical-imperative-innovation-patenting/id=99178/</w:t>
        </w:r>
      </w:hyperlink>
      <w:r>
        <w:t xml:space="preserve"> SJ//DA recut SJKS</w:t>
      </w:r>
    </w:p>
    <w:p w14:paraId="530FC576" w14:textId="77777777" w:rsidR="00254BC4" w:rsidRDefault="00254BC4" w:rsidP="00254BC4">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w:t>
      </w:r>
      <w:proofErr w:type="gramStart"/>
      <w:r w:rsidRPr="0027259A">
        <w:rPr>
          <w:b/>
          <w:bCs/>
          <w:u w:val="single"/>
        </w:rPr>
        <w:t>content</w:t>
      </w:r>
      <w:proofErr w:type="gramEnd"/>
      <w:r w:rsidRPr="0027259A">
        <w:rPr>
          <w:b/>
          <w:bCs/>
          <w:u w:val="single"/>
        </w:rPr>
        <w:t xml:space="preserve">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1F17326F" w14:textId="77777777" w:rsidR="00254BC4" w:rsidRDefault="00254BC4" w:rsidP="00254BC4">
      <w:pPr>
        <w:rPr>
          <w:sz w:val="14"/>
        </w:rPr>
      </w:pPr>
    </w:p>
    <w:p w14:paraId="57F69BBF" w14:textId="77777777" w:rsidR="00254BC4" w:rsidRDefault="00254BC4" w:rsidP="00254BC4">
      <w:pPr>
        <w:pStyle w:val="Heading4"/>
      </w:pPr>
      <w:r>
        <w:t xml:space="preserve">IPs are a necessary check on companies </w:t>
      </w:r>
      <w:proofErr w:type="gramStart"/>
      <w:r>
        <w:t>free-riding</w:t>
      </w:r>
      <w:proofErr w:type="gramEnd"/>
      <w:r>
        <w:t xml:space="preserve"> off associations of </w:t>
      </w:r>
      <w:r w:rsidRPr="00ED4EFF">
        <w:rPr>
          <w:u w:val="single"/>
        </w:rPr>
        <w:t>quality</w:t>
      </w:r>
      <w:r>
        <w:t>.</w:t>
      </w:r>
    </w:p>
    <w:p w14:paraId="2AC1DCE8" w14:textId="77777777" w:rsidR="00254BC4" w:rsidRPr="00ED4EFF" w:rsidRDefault="00254BC4" w:rsidP="00254BC4">
      <w:r w:rsidRPr="00ED4EFF">
        <w:rPr>
          <w:rStyle w:val="Style13ptBold"/>
        </w:rPr>
        <w:t>Wong et al 20</w:t>
      </w:r>
      <w:r>
        <w:t xml:space="preserve"> [Liana, Ian, and </w:t>
      </w:r>
      <w:proofErr w:type="spellStart"/>
      <w:r>
        <w:t>Shayerah</w:t>
      </w:r>
      <w:proofErr w:type="spellEnd"/>
      <w:r>
        <w:t>;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10" w:history="1">
        <w:r w:rsidRPr="00E41138">
          <w:rPr>
            <w:rStyle w:val="Hyperlink"/>
          </w:rPr>
          <w:t>https://www.everycrsreport.com/files/20200512_RL34292_2023354cc06b0a4425a2c5e02c0b13024426d206.pdf</w:t>
        </w:r>
      </w:hyperlink>
      <w:r>
        <w:t>] Justin</w:t>
      </w:r>
    </w:p>
    <w:p w14:paraId="6A44870C" w14:textId="77777777" w:rsidR="00254BC4" w:rsidRPr="00ED4EFF" w:rsidRDefault="00254BC4" w:rsidP="00254BC4">
      <w:pPr>
        <w:rPr>
          <w:sz w:val="16"/>
        </w:rPr>
      </w:pPr>
      <w:r w:rsidRPr="00ED4EFF">
        <w:rPr>
          <w:sz w:val="16"/>
        </w:rPr>
        <w:lastRenderedPageBreak/>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61FDBE3C" w14:textId="77777777" w:rsidR="00254BC4" w:rsidRDefault="00254BC4" w:rsidP="00254BC4">
      <w:pPr>
        <w:rPr>
          <w:sz w:val="16"/>
        </w:rPr>
      </w:pPr>
      <w:r w:rsidRPr="00ED4EFF">
        <w:rPr>
          <w:sz w:val="16"/>
        </w:rPr>
        <w:t xml:space="preserve">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w:t>
      </w:r>
      <w:proofErr w:type="gramStart"/>
      <w:r w:rsidRPr="00ED4EFF">
        <w:rPr>
          <w:sz w:val="16"/>
        </w:rPr>
        <w:t>similar to</w:t>
      </w:r>
      <w:proofErr w:type="gramEnd"/>
      <w:r w:rsidRPr="00ED4EFF">
        <w:rPr>
          <w:sz w:val="16"/>
        </w:rPr>
        <w:t xml:space="preserve"> trademark registration.</w:t>
      </w:r>
    </w:p>
    <w:p w14:paraId="5E77ECB2" w14:textId="77777777" w:rsidR="00254BC4" w:rsidRDefault="00254BC4" w:rsidP="00254BC4">
      <w:pPr>
        <w:rPr>
          <w:sz w:val="14"/>
        </w:rPr>
      </w:pPr>
    </w:p>
    <w:p w14:paraId="7E5C8924" w14:textId="77777777" w:rsidR="00254BC4" w:rsidRPr="00A057DB" w:rsidRDefault="00254BC4" w:rsidP="00254BC4"/>
    <w:p w14:paraId="092873D1" w14:textId="77777777" w:rsidR="00254BC4" w:rsidRPr="00254BC4" w:rsidRDefault="00254BC4" w:rsidP="00254BC4"/>
    <w:p w14:paraId="1C88F516" w14:textId="20627F8F" w:rsidR="00254BC4" w:rsidRDefault="00254BC4" w:rsidP="00254BC4">
      <w:pPr>
        <w:pStyle w:val="Heading2"/>
      </w:pPr>
      <w:r>
        <w:lastRenderedPageBreak/>
        <w:t>2</w:t>
      </w:r>
    </w:p>
    <w:p w14:paraId="174AD7FE" w14:textId="77777777" w:rsidR="00254BC4" w:rsidRPr="006C434D" w:rsidRDefault="00254BC4" w:rsidP="00254BC4">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member nations of the World Trade Organization ought to reduce intellectual property protections for a medicine or subset of medicines.  </w:t>
      </w:r>
    </w:p>
    <w:p w14:paraId="2D4CE365" w14:textId="77777777" w:rsidR="00254BC4" w:rsidRDefault="00254BC4" w:rsidP="00254BC4">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11"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79BC7567" w14:textId="77777777" w:rsidR="00254BC4" w:rsidRPr="00EB1E45" w:rsidRDefault="00254BC4" w:rsidP="00254BC4">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proofErr w:type="gramStart"/>
      <w:r w:rsidRPr="00AB3A99">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4DF0D6D8" w14:textId="77777777" w:rsidR="00254BC4" w:rsidRPr="00EB1E45" w:rsidRDefault="00254BC4" w:rsidP="00254BC4">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2B6F0200" w14:textId="77777777" w:rsidR="00254BC4" w:rsidRPr="00EB1E45" w:rsidRDefault="00254BC4" w:rsidP="00254BC4">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5CAC7232" w14:textId="77777777" w:rsidR="00254BC4" w:rsidRPr="003072EF" w:rsidRDefault="00254BC4" w:rsidP="00254BC4">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5EA5CAD8" w14:textId="77777777" w:rsidR="00254BC4" w:rsidRPr="00553C4E" w:rsidRDefault="00254BC4" w:rsidP="00254BC4">
      <w:r w:rsidRPr="00553C4E">
        <w:t xml:space="preserve">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t>
      </w:r>
      <w:proofErr w:type="gramStart"/>
      <w:r w:rsidRPr="00553C4E">
        <w:t>were</w:t>
      </w:r>
      <w:proofErr w:type="gramEnd"/>
      <w:r w:rsidRPr="00553C4E">
        <w:t xml:space="preserv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1963A2C7" w14:textId="77777777" w:rsidR="00254BC4" w:rsidRPr="009140CF" w:rsidRDefault="00254BC4" w:rsidP="00254BC4">
      <w:pPr>
        <w:rPr>
          <w:rStyle w:val="StyleUnderline"/>
        </w:rPr>
      </w:pPr>
      <w:r w:rsidRPr="00553C4E">
        <w:rPr>
          <w:rStyle w:val="StyleUnderline"/>
        </w:rPr>
        <w:lastRenderedPageBreak/>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2"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1E686BC2" w14:textId="77777777" w:rsidR="00254BC4" w:rsidRPr="00D222A7" w:rsidRDefault="00254BC4" w:rsidP="00254BC4">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26FAC58C" w14:textId="77777777" w:rsidR="00254BC4" w:rsidRPr="00273B19" w:rsidRDefault="00254BC4" w:rsidP="00254BC4">
      <w:pPr>
        <w:pStyle w:val="Heading4"/>
        <w:rPr>
          <w:rFonts w:cs="Calibri"/>
        </w:rPr>
      </w:pPr>
      <w:r>
        <w:rPr>
          <w:rFonts w:cs="Calibri"/>
        </w:rPr>
        <w:lastRenderedPageBreak/>
        <w:t xml:space="preserve">It applies to “medicines” – 1] upward entailment test – “member nations of the World Trade Organization ought to reduce intellectual property protections for medicines” doesn’t entail that member nations of the WTO ought to reduce IPP for drugs because it doesn’t prove that marijuana protections should be reduced 2] adverb test – adding </w:t>
      </w:r>
      <w:r>
        <w:t>“always” to the res doesn’t substantially change its meaning because reduce is permanent.</w:t>
      </w:r>
    </w:p>
    <w:p w14:paraId="7D795E0D" w14:textId="77777777" w:rsidR="00254BC4" w:rsidRDefault="00254BC4" w:rsidP="00254BC4">
      <w:pPr>
        <w:pStyle w:val="Heading4"/>
      </w:pPr>
      <w:r>
        <w:t>Violation: They spec ______</w:t>
      </w:r>
    </w:p>
    <w:p w14:paraId="341A22E4" w14:textId="77777777" w:rsidR="00254BC4" w:rsidRPr="00A353FF" w:rsidRDefault="00254BC4" w:rsidP="00254BC4">
      <w:pPr>
        <w:pStyle w:val="Heading4"/>
      </w:pPr>
      <w:r w:rsidRPr="00A353FF">
        <w:t>Standards:</w:t>
      </w:r>
    </w:p>
    <w:p w14:paraId="69B95C91" w14:textId="77777777" w:rsidR="00254BC4" w:rsidRPr="007E7B26" w:rsidRDefault="00254BC4" w:rsidP="00254BC4">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07211B6B" w14:textId="77777777" w:rsidR="00254BC4" w:rsidRPr="005F3BCD" w:rsidRDefault="00254BC4" w:rsidP="00254BC4">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r>
        <w:t>Covid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medicines</w:t>
      </w:r>
      <w:r w:rsidRPr="005F3BCD">
        <w:t xml:space="preserve"> which are some of the few neg generics when </w:t>
      </w:r>
      <w:proofErr w:type="spellStart"/>
      <w:r w:rsidRPr="005F3BCD">
        <w:t>affs</w:t>
      </w:r>
      <w:proofErr w:type="spellEnd"/>
      <w:r w:rsidRPr="005F3BCD">
        <w:t xml:space="preserve"> spec </w:t>
      </w:r>
      <w:r>
        <w:t>medicines</w:t>
      </w:r>
      <w:r w:rsidRPr="005F3BCD">
        <w:t>.</w:t>
      </w:r>
    </w:p>
    <w:p w14:paraId="1C258B33" w14:textId="77777777" w:rsidR="00254BC4" w:rsidRPr="007E7B26" w:rsidRDefault="00254BC4" w:rsidP="00254BC4">
      <w:pPr>
        <w:pStyle w:val="Heading4"/>
      </w:pPr>
      <w:r w:rsidRPr="005F3BCD">
        <w:t>[</w:t>
      </w:r>
      <w:r>
        <w:t>3</w:t>
      </w:r>
      <w:r w:rsidRPr="005F3BCD">
        <w:t xml:space="preserve">] </w:t>
      </w:r>
      <w:r>
        <w:t>TVA solves – you could’ve read your plan as an advantage under a whole res advocacy.</w:t>
      </w:r>
    </w:p>
    <w:p w14:paraId="6759E743" w14:textId="77777777" w:rsidR="00254BC4" w:rsidRDefault="00254BC4" w:rsidP="00254BC4">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F09D6F8" w14:textId="77777777" w:rsidR="00254BC4" w:rsidRDefault="00254BC4" w:rsidP="00254BC4">
      <w:pPr>
        <w:pStyle w:val="Heading4"/>
      </w:pPr>
      <w:r>
        <w:t>Drop the debater – a] deter future abuse and b] set better norms for debate.</w:t>
      </w:r>
    </w:p>
    <w:p w14:paraId="3788DBEF" w14:textId="77777777" w:rsidR="00254BC4" w:rsidRDefault="00254BC4" w:rsidP="00254BC4">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186A32C6" w14:textId="21269C4A" w:rsidR="00254BC4" w:rsidRDefault="00254BC4" w:rsidP="00254BC4">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1A24F800" w14:textId="3D917EE7" w:rsidR="00254BC4" w:rsidRDefault="00254BC4" w:rsidP="00254BC4">
      <w:pPr>
        <w:pStyle w:val="Heading2"/>
      </w:pPr>
      <w:r>
        <w:lastRenderedPageBreak/>
        <w:t>Case</w:t>
      </w:r>
    </w:p>
    <w:p w14:paraId="4BAA1DC2" w14:textId="77777777" w:rsidR="00DB5CD0" w:rsidRPr="009658E4" w:rsidRDefault="00DB5CD0" w:rsidP="00DB5CD0">
      <w:pPr>
        <w:pStyle w:val="Heading4"/>
      </w:pPr>
      <w:r>
        <w:t>Under consequentialism any action would be permissible.</w:t>
      </w:r>
    </w:p>
    <w:p w14:paraId="58447D2F" w14:textId="77777777" w:rsidR="00DB5CD0" w:rsidRDefault="00DB5CD0" w:rsidP="00DB5CD0">
      <w:pPr>
        <w:pStyle w:val="Heading4"/>
      </w:pPr>
      <w:r>
        <w:t xml:space="preserve">[1] Induction fails—past experiences have no effect on causality; the proposition that the moon comes up every night is not warranted by the fact that the moon appeared in the night sky last night. </w:t>
      </w:r>
      <w:r w:rsidRPr="006C5E38">
        <w:t>Induction is circular because it relies on the assumption that nature will hold uniform and we could only reach that conclusion through inductive reasoning based on observation of past events.</w:t>
      </w:r>
    </w:p>
    <w:p w14:paraId="56834884" w14:textId="77777777" w:rsidR="00DB5CD0" w:rsidRDefault="00DB5CD0" w:rsidP="00DB5CD0">
      <w:pPr>
        <w:pStyle w:val="Heading4"/>
      </w:pPr>
      <w:r>
        <w:t>Takes out their offense since its predicated on using past experiences.</w:t>
      </w:r>
    </w:p>
    <w:p w14:paraId="0581E4FF" w14:textId="77777777" w:rsidR="00DB5CD0" w:rsidRDefault="00DB5CD0" w:rsidP="00DB5CD0">
      <w:pPr>
        <w:pStyle w:val="Heading4"/>
      </w:pPr>
      <w:r>
        <w:t>[2] Aggregation fails—suffering is not additive; our concern for other people is motivated by awareness for what they experience, not by attaching an objective value to them. Suffering is only experienced by individuals; there is no being that experiences the combined suffering of many people, just like many headaches don’t add up to a migraine. This denies consequentialism’s premise that suffering can be quantified and compared.</w:t>
      </w:r>
    </w:p>
    <w:p w14:paraId="11BE46AD" w14:textId="77777777" w:rsidR="00DB5CD0" w:rsidRPr="00DB5CD0" w:rsidRDefault="00DB5CD0" w:rsidP="00DB5CD0"/>
    <w:p w14:paraId="70ABA692" w14:textId="77777777" w:rsidR="00254BC4" w:rsidRPr="00DE1EB8" w:rsidRDefault="00254BC4" w:rsidP="00254BC4">
      <w:pPr>
        <w:pStyle w:val="Heading4"/>
      </w:pPr>
      <w:r w:rsidRPr="00DE1EB8">
        <w:t xml:space="preserve">The </w:t>
      </w:r>
      <w:proofErr w:type="spellStart"/>
      <w:r w:rsidRPr="00DE1EB8">
        <w:t>aff</w:t>
      </w:r>
      <w:proofErr w:type="spellEnd"/>
      <w:r w:rsidRPr="00DE1EB8">
        <w:t xml:space="preserve"> actively reconciles settler colonialism which kills decolonization and rescues settler futurity.</w:t>
      </w:r>
    </w:p>
    <w:p w14:paraId="0422201C" w14:textId="77777777" w:rsidR="00254BC4" w:rsidRPr="00DE1EB8" w:rsidRDefault="00254BC4" w:rsidP="00254BC4">
      <w:pPr>
        <w:rPr>
          <w:color w:val="000000" w:themeColor="text1"/>
        </w:rPr>
      </w:pPr>
      <w:r w:rsidRPr="00DE1EB8">
        <w:rPr>
          <w:rStyle w:val="Style13ptBold"/>
          <w:color w:val="000000" w:themeColor="text1"/>
        </w:rPr>
        <w:t>Tuck and Yang 12</w:t>
      </w:r>
      <w:r w:rsidRPr="00DE1EB8">
        <w:rPr>
          <w:color w:val="000000" w:themeColor="text1"/>
        </w:rPr>
        <w:t xml:space="preserve"> </w:t>
      </w:r>
      <w:r w:rsidRPr="00DE1EB8">
        <w:rPr>
          <w:color w:val="000000" w:themeColor="text1"/>
          <w:sz w:val="16"/>
          <w:szCs w:val="18"/>
        </w:rPr>
        <w:t>Eve Tuck and K. Wayne Yang, 2012, “Decolonization is not a metaphor,” Decolonization: Indigeneity, Education &amp; Society, SJBE</w:t>
      </w:r>
    </w:p>
    <w:p w14:paraId="2C368965" w14:textId="77777777" w:rsidR="00254BC4" w:rsidRPr="00DE1EB8" w:rsidRDefault="00254BC4" w:rsidP="00254BC4">
      <w:pPr>
        <w:rPr>
          <w:sz w:val="16"/>
        </w:rPr>
      </w:pPr>
      <w:r w:rsidRPr="00DE1EB8">
        <w:rPr>
          <w:sz w:val="16"/>
        </w:rPr>
        <w:t xml:space="preserve">Alongside this work, we have been thinking about what decolonization means, what it wants and requires. One trend we have noticed, with growing apprehension, is the ease with which </w:t>
      </w:r>
      <w:r w:rsidRPr="00DE1EB8">
        <w:rPr>
          <w:rStyle w:val="Emphasis"/>
        </w:rPr>
        <w:t xml:space="preserve">the language of decolonization has been superficially adopted into education and other social sciences, </w:t>
      </w:r>
      <w:r w:rsidRPr="00DE1EB8">
        <w:rPr>
          <w:rStyle w:val="Emphasis"/>
          <w:highlight w:val="green"/>
        </w:rPr>
        <w:t>supplanting</w:t>
      </w:r>
      <w:r w:rsidRPr="00DE1EB8">
        <w:rPr>
          <w:rStyle w:val="Emphasis"/>
        </w:rPr>
        <w:t xml:space="preserve"> prior </w:t>
      </w:r>
      <w:r w:rsidRPr="00DE1EB8">
        <w:rPr>
          <w:rStyle w:val="Emphasis"/>
          <w:highlight w:val="green"/>
        </w:rPr>
        <w:t>ways of talking about social justice</w:t>
      </w:r>
      <w:r w:rsidRPr="00DE1EB8">
        <w:rPr>
          <w:rStyle w:val="Emphasis"/>
        </w:rPr>
        <w:t>, critical methodologies, or approaches which decenter settler perspectives.</w:t>
      </w:r>
      <w:r w:rsidRPr="00DE1EB8">
        <w:rPr>
          <w:sz w:val="16"/>
        </w:rPr>
        <w:t xml:space="preserve"> </w:t>
      </w:r>
      <w:r w:rsidRPr="00DE1EB8">
        <w:rPr>
          <w:rStyle w:val="Emphasis"/>
        </w:rPr>
        <w:t>Decolonization</w:t>
      </w:r>
      <w:r w:rsidRPr="00DE1EB8">
        <w:rPr>
          <w:sz w:val="16"/>
        </w:rPr>
        <w:t xml:space="preserve">, which we assert is a distinct project from other civil and human rights-based social justice projects, </w:t>
      </w:r>
      <w:r w:rsidRPr="00DE1EB8">
        <w:rPr>
          <w:rStyle w:val="Emphasis"/>
        </w:rPr>
        <w:t xml:space="preserve">is far too often subsumed into the directives of these projects, </w:t>
      </w:r>
      <w:r w:rsidRPr="00DE1EB8">
        <w:rPr>
          <w:rStyle w:val="Emphasis"/>
          <w:highlight w:val="green"/>
        </w:rPr>
        <w:t>with no regard for how decolonization</w:t>
      </w:r>
      <w:r w:rsidRPr="00DE1EB8">
        <w:rPr>
          <w:rStyle w:val="Emphasis"/>
        </w:rPr>
        <w:t xml:space="preserve"> </w:t>
      </w:r>
      <w:r w:rsidRPr="00DE1EB8">
        <w:rPr>
          <w:rStyle w:val="Emphasis"/>
          <w:highlight w:val="green"/>
        </w:rPr>
        <w:t>wants something different</w:t>
      </w:r>
      <w:r w:rsidRPr="00DE1EB8">
        <w:rPr>
          <w:rStyle w:val="Emphasis"/>
        </w:rPr>
        <w:t xml:space="preserve"> than those forms of justice.</w:t>
      </w:r>
      <w:r w:rsidRPr="00DE1EB8">
        <w:rPr>
          <w:sz w:val="16"/>
        </w:rPr>
        <w:t xml:space="preserve"> Settler scholars swap out prior civil and human </w:t>
      </w:r>
      <w:proofErr w:type="gramStart"/>
      <w:r w:rsidRPr="00DE1EB8">
        <w:rPr>
          <w:sz w:val="16"/>
        </w:rPr>
        <w:t>rights based</w:t>
      </w:r>
      <w:proofErr w:type="gramEnd"/>
      <w:r w:rsidRPr="00DE1EB8">
        <w:rPr>
          <w:sz w:val="16"/>
        </w:rPr>
        <w:t xml:space="preserve"> terms, seemingly to signal both an awareness of the significance of Indigenous and decolonizing theorizations of schooling and educational research, and to include Indigenous peoples on the list of considerations - as an additional special (ethnic) group or class. At a conference on educational research, </w:t>
      </w:r>
      <w:r w:rsidRPr="00DE1EB8">
        <w:rPr>
          <w:rStyle w:val="Emphasis"/>
        </w:rPr>
        <w:t>it is not uncommon to hear speakers refer, almost casually, to the need to “decolonize our schools,” or use “decolonizing methods,” or “decolonize student thinking</w:t>
      </w:r>
      <w:r w:rsidRPr="00DE1EB8">
        <w:rPr>
          <w:sz w:val="16"/>
        </w:rPr>
        <w:t xml:space="preserve">.” Yet, we have observed a startling number of </w:t>
      </w:r>
      <w:r w:rsidRPr="00DE1EB8">
        <w:rPr>
          <w:rStyle w:val="Emphasis"/>
          <w:highlight w:val="green"/>
        </w:rPr>
        <w:t xml:space="preserve">these discussions make no </w:t>
      </w:r>
      <w:r w:rsidRPr="00DE1EB8">
        <w:rPr>
          <w:rStyle w:val="Emphasis"/>
        </w:rPr>
        <w:t xml:space="preserve">mention of Indigenous peoples, our/their struggles for the recognition of our/their sovereignty, or the </w:t>
      </w:r>
      <w:r w:rsidRPr="00DE1EB8">
        <w:rPr>
          <w:rStyle w:val="Emphasis"/>
          <w:highlight w:val="green"/>
        </w:rPr>
        <w:t>contributions of Indigenous intellectuals</w:t>
      </w:r>
      <w:r w:rsidRPr="00DE1EB8">
        <w:rPr>
          <w:rStyle w:val="Emphasis"/>
        </w:rPr>
        <w:t xml:space="preserve"> and activists </w:t>
      </w:r>
      <w:r w:rsidRPr="00DE1EB8">
        <w:rPr>
          <w:rStyle w:val="Emphasis"/>
          <w:highlight w:val="green"/>
        </w:rPr>
        <w:t>to</w:t>
      </w:r>
      <w:r w:rsidRPr="00DE1EB8">
        <w:rPr>
          <w:rStyle w:val="Emphasis"/>
        </w:rPr>
        <w:t xml:space="preserve"> theories and </w:t>
      </w:r>
      <w:r w:rsidRPr="00DE1EB8">
        <w:rPr>
          <w:rStyle w:val="Emphasis"/>
          <w:highlight w:val="green"/>
        </w:rPr>
        <w:t>frameworks of decolonization</w:t>
      </w:r>
      <w:r w:rsidRPr="00DE1EB8">
        <w:rPr>
          <w:rStyle w:val="Emphasis"/>
        </w:rPr>
        <w:t>. Further, there is often little recognition given to the immediate context of settler colonialism on the North American lands where many of these conferences take place.</w:t>
      </w:r>
      <w:r w:rsidRPr="00DE1EB8">
        <w:rPr>
          <w:sz w:val="16"/>
        </w:rPr>
        <w:t xml:space="preserve"> Of course, dressing up in the language of decolonization is not as offensive as “Navajo print” underwear sold at a clothing chain store (Gaynor, 2012) and other </w:t>
      </w:r>
      <w:r w:rsidRPr="00DE1EB8">
        <w:rPr>
          <w:rStyle w:val="Emphasis"/>
        </w:rPr>
        <w:t xml:space="preserve">appropriations of Indigenous cultures and materials that occur so frequently. Yet, </w:t>
      </w:r>
      <w:r w:rsidRPr="00DE1EB8">
        <w:rPr>
          <w:rStyle w:val="Emphasis"/>
          <w:highlight w:val="green"/>
        </w:rPr>
        <w:t>this</w:t>
      </w:r>
      <w:r w:rsidRPr="00DE1EB8">
        <w:rPr>
          <w:rStyle w:val="Emphasis"/>
        </w:rPr>
        <w:t xml:space="preserve"> kind of </w:t>
      </w:r>
      <w:r w:rsidRPr="00DE1EB8">
        <w:rPr>
          <w:rStyle w:val="Emphasis"/>
          <w:highlight w:val="green"/>
        </w:rPr>
        <w:t xml:space="preserve">inclusion is </w:t>
      </w:r>
      <w:r w:rsidRPr="00DE1EB8">
        <w:rPr>
          <w:rStyle w:val="Emphasis"/>
        </w:rPr>
        <w:t xml:space="preserve">a form of </w:t>
      </w:r>
      <w:r w:rsidRPr="00DE1EB8">
        <w:rPr>
          <w:rStyle w:val="Emphasis"/>
          <w:highlight w:val="green"/>
        </w:rPr>
        <w:t>enclosure</w:t>
      </w:r>
      <w:r w:rsidRPr="00DE1EB8">
        <w:rPr>
          <w:rStyle w:val="Emphasis"/>
        </w:rPr>
        <w:t xml:space="preserve">, dangerous in how </w:t>
      </w:r>
      <w:r w:rsidRPr="00DE1EB8">
        <w:rPr>
          <w:rStyle w:val="Emphasis"/>
          <w:highlight w:val="green"/>
        </w:rPr>
        <w:t xml:space="preserve">it </w:t>
      </w:r>
      <w:r w:rsidRPr="00DE1EB8">
        <w:rPr>
          <w:rStyle w:val="Emphasis"/>
          <w:highlight w:val="green"/>
        </w:rPr>
        <w:lastRenderedPageBreak/>
        <w:t>domesticates decolonization</w:t>
      </w:r>
      <w:r w:rsidRPr="00DE1EB8">
        <w:rPr>
          <w:rStyle w:val="Emphasis"/>
        </w:rPr>
        <w:t>. It is also a foreclosure, limiting in how it recapitulates dominant theories of social change</w:t>
      </w:r>
      <w:r w:rsidRPr="00DE1EB8">
        <w:rPr>
          <w:sz w:val="16"/>
        </w:rPr>
        <w:t xml:space="preserve">. </w:t>
      </w:r>
      <w:proofErr w:type="gramStart"/>
      <w:r w:rsidRPr="00DE1EB8">
        <w:rPr>
          <w:sz w:val="16"/>
        </w:rPr>
        <w:t>On the occasion of</w:t>
      </w:r>
      <w:proofErr w:type="gramEnd"/>
      <w:r w:rsidRPr="00DE1EB8">
        <w:rPr>
          <w:sz w:val="16"/>
        </w:rPr>
        <w:t xml:space="preserve"> the inaugural issue of Decolonization: Indigeneity, Education, &amp; Society, we want to be sure to clarify that decolonization is not a metaphor. </w:t>
      </w:r>
      <w:r w:rsidRPr="00DE1EB8">
        <w:rPr>
          <w:rStyle w:val="Emphasis"/>
        </w:rPr>
        <w:t xml:space="preserve">When metaphor invades decolonization, it </w:t>
      </w:r>
      <w:r w:rsidRPr="00DE1EB8">
        <w:rPr>
          <w:rStyle w:val="Emphasis"/>
          <w:highlight w:val="green"/>
        </w:rPr>
        <w:t>kills the</w:t>
      </w:r>
      <w:r w:rsidRPr="00DE1EB8">
        <w:rPr>
          <w:rStyle w:val="Emphasis"/>
        </w:rPr>
        <w:t xml:space="preserve"> very </w:t>
      </w:r>
      <w:r w:rsidRPr="00DE1EB8">
        <w:rPr>
          <w:rStyle w:val="Emphasis"/>
          <w:highlight w:val="green"/>
        </w:rPr>
        <w:t>possibility of decolonization; it recenters whiteness</w:t>
      </w:r>
      <w:r w:rsidRPr="00DE1EB8">
        <w:rPr>
          <w:rStyle w:val="Emphasis"/>
        </w:rPr>
        <w:t xml:space="preserve">, it resettles theory, it </w:t>
      </w:r>
      <w:r w:rsidRPr="00DE1EB8">
        <w:rPr>
          <w:rStyle w:val="Emphasis"/>
          <w:highlight w:val="green"/>
        </w:rPr>
        <w:t xml:space="preserve">extends innocence to the settler, </w:t>
      </w:r>
      <w:r w:rsidRPr="00DE1EB8">
        <w:rPr>
          <w:rStyle w:val="Emphasis"/>
        </w:rPr>
        <w:t>it entertains a settler future</w:t>
      </w:r>
      <w:r w:rsidRPr="00DE1EB8">
        <w:rPr>
          <w:sz w:val="16"/>
        </w:rPr>
        <w:t xml:space="preserve">. Decolonize (a verb) and decolonization (a noun) cannot easily be grafted onto pre-existing discourses/frameworks, even if they are critical, even if they are anti-racist, even if they are justice frameworks. The easy absorption, adoption, and transposing of decolonization is yet another form of settler appropriation. When we write about decolonization, we are not offering it as a metaphor; it is not an approximation of other experiences of oppression. </w:t>
      </w:r>
      <w:r w:rsidRPr="00DE1EB8">
        <w:rPr>
          <w:rStyle w:val="Emphasis"/>
        </w:rPr>
        <w:t>Decolonization is not a swappable term for other things we want to do to improve our societies and schools. Decolonization doesn’t have a synonym</w:t>
      </w:r>
      <w:r w:rsidRPr="00DE1EB8">
        <w:rPr>
          <w:sz w:val="16"/>
        </w:rPr>
        <w:t xml:space="preserve">. Our goal in this essay is to remind readers what is unsettling about decolonization - what is unsettling and what should be unsettling. Clearly, we are advocates for the analysis of settler colonialism within education and education research and we position the work of Indigenous thinkers as central in unlocking the confounding aspects of public schooling. We, at least in part, want others to join us in these efforts, so that settler colonial structuring and Indigenous critiques of that structuring are no longer rendered invisible. Yet, this joining cannot be too easy, too open, too settled. </w:t>
      </w:r>
      <w:r w:rsidRPr="00DE1EB8">
        <w:rPr>
          <w:rStyle w:val="Emphasis"/>
        </w:rPr>
        <w:t>Solidarity is an uneasy, reserved, and unsettled matter that neither reconciles present grievances nor forecloses future conflict.</w:t>
      </w:r>
      <w:r w:rsidRPr="00DE1EB8">
        <w:rPr>
          <w:sz w:val="16"/>
        </w:rPr>
        <w:t xml:space="preserve"> There are parts of the decolonization project that are not easily absorbed by human rights or civil </w:t>
      </w:r>
      <w:proofErr w:type="gramStart"/>
      <w:r w:rsidRPr="00DE1EB8">
        <w:rPr>
          <w:sz w:val="16"/>
        </w:rPr>
        <w:t>rights based</w:t>
      </w:r>
      <w:proofErr w:type="gramEnd"/>
      <w:r w:rsidRPr="00DE1EB8">
        <w:rPr>
          <w:sz w:val="16"/>
        </w:rPr>
        <w:t xml:space="preserve"> approaches to educational equity. In this essay, we think about what decolonization wants. There is a long and bumbled history of non-Indigenous peoples making moves to alleviate the impacts of colonization. The too-easy adoption of decolonizing discourse (</w:t>
      </w:r>
      <w:r w:rsidRPr="00DE1EB8">
        <w:rPr>
          <w:rStyle w:val="Emphasis"/>
          <w:highlight w:val="green"/>
        </w:rPr>
        <w:t>making decolonization a metaphor</w:t>
      </w:r>
      <w:r w:rsidRPr="00DE1EB8">
        <w:rPr>
          <w:sz w:val="16"/>
        </w:rPr>
        <w:t xml:space="preserve">) is just one part of that </w:t>
      </w:r>
      <w:proofErr w:type="gramStart"/>
      <w:r w:rsidRPr="00DE1EB8">
        <w:rPr>
          <w:sz w:val="16"/>
        </w:rPr>
        <w:t>history</w:t>
      </w:r>
      <w:proofErr w:type="gramEnd"/>
      <w:r w:rsidRPr="00DE1EB8">
        <w:rPr>
          <w:sz w:val="16"/>
        </w:rPr>
        <w:t xml:space="preserve"> and it tap</w:t>
      </w:r>
      <w:r w:rsidRPr="00DE1EB8">
        <w:rPr>
          <w:rStyle w:val="Emphasis"/>
        </w:rPr>
        <w:t>s</w:t>
      </w:r>
      <w:r w:rsidRPr="00DE1EB8">
        <w:rPr>
          <w:sz w:val="16"/>
        </w:rPr>
        <w:t xml:space="preserve"> into pre-existing tropes that get in the way of more meaningful potential alliances. We think of the enactment of these tropes </w:t>
      </w:r>
      <w:r w:rsidRPr="00DE1EB8">
        <w:rPr>
          <w:rStyle w:val="Emphasis"/>
          <w:highlight w:val="green"/>
        </w:rPr>
        <w:t>as a</w:t>
      </w:r>
      <w:r w:rsidRPr="00DE1EB8">
        <w:rPr>
          <w:rStyle w:val="Emphasis"/>
        </w:rPr>
        <w:t xml:space="preserve"> series of </w:t>
      </w:r>
      <w:r w:rsidRPr="00DE1EB8">
        <w:rPr>
          <w:rStyle w:val="Emphasis"/>
          <w:highlight w:val="green"/>
        </w:rPr>
        <w:t>moves to innocence</w:t>
      </w:r>
      <w:r w:rsidRPr="00DE1EB8">
        <w:rPr>
          <w:rStyle w:val="Emphasis"/>
        </w:rPr>
        <w:t xml:space="preserve"> (</w:t>
      </w:r>
      <w:proofErr w:type="spellStart"/>
      <w:r w:rsidRPr="00DE1EB8">
        <w:rPr>
          <w:sz w:val="16"/>
        </w:rPr>
        <w:t>Malwhinney</w:t>
      </w:r>
      <w:proofErr w:type="spellEnd"/>
      <w:r w:rsidRPr="00DE1EB8">
        <w:rPr>
          <w:sz w:val="16"/>
        </w:rPr>
        <w:t xml:space="preserve">, 1998), </w:t>
      </w:r>
      <w:r w:rsidRPr="00DE1EB8">
        <w:rPr>
          <w:rStyle w:val="Emphasis"/>
          <w:highlight w:val="green"/>
        </w:rPr>
        <w:t>which</w:t>
      </w:r>
      <w:r w:rsidRPr="00DE1EB8">
        <w:rPr>
          <w:rStyle w:val="Emphasis"/>
        </w:rPr>
        <w:t xml:space="preserve"> problematically </w:t>
      </w:r>
      <w:r w:rsidRPr="00DE1EB8">
        <w:rPr>
          <w:rStyle w:val="Emphasis"/>
          <w:highlight w:val="green"/>
        </w:rPr>
        <w:t>attempt to reconcile settler guilt</w:t>
      </w:r>
      <w:r w:rsidRPr="00DE1EB8">
        <w:rPr>
          <w:rStyle w:val="Emphasis"/>
        </w:rPr>
        <w:t xml:space="preserve"> and </w:t>
      </w:r>
      <w:r w:rsidRPr="00DE1EB8">
        <w:rPr>
          <w:rStyle w:val="Emphasis"/>
          <w:highlight w:val="green"/>
        </w:rPr>
        <w:t>complicity, and rescue settler futurity</w:t>
      </w:r>
      <w:r w:rsidRPr="00DE1EB8">
        <w:rPr>
          <w:rStyle w:val="Emphasis"/>
        </w:rPr>
        <w:t>.</w:t>
      </w:r>
      <w:r w:rsidRPr="00DE1EB8">
        <w:rPr>
          <w:sz w:val="16"/>
        </w:rPr>
        <w:t xml:space="preserve"> Here, to explain why decolonization is and requires more than a metaphor, we discuss some of these moves to innocence: </w:t>
      </w:r>
      <w:proofErr w:type="spellStart"/>
      <w:r w:rsidRPr="00DE1EB8">
        <w:rPr>
          <w:sz w:val="16"/>
        </w:rPr>
        <w:t>i</w:t>
      </w:r>
      <w:proofErr w:type="spellEnd"/>
      <w:r w:rsidRPr="00DE1EB8">
        <w:rPr>
          <w:sz w:val="16"/>
        </w:rPr>
        <w:t>. Settler nativism ii. Fantasizing adoption iii. Colonial equivocation iv. Conscientization v. At risk-</w:t>
      </w:r>
      <w:proofErr w:type="spellStart"/>
      <w:r w:rsidRPr="00DE1EB8">
        <w:rPr>
          <w:sz w:val="16"/>
        </w:rPr>
        <w:t>ing</w:t>
      </w:r>
      <w:proofErr w:type="spellEnd"/>
      <w:r w:rsidRPr="00DE1EB8">
        <w:rPr>
          <w:sz w:val="16"/>
        </w:rPr>
        <w:t xml:space="preserve"> / Asterisk-</w:t>
      </w:r>
      <w:proofErr w:type="spellStart"/>
      <w:r w:rsidRPr="00DE1EB8">
        <w:rPr>
          <w:sz w:val="16"/>
        </w:rPr>
        <w:t>ing</w:t>
      </w:r>
      <w:proofErr w:type="spellEnd"/>
      <w:r w:rsidRPr="00DE1EB8">
        <w:rPr>
          <w:sz w:val="16"/>
        </w:rPr>
        <w:t xml:space="preserve"> Indigenous peoples vi. Re-occupation and urban homesteading Such moves ultimately represent settler fantasies of easier paths to reconciliation. </w:t>
      </w:r>
      <w:proofErr w:type="gramStart"/>
      <w:r w:rsidRPr="00DE1EB8">
        <w:rPr>
          <w:sz w:val="16"/>
        </w:rPr>
        <w:t>Actually, we</w:t>
      </w:r>
      <w:proofErr w:type="gramEnd"/>
      <w:r w:rsidRPr="00DE1EB8">
        <w:rPr>
          <w:sz w:val="16"/>
        </w:rPr>
        <w:t xml:space="preserve"> argue, attending to what is irreconcilable within settler colonial relations and what is incommensurable between decolonizing projects and other social justice projects will help to reduce the frustration of attempts at solidarity; but the attention won’t get anyone off the hook from the hard, unsettling work of decolonization. Thus, we also include a discussion of interruptions that unsettle innocence and recognize incommensurability. </w:t>
      </w:r>
    </w:p>
    <w:p w14:paraId="1C3FA040" w14:textId="77777777" w:rsidR="00254BC4" w:rsidRPr="00DE1EB8" w:rsidRDefault="00254BC4" w:rsidP="00254BC4">
      <w:pPr>
        <w:pStyle w:val="Heading4"/>
        <w:rPr>
          <w:rFonts w:cs="Calibri"/>
          <w:u w:val="single"/>
        </w:rPr>
      </w:pPr>
      <w:proofErr w:type="spellStart"/>
      <w:r w:rsidRPr="00DE1EB8">
        <w:rPr>
          <w:rFonts w:cs="Calibri"/>
        </w:rPr>
        <w:t>Aff</w:t>
      </w:r>
      <w:proofErr w:type="spellEnd"/>
      <w:r w:rsidRPr="00DE1EB8">
        <w:rPr>
          <w:rFonts w:cs="Calibri"/>
        </w:rPr>
        <w:t xml:space="preserve"> gets </w:t>
      </w:r>
      <w:r w:rsidRPr="00DE1EB8">
        <w:rPr>
          <w:rFonts w:cs="Calibri"/>
          <w:u w:val="single"/>
        </w:rPr>
        <w:t>circumvented</w:t>
      </w:r>
      <w:r w:rsidRPr="00DE1EB8">
        <w:rPr>
          <w:rFonts w:cs="Calibri"/>
        </w:rPr>
        <w:t xml:space="preserve">- powerful countries </w:t>
      </w:r>
      <w:r w:rsidRPr="00DE1EB8">
        <w:rPr>
          <w:rFonts w:cs="Calibri"/>
          <w:u w:val="single"/>
        </w:rPr>
        <w:t>use bilateral agreements</w:t>
      </w:r>
      <w:r w:rsidRPr="00DE1EB8">
        <w:rPr>
          <w:rFonts w:cs="Calibri"/>
        </w:rPr>
        <w:t xml:space="preserve"> to force other countries to accept their IPR protections- its </w:t>
      </w:r>
      <w:r w:rsidRPr="00DE1EB8">
        <w:rPr>
          <w:rFonts w:cs="Calibri"/>
          <w:u w:val="single"/>
        </w:rPr>
        <w:t>empirically proven</w:t>
      </w:r>
    </w:p>
    <w:p w14:paraId="4FF36D33" w14:textId="77777777" w:rsidR="00254BC4" w:rsidRPr="00DE1EB8" w:rsidRDefault="00254BC4" w:rsidP="00254BC4">
      <w:pPr>
        <w:rPr>
          <w:sz w:val="18"/>
          <w:szCs w:val="18"/>
        </w:rPr>
      </w:pPr>
      <w:r w:rsidRPr="00DE1EB8">
        <w:rPr>
          <w:sz w:val="18"/>
          <w:szCs w:val="18"/>
        </w:rPr>
        <w:t xml:space="preserve">DC = developing country </w:t>
      </w:r>
    </w:p>
    <w:p w14:paraId="48B10EF9" w14:textId="77777777" w:rsidR="00254BC4" w:rsidRPr="00DE1EB8" w:rsidRDefault="00254BC4" w:rsidP="00254BC4">
      <w:pPr>
        <w:rPr>
          <w:sz w:val="18"/>
          <w:szCs w:val="18"/>
        </w:rPr>
      </w:pPr>
      <w:r w:rsidRPr="00DE1EB8">
        <w:rPr>
          <w:sz w:val="18"/>
          <w:szCs w:val="18"/>
        </w:rPr>
        <w:t>NIT = Net Importers of Technology (this references developing countries)</w:t>
      </w:r>
    </w:p>
    <w:p w14:paraId="4B98514E" w14:textId="77777777" w:rsidR="00254BC4" w:rsidRPr="00DE1EB8" w:rsidRDefault="00254BC4" w:rsidP="00254BC4">
      <w:pPr>
        <w:rPr>
          <w:sz w:val="18"/>
          <w:szCs w:val="18"/>
        </w:rPr>
      </w:pPr>
      <w:r w:rsidRPr="00DE1EB8">
        <w:rPr>
          <w:sz w:val="18"/>
          <w:szCs w:val="18"/>
        </w:rPr>
        <w:t xml:space="preserve">NET = Net Exporters of Technology (countries with advanced economies) </w:t>
      </w:r>
    </w:p>
    <w:p w14:paraId="2D73F7ED" w14:textId="77777777" w:rsidR="00254BC4" w:rsidRPr="00DE1EB8" w:rsidRDefault="00254BC4" w:rsidP="00254BC4">
      <w:bookmarkStart w:id="0" w:name="_Hlk80221093"/>
      <w:r w:rsidRPr="00DE1EB8">
        <w:rPr>
          <w:rStyle w:val="Style13ptBold"/>
        </w:rPr>
        <w:t>Marcellin 16</w:t>
      </w:r>
      <w:r w:rsidRPr="00DE1EB8">
        <w:t xml:space="preserve"> Marcellin, Sherry (Professor, London School of Economics). The political economy of pharmaceutical patents: US sectional interests and the African Group at the WTO. Routledge, </w:t>
      </w:r>
      <w:proofErr w:type="gramStart"/>
      <w:r w:rsidRPr="00DE1EB8">
        <w:t>2016./</w:t>
      </w:r>
      <w:proofErr w:type="gramEnd"/>
      <w:r w:rsidRPr="00DE1EB8">
        <w:t>SJKS</w:t>
      </w:r>
      <w:bookmarkEnd w:id="0"/>
    </w:p>
    <w:p w14:paraId="54FB09BA" w14:textId="77777777" w:rsidR="00254BC4" w:rsidRPr="00DE1EB8" w:rsidRDefault="00254BC4" w:rsidP="00254BC4">
      <w:pPr>
        <w:rPr>
          <w:sz w:val="16"/>
        </w:rPr>
      </w:pPr>
      <w:r w:rsidRPr="00DE1EB8">
        <w:rPr>
          <w:sz w:val="16"/>
        </w:rPr>
        <w:t xml:space="preserve">In July 1988, prior to the Montreal Mid-Term Review, </w:t>
      </w:r>
      <w:r w:rsidRPr="00DE1EB8">
        <w:rPr>
          <w:rStyle w:val="Emphasis"/>
        </w:rPr>
        <w:t xml:space="preserve">DCs had sensed that the approach being proposed by </w:t>
      </w:r>
      <w:proofErr w:type="spellStart"/>
      <w:r w:rsidRPr="00DE1EB8">
        <w:rPr>
          <w:rStyle w:val="Emphasis"/>
        </w:rPr>
        <w:t>industrialised</w:t>
      </w:r>
      <w:proofErr w:type="spellEnd"/>
      <w:r w:rsidRPr="00DE1EB8">
        <w:rPr>
          <w:rStyle w:val="Emphasis"/>
        </w:rPr>
        <w:t xml:space="preserve"> countries was desirable on the grounds that the alternative would be a proliferation of unilateral or bilateral actions</w:t>
      </w:r>
      <w:r w:rsidRPr="00DE1EB8">
        <w:rPr>
          <w:sz w:val="16"/>
        </w:rPr>
        <w:t xml:space="preserve"> (MTN.GNG/NG11/8: 31). </w:t>
      </w:r>
      <w:r w:rsidRPr="00DE1EB8">
        <w:rPr>
          <w:rStyle w:val="Emphasis"/>
        </w:rPr>
        <w:t xml:space="preserve">These NITs maintained that acceptance of such an approach would be tantamount to creating a </w:t>
      </w:r>
      <w:proofErr w:type="spellStart"/>
      <w:r w:rsidRPr="00DE1EB8">
        <w:rPr>
          <w:rStyle w:val="Emphasis"/>
        </w:rPr>
        <w:t>licence</w:t>
      </w:r>
      <w:proofErr w:type="spellEnd"/>
      <w:r w:rsidRPr="00DE1EB8">
        <w:rPr>
          <w:rStyle w:val="Emphasis"/>
        </w:rPr>
        <w:t xml:space="preserve"> to force, in the name of trade, modifications in standards for the protection of IP in a way that had not been found acceptable or possible so far in WIPO (ibid</w:t>
      </w:r>
      <w:r w:rsidRPr="00DE1EB8">
        <w:rPr>
          <w:sz w:val="16"/>
        </w:rPr>
        <w:t xml:space="preserve">). </w:t>
      </w:r>
      <w:r w:rsidRPr="00DE1EB8">
        <w:rPr>
          <w:rStyle w:val="Emphasis"/>
        </w:rPr>
        <w:t xml:space="preserve">Brazil subsequently informed the Group that on October 20, 1988, </w:t>
      </w:r>
      <w:r w:rsidRPr="00DE1EB8">
        <w:rPr>
          <w:rStyle w:val="Emphasis"/>
          <w:highlight w:val="green"/>
        </w:rPr>
        <w:t>unilateral restrictions had been applied by the US to Brazilian exports as a retaliatory measure</w:t>
      </w:r>
      <w:r w:rsidRPr="00DE1EB8">
        <w:rPr>
          <w:rStyle w:val="Emphasis"/>
        </w:rPr>
        <w:t xml:space="preserve"> in connection </w:t>
      </w:r>
      <w:r w:rsidRPr="00DE1EB8">
        <w:rPr>
          <w:rStyle w:val="Emphasis"/>
          <w:highlight w:val="green"/>
        </w:rPr>
        <w:t>with an IP issue</w:t>
      </w:r>
      <w:r w:rsidRPr="00DE1EB8">
        <w:rPr>
          <w:rStyle w:val="Emphasis"/>
        </w:rPr>
        <w:t xml:space="preserve">; that this type of action </w:t>
      </w:r>
      <w:r w:rsidRPr="00DE1EB8">
        <w:rPr>
          <w:rStyle w:val="Emphasis"/>
          <w:highlight w:val="green"/>
        </w:rPr>
        <w:t>seriously inhibited Brazil’s participation in</w:t>
      </w:r>
      <w:r w:rsidRPr="00DE1EB8">
        <w:rPr>
          <w:rStyle w:val="Emphasis"/>
        </w:rPr>
        <w:t xml:space="preserve"> the work of </w:t>
      </w:r>
      <w:r w:rsidRPr="00DE1EB8">
        <w:rPr>
          <w:rStyle w:val="Emphasis"/>
          <w:highlight w:val="green"/>
        </w:rPr>
        <w:t>the Group</w:t>
      </w:r>
      <w:r w:rsidRPr="00DE1EB8">
        <w:rPr>
          <w:rStyle w:val="Emphasis"/>
        </w:rPr>
        <w:t xml:space="preserve">, since ‘no country could be </w:t>
      </w:r>
      <w:r w:rsidRPr="00DE1EB8">
        <w:rPr>
          <w:rStyle w:val="Emphasis"/>
        </w:rPr>
        <w:lastRenderedPageBreak/>
        <w:t>expected to participate in negotiations while experiencing pressures on the substance of its position’</w:t>
      </w:r>
      <w:r w:rsidRPr="00DE1EB8">
        <w:rPr>
          <w:sz w:val="16"/>
        </w:rPr>
        <w:t xml:space="preserve"> (MTN.GNG/NG11/10: 27). The Brazilian delegate maintained that such action by the US constituted a blatant infringement of GATT rules and was contrary to the Standstill commitment of the Punta del Este Declaration. ‘</w:t>
      </w:r>
      <w:r w:rsidRPr="00DE1EB8">
        <w:rPr>
          <w:rStyle w:val="Emphasis"/>
        </w:rPr>
        <w:t xml:space="preserve">The </w:t>
      </w:r>
      <w:r w:rsidRPr="00DE1EB8">
        <w:rPr>
          <w:rStyle w:val="Emphasis"/>
          <w:highlight w:val="green"/>
        </w:rPr>
        <w:t>United States</w:t>
      </w:r>
      <w:r w:rsidRPr="00DE1EB8">
        <w:rPr>
          <w:rStyle w:val="Emphasis"/>
        </w:rPr>
        <w:t xml:space="preserve"> action was an attempt to </w:t>
      </w:r>
      <w:r w:rsidRPr="00DE1EB8">
        <w:rPr>
          <w:rStyle w:val="Emphasis"/>
          <w:highlight w:val="green"/>
        </w:rPr>
        <w:t>coerce Brazil to change its i</w:t>
      </w:r>
      <w:r w:rsidRPr="00DE1EB8">
        <w:rPr>
          <w:rStyle w:val="Emphasis"/>
        </w:rPr>
        <w:t xml:space="preserve">ntellectual </w:t>
      </w:r>
      <w:r w:rsidRPr="00DE1EB8">
        <w:rPr>
          <w:rStyle w:val="Emphasis"/>
          <w:highlight w:val="green"/>
        </w:rPr>
        <w:t>pr</w:t>
      </w:r>
      <w:r w:rsidRPr="00DE1EB8">
        <w:rPr>
          <w:rStyle w:val="Emphasis"/>
        </w:rPr>
        <w:t xml:space="preserve">operty </w:t>
      </w:r>
      <w:r w:rsidRPr="00DE1EB8">
        <w:rPr>
          <w:rStyle w:val="Emphasis"/>
          <w:highlight w:val="green"/>
        </w:rPr>
        <w:t>legislation</w:t>
      </w:r>
      <w:r w:rsidRPr="00DE1EB8">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DE1EB8">
        <w:rPr>
          <w:rStyle w:val="Emphasis"/>
        </w:rPr>
        <w:t xml:space="preserve">The </w:t>
      </w:r>
      <w:r w:rsidRPr="00DE1EB8">
        <w:rPr>
          <w:rStyle w:val="Emphasis"/>
          <w:highlight w:val="green"/>
        </w:rPr>
        <w:t>US</w:t>
      </w:r>
      <w:r w:rsidRPr="00DE1EB8">
        <w:rPr>
          <w:rStyle w:val="Emphasis"/>
        </w:rPr>
        <w:t xml:space="preserve"> had therefore </w:t>
      </w:r>
      <w:r w:rsidRPr="00DE1EB8">
        <w:rPr>
          <w:rStyle w:val="Emphasis"/>
          <w:highlight w:val="green"/>
        </w:rPr>
        <w:t>applied</w:t>
      </w:r>
      <w:r w:rsidRPr="00DE1EB8">
        <w:rPr>
          <w:rStyle w:val="Emphasis"/>
        </w:rPr>
        <w:t xml:space="preserve"> its strategy of </w:t>
      </w:r>
      <w:r w:rsidRPr="00DE1EB8">
        <w:rPr>
          <w:rStyle w:val="Emphasis"/>
          <w:highlight w:val="green"/>
        </w:rPr>
        <w:t>coercive unilateralism against</w:t>
      </w:r>
      <w:r w:rsidRPr="00DE1EB8">
        <w:rPr>
          <w:rStyle w:val="Emphasis"/>
        </w:rPr>
        <w:t xml:space="preserve"> one of </w:t>
      </w:r>
      <w:r w:rsidRPr="00DE1EB8">
        <w:rPr>
          <w:rStyle w:val="Emphasis"/>
          <w:highlight w:val="green"/>
        </w:rPr>
        <w:t>the</w:t>
      </w:r>
      <w:r w:rsidRPr="00DE1EB8">
        <w:rPr>
          <w:rStyle w:val="Emphasis"/>
        </w:rPr>
        <w:t xml:space="preserve"> two </w:t>
      </w:r>
      <w:r w:rsidRPr="00DE1EB8">
        <w:rPr>
          <w:rStyle w:val="Emphasis"/>
          <w:highlight w:val="green"/>
        </w:rPr>
        <w:t>most important players championing</w:t>
      </w:r>
      <w:r w:rsidRPr="00DE1EB8">
        <w:rPr>
          <w:rStyle w:val="Emphasis"/>
        </w:rPr>
        <w:t xml:space="preserve"> the cause of </w:t>
      </w:r>
      <w:r w:rsidRPr="00DE1EB8">
        <w:rPr>
          <w:rStyle w:val="Emphasis"/>
          <w:highlight w:val="green"/>
        </w:rPr>
        <w:t>the South in</w:t>
      </w:r>
      <w:r w:rsidRPr="00DE1EB8">
        <w:rPr>
          <w:rStyle w:val="Emphasis"/>
        </w:rPr>
        <w:t xml:space="preserve"> the </w:t>
      </w:r>
      <w:r w:rsidRPr="00DE1EB8">
        <w:rPr>
          <w:rStyle w:val="Emphasis"/>
          <w:highlight w:val="green"/>
        </w:rPr>
        <w:t>TRIPS</w:t>
      </w:r>
      <w:r w:rsidRPr="00DE1EB8">
        <w:rPr>
          <w:rStyle w:val="Emphasis"/>
        </w:rPr>
        <w:t xml:space="preserve"> negotiations,</w:t>
      </w:r>
      <w:r w:rsidRPr="00DE1EB8">
        <w:rPr>
          <w:sz w:val="16"/>
        </w:rPr>
        <w:t xml:space="preserve"> the other being India. Apprehensive about the resistance of this dominant Southern duo, </w:t>
      </w:r>
      <w:r w:rsidRPr="00DE1EB8">
        <w:rPr>
          <w:rStyle w:val="Emphasis"/>
          <w:highlight w:val="green"/>
        </w:rPr>
        <w:t>the U</w:t>
      </w:r>
      <w:r w:rsidRPr="00DE1EB8">
        <w:rPr>
          <w:rStyle w:val="Emphasis"/>
        </w:rPr>
        <w:t xml:space="preserve">nited </w:t>
      </w:r>
      <w:r w:rsidRPr="00DE1EB8">
        <w:rPr>
          <w:rStyle w:val="Emphasis"/>
          <w:highlight w:val="green"/>
        </w:rPr>
        <w:t>S</w:t>
      </w:r>
      <w:r w:rsidRPr="00DE1EB8">
        <w:rPr>
          <w:rStyle w:val="Emphasis"/>
        </w:rPr>
        <w:t xml:space="preserve">tates </w:t>
      </w:r>
      <w:r w:rsidRPr="00DE1EB8">
        <w:rPr>
          <w:rStyle w:val="Emphasis"/>
          <w:highlight w:val="green"/>
        </w:rPr>
        <w:t xml:space="preserve">sought to </w:t>
      </w:r>
      <w:proofErr w:type="spellStart"/>
      <w:r w:rsidRPr="00DE1EB8">
        <w:rPr>
          <w:rStyle w:val="Emphasis"/>
          <w:highlight w:val="green"/>
        </w:rPr>
        <w:t>utilise</w:t>
      </w:r>
      <w:proofErr w:type="spellEnd"/>
      <w:r w:rsidRPr="00DE1EB8">
        <w:rPr>
          <w:rStyle w:val="Emphasis"/>
          <w:highlight w:val="green"/>
        </w:rPr>
        <w:t xml:space="preserve"> its market size</w:t>
      </w:r>
      <w:r w:rsidRPr="00DE1EB8">
        <w:rPr>
          <w:rStyle w:val="Emphasis"/>
        </w:rPr>
        <w:t xml:space="preserve"> as a bargaining tool </w:t>
      </w:r>
      <w:r w:rsidRPr="00DE1EB8">
        <w:rPr>
          <w:rStyle w:val="Emphasis"/>
          <w:highlight w:val="green"/>
        </w:rPr>
        <w:t>to secure changes to national IP regimes.</w:t>
      </w:r>
      <w:r w:rsidRPr="00DE1EB8">
        <w:rPr>
          <w:sz w:val="16"/>
        </w:rPr>
        <w:t xml:space="preserve"> It therefore decided to impact the more powerful of the two at the time, </w:t>
      </w:r>
      <w:r w:rsidRPr="00DE1EB8">
        <w:rPr>
          <w:rStyle w:val="Emphasis"/>
          <w:highlight w:val="green"/>
        </w:rPr>
        <w:t>thereby</w:t>
      </w:r>
      <w:r w:rsidRPr="00DE1EB8">
        <w:rPr>
          <w:rStyle w:val="Emphasis"/>
        </w:rPr>
        <w:t xml:space="preserve"> indirectly </w:t>
      </w:r>
      <w:r w:rsidRPr="00DE1EB8">
        <w:rPr>
          <w:rStyle w:val="Emphasis"/>
          <w:highlight w:val="green"/>
        </w:rPr>
        <w:t>admonishing</w:t>
      </w:r>
      <w:r w:rsidRPr="00DE1EB8">
        <w:rPr>
          <w:rStyle w:val="Emphasis"/>
        </w:rPr>
        <w:t xml:space="preserve"> </w:t>
      </w:r>
      <w:proofErr w:type="gramStart"/>
      <w:r w:rsidRPr="00DE1EB8">
        <w:rPr>
          <w:rStyle w:val="Emphasis"/>
        </w:rPr>
        <w:t>India</w:t>
      </w:r>
      <w:proofErr w:type="gramEnd"/>
      <w:r w:rsidRPr="00DE1EB8">
        <w:rPr>
          <w:rStyle w:val="Emphasis"/>
        </w:rPr>
        <w:t xml:space="preserve"> and </w:t>
      </w:r>
      <w:r w:rsidRPr="00DE1EB8">
        <w:rPr>
          <w:rStyle w:val="Emphasis"/>
          <w:highlight w:val="green"/>
        </w:rPr>
        <w:t>the</w:t>
      </w:r>
      <w:r w:rsidRPr="00DE1EB8">
        <w:rPr>
          <w:rStyle w:val="Emphasis"/>
        </w:rPr>
        <w:t xml:space="preserve"> entire </w:t>
      </w:r>
      <w:r w:rsidRPr="00DE1EB8">
        <w:rPr>
          <w:rStyle w:val="Emphasis"/>
          <w:highlight w:val="green"/>
        </w:rPr>
        <w:t>coalition against strengthened IP</w:t>
      </w:r>
      <w:r w:rsidRPr="00DE1EB8">
        <w:rPr>
          <w:rStyle w:val="Emphasis"/>
        </w:rPr>
        <w:t xml:space="preserve"> rules, </w:t>
      </w:r>
      <w:r w:rsidRPr="00DE1EB8">
        <w:rPr>
          <w:rStyle w:val="Emphasis"/>
          <w:highlight w:val="green"/>
        </w:rPr>
        <w:t>as well as their domestic export constituencies</w:t>
      </w:r>
      <w:r w:rsidRPr="00DE1EB8">
        <w:rPr>
          <w:rStyle w:val="Emphasis"/>
        </w:rPr>
        <w:t xml:space="preserve"> who would be affected by US decisions to restrict imports.</w:t>
      </w:r>
      <w:r w:rsidRPr="00DE1EB8">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DE1EB8">
        <w:rPr>
          <w:rStyle w:val="Emphasis"/>
        </w:rPr>
        <w:t xml:space="preserve">Brazil was also the regional leader in South America and </w:t>
      </w:r>
      <w:r w:rsidRPr="00DE1EB8">
        <w:rPr>
          <w:rStyle w:val="Emphasis"/>
          <w:highlight w:val="green"/>
        </w:rPr>
        <w:t>disciplining it would send an unequivocal warning</w:t>
      </w:r>
      <w:r w:rsidRPr="00DE1EB8">
        <w:rPr>
          <w:rStyle w:val="Emphasis"/>
        </w:rPr>
        <w:t xml:space="preserve"> to other South American countries (</w:t>
      </w:r>
      <w:proofErr w:type="spellStart"/>
      <w:r w:rsidRPr="00DE1EB8">
        <w:rPr>
          <w:sz w:val="16"/>
        </w:rPr>
        <w:t>Drahos</w:t>
      </w:r>
      <w:proofErr w:type="spellEnd"/>
      <w:r w:rsidRPr="00DE1EB8">
        <w:rPr>
          <w:sz w:val="16"/>
        </w:rPr>
        <w:t xml:space="preserve"> and Braithwaite 2002: 136), including Argentina, Chile and Peru who were also active participants in the negotiations. </w:t>
      </w:r>
      <w:r w:rsidRPr="00DE1EB8">
        <w:rPr>
          <w:rStyle w:val="Emphasis"/>
          <w:highlight w:val="green"/>
        </w:rPr>
        <w:t>This</w:t>
      </w:r>
      <w:r w:rsidRPr="00DE1EB8">
        <w:rPr>
          <w:rStyle w:val="Emphasis"/>
        </w:rPr>
        <w:t xml:space="preserve"> would </w:t>
      </w:r>
      <w:r w:rsidRPr="00DE1EB8">
        <w:rPr>
          <w:rStyle w:val="Emphasis"/>
          <w:highlight w:val="green"/>
        </w:rPr>
        <w:t>mark the start of a series of coercive strategies aimed at compliance with</w:t>
      </w:r>
      <w:r w:rsidRPr="00DE1EB8">
        <w:rPr>
          <w:rStyle w:val="Emphasis"/>
        </w:rPr>
        <w:t xml:space="preserve"> the </w:t>
      </w:r>
      <w:r w:rsidRPr="00DE1EB8">
        <w:rPr>
          <w:rStyle w:val="Emphasis"/>
          <w:highlight w:val="green"/>
        </w:rPr>
        <w:t>US</w:t>
      </w:r>
      <w:r w:rsidRPr="00DE1EB8">
        <w:rPr>
          <w:rStyle w:val="Emphasis"/>
        </w:rPr>
        <w:t xml:space="preserve"> private-sector envisioned </w:t>
      </w:r>
      <w:r w:rsidRPr="00DE1EB8">
        <w:rPr>
          <w:rStyle w:val="Emphasis"/>
          <w:highlight w:val="green"/>
        </w:rPr>
        <w:t>GATT IPP.</w:t>
      </w:r>
    </w:p>
    <w:p w14:paraId="4341BC83" w14:textId="77777777" w:rsidR="00254BC4" w:rsidRPr="00DE1EB8" w:rsidRDefault="00254BC4" w:rsidP="00254BC4">
      <w:pPr>
        <w:rPr>
          <w:b/>
          <w:bCs/>
        </w:rPr>
      </w:pPr>
    </w:p>
    <w:p w14:paraId="66621E68" w14:textId="77777777" w:rsidR="00DB5CD0" w:rsidRPr="00DE1EB8" w:rsidRDefault="00DB5CD0" w:rsidP="00DB5CD0">
      <w:pPr>
        <w:pStyle w:val="Heading4"/>
        <w:rPr>
          <w:rFonts w:cs="Calibri"/>
        </w:rPr>
      </w:pPr>
      <w:r w:rsidRPr="00DE1EB8">
        <w:rPr>
          <w:rFonts w:cs="Calibri"/>
        </w:rPr>
        <w:t xml:space="preserve">The WTO can’t enforce the </w:t>
      </w:r>
      <w:proofErr w:type="spellStart"/>
      <w:r w:rsidRPr="00DE1EB8">
        <w:rPr>
          <w:rFonts w:cs="Calibri"/>
        </w:rPr>
        <w:t>aff</w:t>
      </w:r>
      <w:proofErr w:type="spellEnd"/>
      <w:r w:rsidRPr="00DE1EB8">
        <w:rPr>
          <w:rFonts w:cs="Calibri"/>
        </w:rPr>
        <w:t xml:space="preserve">- causes </w:t>
      </w:r>
      <w:r w:rsidRPr="00DE1EB8">
        <w:rPr>
          <w:rFonts w:cs="Calibri"/>
          <w:u w:val="single"/>
        </w:rPr>
        <w:t>circumvention</w:t>
      </w:r>
      <w:r w:rsidRPr="00DE1EB8">
        <w:rPr>
          <w:rFonts w:cs="Calibri"/>
        </w:rPr>
        <w:t>.</w:t>
      </w:r>
    </w:p>
    <w:p w14:paraId="5D35638F" w14:textId="77777777" w:rsidR="00DB5CD0" w:rsidRPr="00DE1EB8" w:rsidRDefault="00DB5CD0" w:rsidP="00DB5CD0">
      <w:r w:rsidRPr="00DE1EB8">
        <w:rPr>
          <w:rStyle w:val="Style13ptBold"/>
        </w:rPr>
        <w:t>Lamp 19</w:t>
      </w:r>
      <w:r w:rsidRPr="00DE1EB8">
        <w:t xml:space="preserve"> [Nicholas; Assistant Professor of Law at Queen’s University; “What Just Happened at the WTO? Everything You Need to Know, Brink News,” 12/16/19; </w:t>
      </w:r>
      <w:hyperlink r:id="rId13" w:history="1">
        <w:r w:rsidRPr="00DE1EB8">
          <w:rPr>
            <w:rStyle w:val="Hyperlink"/>
          </w:rPr>
          <w:t>https://www.brinknews.com/what-just-happened-at-the-wto-everything-you-need-to-know/</w:t>
        </w:r>
      </w:hyperlink>
      <w:r w:rsidRPr="00DE1EB8">
        <w:t>] Justin</w:t>
      </w:r>
    </w:p>
    <w:p w14:paraId="643939D7" w14:textId="77777777" w:rsidR="00DB5CD0" w:rsidRPr="00DE1EB8" w:rsidRDefault="00DB5CD0" w:rsidP="00DB5CD0">
      <w:pPr>
        <w:rPr>
          <w:rStyle w:val="Emphasis"/>
        </w:rPr>
      </w:pPr>
      <w:r w:rsidRPr="00DE1EB8">
        <w:rPr>
          <w:sz w:val="16"/>
        </w:rPr>
        <w:t xml:space="preserve">Nicolas Lamp: For the first time </w:t>
      </w:r>
      <w:r w:rsidRPr="00DE1EB8">
        <w:rPr>
          <w:u w:val="single"/>
        </w:rPr>
        <w:t xml:space="preserve">since the </w:t>
      </w:r>
      <w:r w:rsidRPr="00DE1EB8">
        <w:rPr>
          <w:rStyle w:val="Emphasis"/>
        </w:rPr>
        <w:t xml:space="preserve">establishment of the </w:t>
      </w:r>
      <w:r w:rsidRPr="00DE1EB8">
        <w:rPr>
          <w:rStyle w:val="Emphasis"/>
          <w:highlight w:val="green"/>
        </w:rPr>
        <w:t>WTO</w:t>
      </w:r>
      <w:r w:rsidRPr="00DE1EB8">
        <w:rPr>
          <w:u w:val="single"/>
        </w:rPr>
        <w:t xml:space="preserve"> in 1995, the </w:t>
      </w:r>
      <w:r w:rsidRPr="00DE1EB8">
        <w:rPr>
          <w:rStyle w:val="Emphasis"/>
          <w:highlight w:val="green"/>
        </w:rPr>
        <w:t>Appellate Body cannot accept</w:t>
      </w:r>
      <w:r w:rsidRPr="00DE1EB8">
        <w:rPr>
          <w:rStyle w:val="Emphasis"/>
        </w:rPr>
        <w:t xml:space="preserve"> any </w:t>
      </w:r>
      <w:r w:rsidRPr="00DE1EB8">
        <w:rPr>
          <w:rStyle w:val="Emphasis"/>
          <w:highlight w:val="green"/>
        </w:rPr>
        <w:t>new appeals</w:t>
      </w:r>
      <w:r w:rsidRPr="00DE1EB8">
        <w:rPr>
          <w:rStyle w:val="Emphasis"/>
        </w:rPr>
        <w:t xml:space="preserve">, and that has </w:t>
      </w:r>
      <w:r w:rsidRPr="00DE1EB8">
        <w:rPr>
          <w:rStyle w:val="Emphasis"/>
          <w:highlight w:val="green"/>
        </w:rPr>
        <w:t>knock-on effects on</w:t>
      </w:r>
      <w:r w:rsidRPr="00DE1EB8">
        <w:rPr>
          <w:rStyle w:val="Emphasis"/>
        </w:rPr>
        <w:t xml:space="preserve"> the whole global trade </w:t>
      </w:r>
      <w:r w:rsidRPr="00DE1EB8">
        <w:rPr>
          <w:rStyle w:val="Emphasis"/>
          <w:highlight w:val="green"/>
        </w:rPr>
        <w:t>dispute settlement</w:t>
      </w:r>
      <w:r w:rsidRPr="00DE1EB8">
        <w:rPr>
          <w:rStyle w:val="Emphasis"/>
        </w:rPr>
        <w:t xml:space="preserve"> system.</w:t>
      </w:r>
      <w:r w:rsidRPr="00DE1EB8">
        <w:rPr>
          <w:u w:val="single"/>
        </w:rPr>
        <w:t xml:space="preserve"> When a member appeals a WTO panel report, it goes to the Appellate Body, but if there is no Appellate Body, it means that that </w:t>
      </w:r>
      <w:r w:rsidRPr="00DE1EB8">
        <w:rPr>
          <w:highlight w:val="green"/>
          <w:u w:val="single"/>
        </w:rPr>
        <w:t xml:space="preserve">panel report will not become </w:t>
      </w:r>
      <w:r w:rsidRPr="00DE1EB8">
        <w:rPr>
          <w:rStyle w:val="Emphasis"/>
          <w:highlight w:val="green"/>
        </w:rPr>
        <w:t>binding and</w:t>
      </w:r>
      <w:r w:rsidRPr="00DE1EB8">
        <w:rPr>
          <w:rStyle w:val="Emphasis"/>
        </w:rPr>
        <w:t xml:space="preserve"> will not </w:t>
      </w:r>
      <w:r w:rsidRPr="00DE1EB8">
        <w:rPr>
          <w:rStyle w:val="Emphasis"/>
          <w:highlight w:val="green"/>
        </w:rPr>
        <w:t>attain legal force</w:t>
      </w:r>
      <w:r w:rsidRPr="00DE1EB8">
        <w:rPr>
          <w:rStyle w:val="Emphasis"/>
        </w:rPr>
        <w:t xml:space="preserve">. </w:t>
      </w:r>
    </w:p>
    <w:p w14:paraId="026CE598" w14:textId="77777777" w:rsidR="00DB5CD0" w:rsidRPr="00DE1EB8" w:rsidRDefault="00DB5CD0" w:rsidP="00DB5CD0">
      <w:pPr>
        <w:rPr>
          <w:rStyle w:val="Emphasis"/>
        </w:rPr>
      </w:pPr>
      <w:r w:rsidRPr="00DE1EB8">
        <w:rPr>
          <w:sz w:val="16"/>
        </w:rPr>
        <w:t xml:space="preserve">The absence of the Appellate Body means that </w:t>
      </w:r>
      <w:r w:rsidRPr="00DE1EB8">
        <w:rPr>
          <w:highlight w:val="green"/>
          <w:u w:val="single"/>
        </w:rPr>
        <w:t>members</w:t>
      </w:r>
      <w:r w:rsidRPr="00DE1EB8">
        <w:rPr>
          <w:u w:val="single"/>
        </w:rPr>
        <w:t xml:space="preserve"> can now effectively </w:t>
      </w:r>
      <w:r w:rsidRPr="00DE1EB8">
        <w:rPr>
          <w:highlight w:val="green"/>
          <w:u w:val="single"/>
        </w:rPr>
        <w:t xml:space="preserve">block the </w:t>
      </w:r>
      <w:r w:rsidRPr="00DE1EB8">
        <w:rPr>
          <w:u w:val="single"/>
        </w:rPr>
        <w:t xml:space="preserve">dispute settlement </w:t>
      </w:r>
      <w:r w:rsidRPr="00DE1EB8">
        <w:rPr>
          <w:rStyle w:val="Emphasis"/>
          <w:highlight w:val="green"/>
        </w:rPr>
        <w:t>proceedings</w:t>
      </w:r>
      <w:r w:rsidRPr="00DE1EB8">
        <w:rPr>
          <w:rStyle w:val="Emphasis"/>
        </w:rPr>
        <w:t xml:space="preserve"> by what has been called appealing panel reports “into the void.”</w:t>
      </w:r>
    </w:p>
    <w:p w14:paraId="26B0AEB2" w14:textId="77777777" w:rsidR="00DB5CD0" w:rsidRPr="00DE1EB8" w:rsidRDefault="00DB5CD0" w:rsidP="00DB5CD0">
      <w:pPr>
        <w:rPr>
          <w:rStyle w:val="Emphasis"/>
        </w:rPr>
      </w:pPr>
      <w:r w:rsidRPr="00DE1EB8">
        <w:rPr>
          <w:sz w:val="16"/>
        </w:rPr>
        <w:t xml:space="preserve">The WTO panels will continue to function as normal. </w:t>
      </w:r>
      <w:r w:rsidRPr="00DE1EB8">
        <w:rPr>
          <w:u w:val="single"/>
        </w:rPr>
        <w:t xml:space="preserve">When a panel issues a report, it will normally be </w:t>
      </w:r>
      <w:r w:rsidRPr="00DE1EB8">
        <w:rPr>
          <w:rStyle w:val="Emphasis"/>
        </w:rPr>
        <w:t>automatically adopted</w:t>
      </w:r>
      <w:r w:rsidRPr="00DE1EB8">
        <w:rPr>
          <w:u w:val="single"/>
        </w:rPr>
        <w:t xml:space="preserve"> — unless it is appealed. And so, even though the panel is working, the respondent in a dispute now has the option of blocking the adoption of the panel’s report. It can, thereby, </w:t>
      </w:r>
      <w:r w:rsidRPr="00DE1EB8">
        <w:rPr>
          <w:rStyle w:val="Emphasis"/>
          <w:highlight w:val="green"/>
        </w:rPr>
        <w:t>shield itself from the legal consequences</w:t>
      </w:r>
      <w:r w:rsidRPr="00DE1EB8">
        <w:rPr>
          <w:rStyle w:val="Emphasis"/>
        </w:rPr>
        <w:t xml:space="preserve"> of a report that finds that the member has acted inconsistently with its WTO obligations.</w:t>
      </w:r>
    </w:p>
    <w:p w14:paraId="632A982A" w14:textId="77777777" w:rsidR="00DB5CD0" w:rsidRPr="00DE1EB8" w:rsidRDefault="00DB5CD0" w:rsidP="00DB5CD0">
      <w:pPr>
        <w:rPr>
          <w:rStyle w:val="Emphasis"/>
        </w:rPr>
      </w:pPr>
    </w:p>
    <w:p w14:paraId="741C6842" w14:textId="77777777" w:rsidR="00DB5CD0" w:rsidRPr="00DE1EB8" w:rsidRDefault="00DB5CD0" w:rsidP="00DB5CD0"/>
    <w:p w14:paraId="00D8A67D" w14:textId="77777777" w:rsidR="00DB5CD0" w:rsidRPr="00DE1EB8" w:rsidRDefault="00DB5CD0" w:rsidP="00DB5CD0">
      <w:pPr>
        <w:pStyle w:val="Heading4"/>
        <w:rPr>
          <w:rFonts w:cs="Calibri"/>
        </w:rPr>
      </w:pPr>
      <w:r w:rsidRPr="00DE1EB8">
        <w:rPr>
          <w:rFonts w:cs="Calibri"/>
        </w:rPr>
        <w:lastRenderedPageBreak/>
        <w:t>Recent evidence confirms</w:t>
      </w:r>
    </w:p>
    <w:p w14:paraId="1277BC4A" w14:textId="77777777" w:rsidR="00DB5CD0" w:rsidRPr="00DE1EB8" w:rsidRDefault="00DB5CD0" w:rsidP="00DB5CD0">
      <w:r w:rsidRPr="00DE1EB8">
        <w:rPr>
          <w:rStyle w:val="Style13ptBold"/>
        </w:rPr>
        <w:t xml:space="preserve">Hillman and </w:t>
      </w:r>
      <w:proofErr w:type="spellStart"/>
      <w:r w:rsidRPr="00DE1EB8">
        <w:rPr>
          <w:rStyle w:val="Style13ptBold"/>
        </w:rPr>
        <w:t>Tippett</w:t>
      </w:r>
      <w:proofErr w:type="spellEnd"/>
      <w:r w:rsidRPr="00DE1EB8">
        <w:rPr>
          <w:rStyle w:val="Style13ptBold"/>
        </w:rPr>
        <w:t xml:space="preserve"> 21</w:t>
      </w:r>
      <w:r w:rsidRPr="00DE1EB8">
        <w:t xml:space="preserve"> [Jennifer A; Senior fellow for trade and international political economy; Alex; Research associate for international economics, at the Council on Foreign Relations; “Europe and the Prospects for WTO Reform,” CFR; 3/10/21; </w:t>
      </w:r>
      <w:hyperlink r:id="rId14" w:history="1">
        <w:r w:rsidRPr="00DE1EB8">
          <w:rPr>
            <w:rStyle w:val="Hyperlink"/>
          </w:rPr>
          <w:t>https://www.cfr.org/blog/europe-and-prospects-wto-reform</w:t>
        </w:r>
      </w:hyperlink>
      <w:r w:rsidRPr="00DE1EB8">
        <w:t>] Justin</w:t>
      </w:r>
    </w:p>
    <w:p w14:paraId="167F232D" w14:textId="77777777" w:rsidR="00DB5CD0" w:rsidRPr="00DE1EB8" w:rsidRDefault="00DB5CD0" w:rsidP="00DB5CD0">
      <w:pPr>
        <w:rPr>
          <w:rStyle w:val="Emphasis"/>
        </w:rPr>
      </w:pPr>
      <w:r w:rsidRPr="00DE1EB8">
        <w:rPr>
          <w:sz w:val="16"/>
        </w:rPr>
        <w:t xml:space="preserve">The </w:t>
      </w:r>
      <w:r w:rsidRPr="00DE1EB8">
        <w:rPr>
          <w:highlight w:val="green"/>
          <w:u w:val="single"/>
        </w:rPr>
        <w:t>WTO</w:t>
      </w:r>
      <w:r w:rsidRPr="00DE1EB8">
        <w:rPr>
          <w:u w:val="single"/>
        </w:rPr>
        <w:t xml:space="preserve"> has </w:t>
      </w:r>
      <w:r w:rsidRPr="00DE1EB8">
        <w:rPr>
          <w:highlight w:val="green"/>
          <w:u w:val="single"/>
        </w:rPr>
        <w:t>been in</w:t>
      </w:r>
      <w:r w:rsidRPr="00DE1EB8">
        <w:rPr>
          <w:u w:val="single"/>
        </w:rPr>
        <w:t xml:space="preserve"> the </w:t>
      </w:r>
      <w:r w:rsidRPr="00DE1EB8">
        <w:rPr>
          <w:rStyle w:val="Emphasis"/>
          <w:highlight w:val="green"/>
        </w:rPr>
        <w:t>clutches</w:t>
      </w:r>
      <w:r w:rsidRPr="00DE1EB8">
        <w:rPr>
          <w:rStyle w:val="Emphasis"/>
        </w:rPr>
        <w:t xml:space="preserve"> of a slow-moving crisis for years. At its heart are a series of </w:t>
      </w:r>
      <w:r w:rsidRPr="00DE1EB8">
        <w:rPr>
          <w:rStyle w:val="Emphasis"/>
          <w:highlight w:val="green"/>
        </w:rPr>
        <w:t>disputes about</w:t>
      </w:r>
      <w:r w:rsidRPr="00DE1EB8">
        <w:rPr>
          <w:rStyle w:val="Emphasis"/>
        </w:rPr>
        <w:t xml:space="preserve"> the role of the WTO’s </w:t>
      </w:r>
      <w:r w:rsidRPr="00DE1EB8">
        <w:rPr>
          <w:rStyle w:val="Emphasis"/>
          <w:highlight w:val="green"/>
        </w:rPr>
        <w:t>Appellate</w:t>
      </w:r>
      <w:r w:rsidRPr="00DE1EB8">
        <w:rPr>
          <w:rStyle w:val="Emphasis"/>
        </w:rPr>
        <w:t xml:space="preserve"> Body,</w:t>
      </w:r>
      <w:r w:rsidRPr="00DE1EB8">
        <w:rPr>
          <w:u w:val="single"/>
        </w:rPr>
        <w:t xml:space="preserve"> the final arbiter in the WTO’s Dispute Settlement System. Today, the Appellate </w:t>
      </w:r>
      <w:r w:rsidRPr="00DE1EB8">
        <w:rPr>
          <w:highlight w:val="green"/>
          <w:u w:val="single"/>
        </w:rPr>
        <w:t>Body sits empty</w:t>
      </w:r>
      <w:r w:rsidRPr="00DE1EB8">
        <w:rPr>
          <w:u w:val="single"/>
        </w:rPr>
        <w:t xml:space="preserve">, severely </w:t>
      </w:r>
      <w:r w:rsidRPr="00DE1EB8">
        <w:rPr>
          <w:highlight w:val="green"/>
          <w:u w:val="single"/>
        </w:rPr>
        <w:t>undermining</w:t>
      </w:r>
      <w:r w:rsidRPr="00DE1EB8">
        <w:rPr>
          <w:u w:val="single"/>
        </w:rPr>
        <w:t xml:space="preserve"> the </w:t>
      </w:r>
      <w:r w:rsidRPr="00DE1EB8">
        <w:rPr>
          <w:rStyle w:val="Emphasis"/>
          <w:highlight w:val="green"/>
        </w:rPr>
        <w:t>capacity</w:t>
      </w:r>
      <w:r w:rsidRPr="00DE1EB8">
        <w:rPr>
          <w:rStyle w:val="Emphasis"/>
        </w:rPr>
        <w:t xml:space="preserve"> of the WTO </w:t>
      </w:r>
      <w:r w:rsidRPr="00DE1EB8">
        <w:rPr>
          <w:rStyle w:val="Emphasis"/>
          <w:highlight w:val="green"/>
        </w:rPr>
        <w:t>to resolve</w:t>
      </w:r>
      <w:r w:rsidRPr="00DE1EB8">
        <w:rPr>
          <w:rStyle w:val="Emphasis"/>
        </w:rPr>
        <w:t xml:space="preserve"> trade </w:t>
      </w:r>
      <w:r w:rsidRPr="00DE1EB8">
        <w:rPr>
          <w:rStyle w:val="Emphasis"/>
          <w:highlight w:val="green"/>
        </w:rPr>
        <w:t>disputes</w:t>
      </w:r>
      <w:r w:rsidRPr="00DE1EB8">
        <w:rPr>
          <w:rStyle w:val="Emphasis"/>
        </w:rPr>
        <w:t>.</w:t>
      </w:r>
    </w:p>
    <w:p w14:paraId="26752E7B" w14:textId="77777777" w:rsidR="00DB5CD0" w:rsidRPr="00DE1EB8" w:rsidRDefault="00DB5CD0" w:rsidP="00DB5CD0">
      <w:pPr>
        <w:rPr>
          <w:rStyle w:val="Emphasis"/>
        </w:rPr>
      </w:pPr>
      <w:r w:rsidRPr="00DE1EB8">
        <w:rPr>
          <w:sz w:val="16"/>
        </w:rPr>
        <w:t xml:space="preserve">Since the start of the Trump administration, </w:t>
      </w:r>
      <w:r w:rsidRPr="00DE1EB8">
        <w:rPr>
          <w:u w:val="single"/>
        </w:rPr>
        <w:t xml:space="preserve">the </w:t>
      </w:r>
      <w:r w:rsidRPr="00DE1EB8">
        <w:rPr>
          <w:highlight w:val="green"/>
          <w:u w:val="single"/>
        </w:rPr>
        <w:t>U</w:t>
      </w:r>
      <w:r w:rsidRPr="00DE1EB8">
        <w:rPr>
          <w:u w:val="single"/>
        </w:rPr>
        <w:t xml:space="preserve">nited </w:t>
      </w:r>
      <w:r w:rsidRPr="00DE1EB8">
        <w:rPr>
          <w:highlight w:val="green"/>
          <w:u w:val="single"/>
        </w:rPr>
        <w:t>S</w:t>
      </w:r>
      <w:r w:rsidRPr="00DE1EB8">
        <w:rPr>
          <w:u w:val="single"/>
        </w:rPr>
        <w:t xml:space="preserve">tates has </w:t>
      </w:r>
      <w:r w:rsidRPr="00DE1EB8">
        <w:rPr>
          <w:highlight w:val="green"/>
          <w:u w:val="single"/>
        </w:rPr>
        <w:t>refused to appoint</w:t>
      </w:r>
      <w:r w:rsidRPr="00DE1EB8">
        <w:rPr>
          <w:u w:val="single"/>
        </w:rPr>
        <w:t xml:space="preserve"> any new </w:t>
      </w:r>
      <w:r w:rsidRPr="00DE1EB8">
        <w:rPr>
          <w:highlight w:val="green"/>
          <w:u w:val="single"/>
        </w:rPr>
        <w:t>members</w:t>
      </w:r>
      <w:r w:rsidRPr="00DE1EB8">
        <w:rPr>
          <w:u w:val="single"/>
        </w:rPr>
        <w:t xml:space="preserve"> to the body, effectively </w:t>
      </w:r>
      <w:r w:rsidRPr="00DE1EB8">
        <w:rPr>
          <w:highlight w:val="green"/>
          <w:u w:val="single"/>
        </w:rPr>
        <w:t xml:space="preserve">allowing </w:t>
      </w:r>
      <w:r w:rsidRPr="00DE1EB8">
        <w:rPr>
          <w:rStyle w:val="Emphasis"/>
          <w:highlight w:val="green"/>
        </w:rPr>
        <w:t>countries to avoid compliance</w:t>
      </w:r>
      <w:r w:rsidRPr="00DE1EB8">
        <w:rPr>
          <w:rStyle w:val="Emphasis"/>
        </w:rPr>
        <w:t xml:space="preserve"> with WTO rulings</w:t>
      </w:r>
      <w:r w:rsidRPr="00DE1EB8">
        <w:rPr>
          <w:u w:val="single"/>
        </w:rPr>
        <w:t xml:space="preserve">. The primary driver of this drastic action has been American frustration at perceived judicial overreach. U.S. policymakers, starting with the George W. Bush administration, have </w:t>
      </w:r>
      <w:r w:rsidRPr="00DE1EB8">
        <w:rPr>
          <w:rStyle w:val="Emphasis"/>
        </w:rPr>
        <w:t>repeatedly voiced their displeasure with Appellate Body decisions, contending that certain decisions have reached beyond the text of existing WTO agreements.</w:t>
      </w:r>
    </w:p>
    <w:p w14:paraId="7884FE8F" w14:textId="77777777" w:rsidR="00DB5CD0" w:rsidRPr="00DE1EB8" w:rsidRDefault="00DB5CD0" w:rsidP="00DB5CD0"/>
    <w:p w14:paraId="3EC41182" w14:textId="77777777" w:rsidR="00254BC4" w:rsidRPr="00254BC4" w:rsidRDefault="00254BC4" w:rsidP="00254BC4"/>
    <w:sectPr w:rsidR="00254BC4" w:rsidRPr="00254B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4B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BC4"/>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C4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2AEA"/>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1FB5"/>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CD0"/>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337"/>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3DA603"/>
  <w14:defaultImageDpi w14:val="300"/>
  <w15:docId w15:val="{A645D3FC-6A1A-E643-804C-A3F9F7B9F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4BC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54B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4B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54B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254B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4B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4BC4"/>
  </w:style>
  <w:style w:type="character" w:customStyle="1" w:styleId="Heading1Char">
    <w:name w:val="Heading 1 Char"/>
    <w:aliases w:val="Pocket Char"/>
    <w:basedOn w:val="DefaultParagraphFont"/>
    <w:link w:val="Heading1"/>
    <w:uiPriority w:val="9"/>
    <w:rsid w:val="00254B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4BC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54BC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54BC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54BC4"/>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254BC4"/>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254BC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54BC4"/>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TA"/>
    <w:basedOn w:val="DefaultParagraphFont"/>
    <w:link w:val="Card"/>
    <w:uiPriority w:val="99"/>
    <w:unhideWhenUsed/>
    <w:rsid w:val="00254BC4"/>
    <w:rPr>
      <w:color w:val="auto"/>
      <w:u w:val="none"/>
    </w:rPr>
  </w:style>
  <w:style w:type="paragraph" w:styleId="DocumentMap">
    <w:name w:val="Document Map"/>
    <w:basedOn w:val="Normal"/>
    <w:link w:val="DocumentMapChar"/>
    <w:uiPriority w:val="99"/>
    <w:semiHidden/>
    <w:unhideWhenUsed/>
    <w:rsid w:val="00254B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4BC4"/>
    <w:rPr>
      <w:rFonts w:ascii="Lucida Grande" w:hAnsi="Lucida Grande" w:cs="Lucida Grand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254BC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254BC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inknews.com/what-just-happened-at-the-wto-everything-you-need-to-know/"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briefly.com/2019/08/12/genericity-on-the-standardized-tests-resolution/?fbclid=IwAR0hUkKdDzHWrNeqEVI7m59pwsnmqLl490n4uRLQTe7bWmWDO_avWCNzi1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everycrsreport.com/files/20200512_RL34292_2023354cc06b0a4425a2c5e02c0b13024426d206.pdf" TargetMode="External"/><Relationship Id="rId4" Type="http://schemas.openxmlformats.org/officeDocument/2006/relationships/customXml" Target="../customXml/item4.xml"/><Relationship Id="rId9" Type="http://schemas.openxmlformats.org/officeDocument/2006/relationships/hyperlink" Target="https://www.ipwatchdog.com/2018/07/17/categorical-imperative-innovation-patenting/id=99178/" TargetMode="External"/><Relationship Id="rId14" Type="http://schemas.openxmlformats.org/officeDocument/2006/relationships/hyperlink" Target="https://www.cfr.org/blog/europe-and-prospects-wto-refo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12</Pages>
  <Words>5944</Words>
  <Characters>33881</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39746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3</cp:revision>
  <dcterms:created xsi:type="dcterms:W3CDTF">2021-09-26T00:42:00Z</dcterms:created>
  <dcterms:modified xsi:type="dcterms:W3CDTF">2021-09-26T02:19:00Z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