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35A55" w14:textId="1311E63A" w:rsidR="00046933" w:rsidRDefault="00046933" w:rsidP="00046933">
      <w:pPr>
        <w:pStyle w:val="Heading2"/>
      </w:pPr>
      <w:r>
        <w:t>1</w:t>
      </w:r>
    </w:p>
    <w:p w14:paraId="26F01BCB" w14:textId="68B8683A" w:rsidR="00046933" w:rsidRPr="00F570EE" w:rsidRDefault="00046933" w:rsidP="00046933">
      <w:pPr>
        <w:pStyle w:val="Heading3"/>
        <w:rPr>
          <w:rFonts w:cs="Calibri"/>
        </w:rPr>
      </w:pPr>
      <w:r w:rsidRPr="00F570EE">
        <w:rPr>
          <w:rFonts w:cs="Calibri"/>
        </w:rPr>
        <w:lastRenderedPageBreak/>
        <w:t xml:space="preserve">1NC </w:t>
      </w:r>
      <w:r>
        <w:rPr>
          <w:rFonts w:cs="Calibri"/>
        </w:rPr>
        <w:t>–</w:t>
      </w:r>
      <w:r w:rsidRPr="00F570EE">
        <w:rPr>
          <w:rFonts w:cs="Calibri"/>
        </w:rPr>
        <w:t xml:space="preserve"> FW</w:t>
      </w:r>
    </w:p>
    <w:p w14:paraId="6466F377" w14:textId="77777777" w:rsidR="00046933" w:rsidRPr="00F570EE" w:rsidRDefault="00046933" w:rsidP="00046933">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5C970953" w14:textId="77777777" w:rsidR="00046933" w:rsidRPr="00F570EE" w:rsidRDefault="00046933" w:rsidP="00046933">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294DA0FA" w14:textId="77777777" w:rsidR="00046933" w:rsidRPr="00F570EE" w:rsidRDefault="00046933" w:rsidP="00046933">
      <w:pPr>
        <w:pStyle w:val="Heading4"/>
        <w:rPr>
          <w:rFonts w:cs="Calibri"/>
          <w:color w:val="000000" w:themeColor="text1"/>
          <w:szCs w:val="16"/>
        </w:rPr>
      </w:pPr>
      <w:proofErr w:type="gramStart"/>
      <w:r w:rsidRPr="00F570EE">
        <w:rPr>
          <w:rFonts w:cs="Calibri"/>
        </w:rPr>
        <w:t>And,</w:t>
      </w:r>
      <w:proofErr w:type="gramEnd"/>
      <w:r w:rsidRPr="00F570EE">
        <w:rPr>
          <w:rFonts w:cs="Calibri"/>
        </w:rPr>
        <w:t xml:space="preserve">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222558E9" w14:textId="174CA73A" w:rsidR="00046933" w:rsidRDefault="00046933" w:rsidP="00046933">
      <w:pPr>
        <w:pStyle w:val="Heading4"/>
        <w:rPr>
          <w:rFonts w:cs="Calibri"/>
        </w:rPr>
      </w:pPr>
      <w:r w:rsidRPr="00F570EE">
        <w:rPr>
          <w:rFonts w:cs="Calibri"/>
        </w:rPr>
        <w:t>Thus, the standard is consistency with willing universal maxims.</w:t>
      </w:r>
    </w:p>
    <w:p w14:paraId="549A52CF" w14:textId="39A54608" w:rsidR="00046933" w:rsidRPr="00925D23" w:rsidRDefault="00046933" w:rsidP="00046933">
      <w:pPr>
        <w:pStyle w:val="Heading4"/>
        <w:rPr>
          <w:rFonts w:cs="Calibri"/>
        </w:rPr>
      </w:pPr>
      <w:r w:rsidRPr="00925D23">
        <w:rPr>
          <w:rFonts w:cs="Calibri"/>
        </w:rPr>
        <w:t>Prefer:</w:t>
      </w:r>
    </w:p>
    <w:p w14:paraId="3F67C0A4" w14:textId="77777777" w:rsidR="00046933" w:rsidRDefault="00046933" w:rsidP="00046933">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0A562D92" w14:textId="147C6851" w:rsidR="00046933" w:rsidRDefault="00046933" w:rsidP="00046933">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[B] Induction is circular because it relies on the assumption that nature will hold uniform and we could only reach that conclusion through inductive reasoning based on observation of past events. [C]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p>
    <w:p w14:paraId="03BAA2E0" w14:textId="77777777" w:rsidR="00046933" w:rsidRPr="00046933" w:rsidRDefault="00046933" w:rsidP="00046933"/>
    <w:p w14:paraId="271EF349" w14:textId="7098C773" w:rsidR="00046933" w:rsidRPr="00CE11B7" w:rsidRDefault="00046933" w:rsidP="00046933">
      <w:pPr>
        <w:pStyle w:val="Heading4"/>
      </w:pPr>
      <w:r>
        <w:lastRenderedPageBreak/>
        <w:t>[</w:t>
      </w:r>
      <w:r>
        <w:t>3</w:t>
      </w:r>
      <w:r>
        <w:t xml:space="preserve">] </w:t>
      </w:r>
      <w:r w:rsidRPr="00CE11B7">
        <w:t>Only universalizable reason can effectively explain the perspectives of agents – that’s the best method for combatting oppression</w:t>
      </w:r>
      <w:r>
        <w:t>.</w:t>
      </w:r>
    </w:p>
    <w:p w14:paraId="696808AA" w14:textId="77777777" w:rsidR="00046933" w:rsidRPr="00426666" w:rsidRDefault="00046933" w:rsidP="00046933">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7215718" w14:textId="77777777" w:rsidR="00046933" w:rsidRDefault="00046933" w:rsidP="00046933">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5171ECB" w14:textId="194B90EC" w:rsidR="00046933" w:rsidRDefault="00046933" w:rsidP="00046933">
      <w:pPr>
        <w:pStyle w:val="Heading4"/>
      </w:pPr>
      <w:r>
        <w:lastRenderedPageBreak/>
        <w:t>[</w:t>
      </w:r>
      <w:r>
        <w:t>4</w:t>
      </w:r>
      <w:r>
        <w:t xml:space="preserve">]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53051AE0" w14:textId="77777777" w:rsidR="00046933" w:rsidRPr="000A4E7B" w:rsidRDefault="00046933" w:rsidP="00046933"/>
    <w:p w14:paraId="05E4E802" w14:textId="35BD6EE2" w:rsidR="00046933" w:rsidRDefault="00046933" w:rsidP="00046933">
      <w:pPr>
        <w:pStyle w:val="Heading4"/>
        <w:rPr>
          <w:color w:val="000000" w:themeColor="text1"/>
        </w:rPr>
      </w:pPr>
      <w:r w:rsidRPr="008E4C26">
        <w:rPr>
          <w:color w:val="000000" w:themeColor="text1"/>
        </w:rPr>
        <w:t>[</w:t>
      </w:r>
      <w:r>
        <w:rPr>
          <w:color w:val="000000" w:themeColor="text1"/>
        </w:rPr>
        <w:t>5</w:t>
      </w:r>
      <w:r w:rsidRPr="008E4C26">
        <w:rPr>
          <w:color w:val="000000" w:themeColor="text1"/>
        </w:rPr>
        <w:t xml:space="preserve">] </w:t>
      </w:r>
      <w:r w:rsidRPr="00B50399">
        <w:t>Reject</w:t>
      </w:r>
      <w:r>
        <w:t xml:space="preserve"> non</w:t>
      </w:r>
      <w:r w:rsidRPr="00B50399">
        <w:t xml:space="preserve"> ideal theory/abstraction Ks [</w:t>
      </w:r>
      <w:r>
        <w:t>a</w:t>
      </w:r>
      <w:r w:rsidRPr="00B50399">
        <w:t xml:space="preserve">] The Ks do not posit an alternative ethical theory so the problem is just non </w:t>
      </w:r>
      <w:proofErr w:type="spellStart"/>
      <w:r w:rsidRPr="00B50399">
        <w:t>unq</w:t>
      </w:r>
      <w:proofErr w:type="spellEnd"/>
      <w:r w:rsidRPr="00B50399">
        <w:t xml:space="preserve"> [</w:t>
      </w:r>
      <w:r>
        <w:t>b</w:t>
      </w:r>
      <w:r w:rsidRPr="00B50399">
        <w:t xml:space="preserve">] Consequences are much worse because they cannot condemn any action as wrong </w:t>
      </w:r>
      <w:proofErr w:type="spellStart"/>
      <w:r w:rsidRPr="00B50399">
        <w:t>ie</w:t>
      </w:r>
      <w:proofErr w:type="spellEnd"/>
      <w:r w:rsidRPr="00B50399">
        <w:t xml:space="preserve"> there can a consequence where slavery is good so long as it is good the majority which means they are worse [</w:t>
      </w:r>
      <w:r>
        <w:t>c</w:t>
      </w:r>
      <w:r w:rsidRPr="00B50399">
        <w:t>] They are inherently bite back into ideal theory because they appeal to ideals of equality where oppressed are no longer oppressed which also means they needs so sort of ideal to measure progress [</w:t>
      </w:r>
      <w:r>
        <w:t>d</w:t>
      </w:r>
      <w:r w:rsidRPr="00B50399">
        <w:t>] Totally abandoning ethics is bad because then it results in ethical egoism which we all have our one personal set of ethics which would justify white supremacist doing racist stuff because we don’t have a universal way to condemn bad things</w:t>
      </w:r>
    </w:p>
    <w:p w14:paraId="72B8269F" w14:textId="77777777" w:rsidR="00046933" w:rsidRPr="00046933" w:rsidRDefault="00046933" w:rsidP="00046933"/>
    <w:p w14:paraId="77774BF1" w14:textId="3F539C7C" w:rsidR="00046933" w:rsidRDefault="00046933" w:rsidP="00046933">
      <w:pPr>
        <w:pStyle w:val="Heading3"/>
      </w:pPr>
      <w:r w:rsidRPr="00F570EE">
        <w:lastRenderedPageBreak/>
        <w:t>1NC – Offense</w:t>
      </w:r>
    </w:p>
    <w:p w14:paraId="121703A6" w14:textId="36E482B6" w:rsidR="00046933" w:rsidRPr="00A057DB" w:rsidRDefault="00046933" w:rsidP="00046933">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17F3B978" w14:textId="77777777" w:rsidR="00046933" w:rsidRPr="00E45605" w:rsidRDefault="00046933" w:rsidP="00046933">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7C1EF2FA" w14:textId="77777777" w:rsidR="00046933" w:rsidRDefault="00046933" w:rsidP="00046933">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 xml:space="preserve">/1, p.411). At the center of the discussion was the practice of reprinting books in a pirate edition after having them </w:t>
      </w:r>
      <w:r w:rsidRPr="006F1739">
        <w:rPr>
          <w:sz w:val="16"/>
        </w:rPr>
        <w:lastRenderedPageBreak/>
        <w:t>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4A5C5E7A" w14:textId="77777777" w:rsidR="00046933" w:rsidRPr="00A057DB" w:rsidRDefault="00046933" w:rsidP="00046933"/>
    <w:p w14:paraId="6D42241B" w14:textId="3F317DEB" w:rsidR="00046933" w:rsidRPr="00A057DB" w:rsidRDefault="00046933" w:rsidP="00046933">
      <w:pPr>
        <w:pStyle w:val="Heading4"/>
        <w:rPr>
          <w:u w:val="single"/>
        </w:rPr>
      </w:pPr>
      <w:r>
        <w:t>2]</w:t>
      </w:r>
      <w:r>
        <w:t xml:space="preserve"> </w:t>
      </w:r>
      <w:r>
        <w:t xml:space="preserve">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1D701F7D" w14:textId="77777777" w:rsidR="00046933" w:rsidRPr="00D6603B" w:rsidRDefault="00046933" w:rsidP="00046933">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7174C5AA" w14:textId="77777777" w:rsidR="00046933" w:rsidRDefault="00046933" w:rsidP="00046933">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27D000FF" w14:textId="77777777" w:rsidR="00046933" w:rsidRDefault="00046933" w:rsidP="00046933">
      <w:pPr>
        <w:rPr>
          <w:sz w:val="14"/>
        </w:rPr>
      </w:pPr>
    </w:p>
    <w:p w14:paraId="71C30263" w14:textId="77777777" w:rsidR="00046933" w:rsidRDefault="00046933" w:rsidP="00046933">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613F824E" w14:textId="77777777" w:rsidR="00046933" w:rsidRPr="00ED4EFF" w:rsidRDefault="00046933" w:rsidP="00046933">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5C76CB5E" w14:textId="77777777" w:rsidR="00046933" w:rsidRPr="00ED4EFF" w:rsidRDefault="00046933" w:rsidP="00046933">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5464B79A" w14:textId="77777777" w:rsidR="00046933" w:rsidRDefault="00046933" w:rsidP="00046933">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1B722E53" w14:textId="6BBCB272" w:rsidR="00E42E4C" w:rsidRDefault="00046933" w:rsidP="00046933">
      <w:pPr>
        <w:pStyle w:val="Heading2"/>
      </w:pPr>
      <w:r>
        <w:lastRenderedPageBreak/>
        <w:t>2</w:t>
      </w:r>
    </w:p>
    <w:p w14:paraId="0D81F038" w14:textId="77777777" w:rsidR="00046933" w:rsidRDefault="00046933" w:rsidP="00046933">
      <w:pPr>
        <w:pStyle w:val="Heading4"/>
      </w:pPr>
      <w:r>
        <w:t>Interpretation: affirmative debaters must delineate their enforcement mechanism by which they reduce in the 1AC.</w:t>
      </w:r>
    </w:p>
    <w:p w14:paraId="4CE95036" w14:textId="77777777" w:rsidR="00046933" w:rsidRPr="008F7A8A" w:rsidRDefault="00046933" w:rsidP="00046933">
      <w:pPr>
        <w:pStyle w:val="Heading4"/>
      </w:pPr>
      <w:r w:rsidRPr="008F7A8A">
        <w:t xml:space="preserve">There is no normal means since terms are </w:t>
      </w:r>
      <w:r w:rsidRPr="008F7A8A">
        <w:rPr>
          <w:u w:val="single"/>
        </w:rPr>
        <w:t>negotiated contextually</w:t>
      </w:r>
      <w:r w:rsidRPr="008F7A8A">
        <w:t xml:space="preserve"> among member states.</w:t>
      </w:r>
    </w:p>
    <w:p w14:paraId="2DB7067A" w14:textId="77777777" w:rsidR="00046933" w:rsidRPr="008F7A8A" w:rsidRDefault="00046933" w:rsidP="00046933">
      <w:pPr>
        <w:rPr>
          <w:sz w:val="16"/>
          <w:szCs w:val="26"/>
        </w:rPr>
      </w:pPr>
      <w:r w:rsidRPr="008F7A8A">
        <w:rPr>
          <w:rStyle w:val="Style13ptBold"/>
          <w:szCs w:val="26"/>
          <w:u w:val="single"/>
        </w:rPr>
        <w:t>WTO</w:t>
      </w:r>
      <w:r w:rsidRPr="008F7A8A">
        <w:rPr>
          <w:rStyle w:val="Style13ptBold"/>
          <w:sz w:val="16"/>
          <w:szCs w:val="26"/>
        </w:rPr>
        <w:t xml:space="preserve"> </w:t>
      </w:r>
      <w:r w:rsidRPr="008F7A8A">
        <w:rPr>
          <w:sz w:val="16"/>
          <w:szCs w:val="26"/>
        </w:rPr>
        <w:t xml:space="preserve">"Whose WTO is it anyway?" </w:t>
      </w:r>
      <w:hyperlink r:id="rId11" w:history="1">
        <w:r w:rsidRPr="008F7A8A">
          <w:rPr>
            <w:rStyle w:val="Hyperlink"/>
            <w:sz w:val="16"/>
            <w:szCs w:val="26"/>
          </w:rPr>
          <w:t>https://www.wto.org/english/thewto_e/whatis_e/tif_e/org1_e.htm</w:t>
        </w:r>
      </w:hyperlink>
      <w:r w:rsidRPr="008F7A8A">
        <w:rPr>
          <w:sz w:val="16"/>
          <w:szCs w:val="26"/>
        </w:rPr>
        <w:t xml:space="preserve"> //Elmer </w:t>
      </w:r>
    </w:p>
    <w:p w14:paraId="61804E82" w14:textId="77777777" w:rsidR="00046933" w:rsidRPr="008F7A8A" w:rsidRDefault="00046933" w:rsidP="00046933">
      <w:pPr>
        <w:rPr>
          <w:sz w:val="16"/>
          <w:szCs w:val="26"/>
        </w:rPr>
      </w:pPr>
      <w:r w:rsidRPr="00681C7D">
        <w:rPr>
          <w:b/>
          <w:szCs w:val="26"/>
          <w:highlight w:val="green"/>
          <w:u w:val="single"/>
        </w:rPr>
        <w:t>When WTO rules impose disciplines</w:t>
      </w:r>
      <w:r w:rsidRPr="008F7A8A">
        <w:rPr>
          <w:sz w:val="16"/>
          <w:szCs w:val="26"/>
        </w:rPr>
        <w:t xml:space="preserve"> on countries’ policies, </w:t>
      </w:r>
      <w:r w:rsidRPr="00681C7D">
        <w:rPr>
          <w:rStyle w:val="Emphasis"/>
        </w:rPr>
        <w:t xml:space="preserve">that </w:t>
      </w:r>
      <w:r w:rsidRPr="00681C7D">
        <w:rPr>
          <w:rStyle w:val="Emphasis"/>
          <w:highlight w:val="green"/>
        </w:rPr>
        <w:t>is the outcome</w:t>
      </w:r>
      <w:r w:rsidRPr="00681C7D">
        <w:rPr>
          <w:rStyle w:val="Emphasis"/>
        </w:rPr>
        <w:t xml:space="preserve"> of negotiations </w:t>
      </w:r>
      <w:r w:rsidRPr="00681C7D">
        <w:rPr>
          <w:rStyle w:val="Emphasis"/>
          <w:highlight w:val="green"/>
        </w:rPr>
        <w:t>among WTO members</w:t>
      </w:r>
      <w:r w:rsidRPr="00681C7D">
        <w:rPr>
          <w:rStyle w:val="Emphasis"/>
        </w:rPr>
        <w:t>.</w:t>
      </w:r>
      <w:r w:rsidRPr="008F7A8A">
        <w:rPr>
          <w:sz w:val="16"/>
          <w:szCs w:val="26"/>
        </w:rPr>
        <w:t xml:space="preserve"> The rules are </w:t>
      </w:r>
      <w:r w:rsidRPr="00681C7D">
        <w:rPr>
          <w:b/>
          <w:szCs w:val="26"/>
          <w:highlight w:val="green"/>
          <w:u w:val="single"/>
        </w:rPr>
        <w:t>enforced</w:t>
      </w:r>
      <w:r w:rsidRPr="00681C7D">
        <w:rPr>
          <w:sz w:val="16"/>
          <w:szCs w:val="26"/>
          <w:highlight w:val="green"/>
        </w:rPr>
        <w:t xml:space="preserve"> </w:t>
      </w:r>
      <w:r w:rsidRPr="00681C7D">
        <w:rPr>
          <w:b/>
          <w:szCs w:val="26"/>
          <w:highlight w:val="green"/>
          <w:u w:val="single"/>
        </w:rPr>
        <w:t>by</w:t>
      </w:r>
      <w:r w:rsidRPr="008F7A8A">
        <w:rPr>
          <w:sz w:val="16"/>
          <w:szCs w:val="26"/>
        </w:rPr>
        <w:t xml:space="preserve"> the </w:t>
      </w:r>
      <w:r w:rsidRPr="00681C7D">
        <w:rPr>
          <w:b/>
          <w:szCs w:val="26"/>
          <w:highlight w:val="green"/>
          <w:u w:val="single"/>
        </w:rPr>
        <w:t>members themselves</w:t>
      </w:r>
      <w:r w:rsidRPr="00681C7D">
        <w:rPr>
          <w:sz w:val="16"/>
          <w:szCs w:val="26"/>
          <w:highlight w:val="green"/>
        </w:rPr>
        <w:t xml:space="preserve"> </w:t>
      </w:r>
      <w:r w:rsidRPr="00681C7D">
        <w:rPr>
          <w:rStyle w:val="Emphasis"/>
          <w:highlight w:val="green"/>
        </w:rPr>
        <w:t>under</w:t>
      </w:r>
      <w:r w:rsidRPr="00681C7D">
        <w:rPr>
          <w:rStyle w:val="Emphasis"/>
        </w:rPr>
        <w:t xml:space="preserve"> agreed </w:t>
      </w:r>
      <w:r w:rsidRPr="00681C7D">
        <w:rPr>
          <w:rStyle w:val="Emphasis"/>
          <w:highlight w:val="green"/>
        </w:rPr>
        <w:t>procedures that they negotiated</w:t>
      </w:r>
      <w:r w:rsidRPr="00681C7D">
        <w:rPr>
          <w:rStyle w:val="Emphasis"/>
        </w:rPr>
        <w:t>, including the possibility of trade sanctions</w:t>
      </w:r>
      <w:r w:rsidRPr="008F7A8A">
        <w:rPr>
          <w:sz w:val="16"/>
          <w:szCs w:val="26"/>
        </w:rPr>
        <w:t xml:space="preserve">. But those sanctions are imposed by member </w:t>
      </w:r>
      <w:proofErr w:type="gramStart"/>
      <w:r w:rsidRPr="008F7A8A">
        <w:rPr>
          <w:sz w:val="16"/>
          <w:szCs w:val="26"/>
        </w:rPr>
        <w:t>countries, and</w:t>
      </w:r>
      <w:proofErr w:type="gramEnd"/>
      <w:r w:rsidRPr="008F7A8A">
        <w:rPr>
          <w:sz w:val="16"/>
          <w:szCs w:val="26"/>
        </w:rPr>
        <w:t xml:space="preserve"> authorized by the membership as a whole. This is quite different from other agencies whose bureaucracies can, for example, influence a country’s policy by threatening to withhold credit.</w:t>
      </w:r>
    </w:p>
    <w:p w14:paraId="1250C96A" w14:textId="77777777" w:rsidR="00046933" w:rsidRDefault="00046933" w:rsidP="00046933"/>
    <w:p w14:paraId="404BA879" w14:textId="77777777" w:rsidR="00046933" w:rsidRDefault="00046933" w:rsidP="00046933">
      <w:pPr>
        <w:pStyle w:val="Heading4"/>
      </w:pPr>
      <w:r>
        <w:t>Negate:</w:t>
      </w:r>
    </w:p>
    <w:p w14:paraId="318AEFF1" w14:textId="77777777" w:rsidR="00046933" w:rsidRPr="004501D4" w:rsidRDefault="00046933" w:rsidP="00046933">
      <w:pPr>
        <w:pStyle w:val="Heading4"/>
      </w:pPr>
      <w:r>
        <w:t xml:space="preserve">1] </w:t>
      </w:r>
      <w:r w:rsidRPr="004501D4">
        <w:rPr>
          <w:u w:val="single"/>
        </w:rPr>
        <w:t>Shiftiness</w:t>
      </w:r>
      <w:r>
        <w:t xml:space="preserve">- they can redefine what measure of reduction the 1ac defends in the 1ar which decks strategy and allows them to wriggle out of negative positions which strips the neg of specific politics DAs, process CPs, innovation DAs and case answers. They will always win on specificity weighing. </w:t>
      </w:r>
    </w:p>
    <w:p w14:paraId="3A23BD0E" w14:textId="485F8D8C" w:rsidR="00046933" w:rsidRDefault="00046933" w:rsidP="00046933">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14C60EE6" w14:textId="77777777" w:rsidR="004811D8" w:rsidRPr="004811D8" w:rsidRDefault="004811D8" w:rsidP="004811D8"/>
    <w:p w14:paraId="08188706" w14:textId="77777777" w:rsidR="00046933" w:rsidRDefault="00046933" w:rsidP="00046933">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how to enforce it.</w:t>
      </w:r>
    </w:p>
    <w:p w14:paraId="3000A8DA" w14:textId="77777777" w:rsidR="00046933" w:rsidRDefault="00046933" w:rsidP="00046933">
      <w:pPr>
        <w:pStyle w:val="Heading4"/>
      </w:pPr>
      <w:r>
        <w:t xml:space="preserve">This spec shell isn’t regressive- it literally determines </w:t>
      </w:r>
      <w:r>
        <w:rPr>
          <w:u w:val="single"/>
        </w:rPr>
        <w:t>how</w:t>
      </w:r>
      <w:r>
        <w:t xml:space="preserve"> the affirmative implements and </w:t>
      </w:r>
      <w:r w:rsidRPr="004501D4">
        <w:rPr>
          <w:u w:val="single"/>
        </w:rPr>
        <w:t>who</w:t>
      </w:r>
      <w:r>
        <w:t xml:space="preserve"> it affects</w:t>
      </w:r>
    </w:p>
    <w:p w14:paraId="4116C04A" w14:textId="245A8B76" w:rsidR="00046933" w:rsidRDefault="00046933" w:rsidP="00046933"/>
    <w:p w14:paraId="40A506A8" w14:textId="2EC86166" w:rsidR="00046933" w:rsidRDefault="00046933" w:rsidP="00046933">
      <w:r>
        <w:t>Fairness</w:t>
      </w:r>
    </w:p>
    <w:p w14:paraId="584D64FD" w14:textId="0785D16F" w:rsidR="00046933" w:rsidRDefault="00046933" w:rsidP="00046933">
      <w:r>
        <w:t>Education</w:t>
      </w:r>
    </w:p>
    <w:p w14:paraId="33C03E4E" w14:textId="538B6ACD" w:rsidR="00046933" w:rsidRDefault="00046933" w:rsidP="00046933">
      <w:proofErr w:type="spellStart"/>
      <w:r>
        <w:t>Dtd</w:t>
      </w:r>
      <w:proofErr w:type="spellEnd"/>
      <w:r>
        <w:t xml:space="preserve"> </w:t>
      </w:r>
    </w:p>
    <w:p w14:paraId="268D10CB" w14:textId="35BB747B" w:rsidR="00046933" w:rsidRDefault="00046933" w:rsidP="00046933">
      <w:r>
        <w:t>competing</w:t>
      </w:r>
    </w:p>
    <w:p w14:paraId="5591CBF7" w14:textId="0F170EE7" w:rsidR="00046933" w:rsidRDefault="00046933" w:rsidP="00046933">
      <w:r>
        <w:t xml:space="preserve">No </w:t>
      </w:r>
      <w:proofErr w:type="spellStart"/>
      <w:r>
        <w:t>rvi</w:t>
      </w:r>
      <w:proofErr w:type="spellEnd"/>
    </w:p>
    <w:p w14:paraId="02A37350" w14:textId="36F830C8" w:rsidR="00046933" w:rsidRDefault="00046933" w:rsidP="00046933">
      <w:pPr>
        <w:pStyle w:val="Heading2"/>
      </w:pPr>
      <w:r>
        <w:lastRenderedPageBreak/>
        <w:t>3</w:t>
      </w:r>
    </w:p>
    <w:p w14:paraId="61DD9376" w14:textId="77777777" w:rsidR="00046933" w:rsidRDefault="00046933" w:rsidP="00046933">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0C6EF4BB" w14:textId="77777777" w:rsidR="00046933" w:rsidRPr="004B406B" w:rsidRDefault="00046933" w:rsidP="00046933">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2" w:anchor="_idTextAnchor020" w:history="1">
        <w:r w:rsidRPr="004B406B">
          <w:rPr>
            <w:rStyle w:val="Hyperlink"/>
          </w:rPr>
          <w:t>https://www.cbo.goc/publication/57126#_idTextAnchor020</w:t>
        </w:r>
      </w:hyperlink>
      <w:r w:rsidRPr="004B406B">
        <w:t xml:space="preserve"> </w:t>
      </w:r>
      <w:r>
        <w:t>SJ//DA</w:t>
      </w:r>
    </w:p>
    <w:p w14:paraId="17AF5BC4" w14:textId="77777777" w:rsidR="00046933" w:rsidRPr="00334F58" w:rsidRDefault="00046933" w:rsidP="00046933">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D6019A9" w14:textId="77777777" w:rsidR="00046933" w:rsidRPr="00867226" w:rsidRDefault="00046933" w:rsidP="00046933"/>
    <w:p w14:paraId="2AC54FB9" w14:textId="77777777" w:rsidR="00046933" w:rsidRDefault="00046933" w:rsidP="00046933">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6E903230" w14:textId="77777777" w:rsidR="00046933" w:rsidRPr="00AB7043" w:rsidRDefault="00046933" w:rsidP="00046933">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3" w:history="1">
        <w:r w:rsidRPr="00FE7871">
          <w:rPr>
            <w:rStyle w:val="Hyperlink"/>
          </w:rPr>
          <w:t>https://www.barrons.com/articles/big-pharma-is-not-the-tobacco-industry-51620315693</w:t>
        </w:r>
      </w:hyperlink>
      <w:r>
        <w:t>] Justin</w:t>
      </w:r>
    </w:p>
    <w:p w14:paraId="2CE24E4E" w14:textId="77777777" w:rsidR="00046933" w:rsidRDefault="00046933" w:rsidP="00046933">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 xml:space="preserve">enormous public </w:t>
      </w:r>
      <w:r w:rsidRPr="00AB7043">
        <w:rPr>
          <w:rStyle w:val="Emphasis"/>
        </w:rPr>
        <w:lastRenderedPageBreak/>
        <w:t>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0E2CB59" w14:textId="77777777" w:rsidR="00046933" w:rsidRDefault="00046933" w:rsidP="00046933">
      <w:pPr>
        <w:rPr>
          <w:sz w:val="16"/>
        </w:rPr>
      </w:pPr>
    </w:p>
    <w:p w14:paraId="179FD3FA" w14:textId="77777777" w:rsidR="00046933" w:rsidRDefault="00046933" w:rsidP="00046933"/>
    <w:p w14:paraId="6993CB9A" w14:textId="77777777" w:rsidR="00046933" w:rsidRDefault="00046933" w:rsidP="00046933">
      <w:pPr>
        <w:pStyle w:val="Heading4"/>
      </w:pPr>
      <w:r>
        <w:t xml:space="preserve">Pharma Innovation </w:t>
      </w:r>
      <w:r>
        <w:rPr>
          <w:u w:val="single"/>
        </w:rPr>
        <w:t>prevents Extinction</w:t>
      </w:r>
      <w:r>
        <w:t xml:space="preserve"> – checks </w:t>
      </w:r>
      <w:r>
        <w:rPr>
          <w:u w:val="single"/>
        </w:rPr>
        <w:t>new diseases</w:t>
      </w:r>
      <w:r>
        <w:t>.</w:t>
      </w:r>
    </w:p>
    <w:p w14:paraId="65F6B79C" w14:textId="77777777" w:rsidR="00046933" w:rsidRPr="00343733" w:rsidRDefault="00046933" w:rsidP="00046933">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4EEC9F7" w14:textId="77777777" w:rsidR="00046933" w:rsidRPr="00610247" w:rsidRDefault="00046933" w:rsidP="00046933">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w:t>
      </w:r>
      <w:r w:rsidRPr="00343733">
        <w:rPr>
          <w:rStyle w:val="StyleThickunderline1"/>
        </w:rPr>
        <w:lastRenderedPageBreak/>
        <w:t xml:space="preserve">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7C6F0F5" w14:textId="77777777" w:rsidR="00046933" w:rsidRDefault="00046933" w:rsidP="00046933">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4616B3E1" w14:textId="77777777" w:rsidR="00046933" w:rsidRPr="00CB1B2A" w:rsidRDefault="00046933" w:rsidP="00046933">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FFFA683" w14:textId="77777777" w:rsidR="00046933" w:rsidRDefault="00046933" w:rsidP="00046933">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w:t>
      </w:r>
      <w:r w:rsidRPr="00343733">
        <w:rPr>
          <w:u w:val="single"/>
        </w:rPr>
        <w:lastRenderedPageBreak/>
        <w:t>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6A743169" w14:textId="31798FE6" w:rsidR="00046933" w:rsidRDefault="00046933" w:rsidP="00046933">
      <w:pPr>
        <w:pStyle w:val="Heading2"/>
      </w:pPr>
      <w:r>
        <w:lastRenderedPageBreak/>
        <w:t>Case</w:t>
      </w:r>
    </w:p>
    <w:p w14:paraId="1C7F200B" w14:textId="77777777" w:rsidR="000C0775" w:rsidRPr="003B504D" w:rsidRDefault="000C0775" w:rsidP="000C0775">
      <w:pPr>
        <w:pStyle w:val="Heading4"/>
        <w:rPr>
          <w:rFonts w:cs="Calibri"/>
        </w:rPr>
      </w:pPr>
      <w:r w:rsidRPr="003B504D">
        <w:rPr>
          <w:rFonts w:cs="Calibri"/>
        </w:rPr>
        <w:t>The academy loves their pain narrative – it uses this to “decolonize” education and to recreate a subjugated politics of recognition.</w:t>
      </w:r>
    </w:p>
    <w:p w14:paraId="53FCFCC5" w14:textId="77777777" w:rsidR="000C0775" w:rsidRPr="003B504D" w:rsidRDefault="000C0775" w:rsidP="000C0775">
      <w:r w:rsidRPr="003B504D">
        <w:rPr>
          <w:rStyle w:val="Style13ptBold"/>
        </w:rPr>
        <w:t>Tuck and Yang 14</w:t>
      </w:r>
      <w:r w:rsidRPr="003B504D">
        <w:t xml:space="preserve"> </w:t>
      </w:r>
      <w:r w:rsidRPr="003B504D">
        <w:rPr>
          <w:sz w:val="16"/>
          <w:szCs w:val="18"/>
        </w:rPr>
        <w:t>Eve Tuck and K. Wayne Yang, "R-words: Refusing research." Humanizing research: Decolonizing qualitative inquiry with youth and communities (2014): 223-248. SJBE</w:t>
      </w:r>
    </w:p>
    <w:p w14:paraId="2B79E2F1" w14:textId="77777777" w:rsidR="000C0775" w:rsidRPr="003B504D" w:rsidRDefault="000C0775" w:rsidP="000C0775">
      <w:pPr>
        <w:rPr>
          <w:sz w:val="16"/>
        </w:rPr>
      </w:pPr>
      <w:r w:rsidRPr="003B504D">
        <w:rPr>
          <w:sz w:val="16"/>
        </w:rPr>
        <w:t xml:space="preserve">Elsewhere, Eve (Tuck, 2009, 2010) has argued that </w:t>
      </w:r>
      <w:r w:rsidRPr="003B504D">
        <w:rPr>
          <w:rStyle w:val="Emphasis"/>
          <w:highlight w:val="green"/>
        </w:rPr>
        <w:t>educational research</w:t>
      </w:r>
      <w:r w:rsidRPr="003B504D">
        <w:rPr>
          <w:rStyle w:val="Emphasis"/>
        </w:rPr>
        <w:t xml:space="preserve"> and much of social science research </w:t>
      </w:r>
      <w:r w:rsidRPr="003B504D">
        <w:rPr>
          <w:rStyle w:val="Emphasis"/>
          <w:highlight w:val="green"/>
        </w:rPr>
        <w:t>has been concerned with documenting damage</w:t>
      </w:r>
      <w:r w:rsidRPr="003B504D">
        <w:rPr>
          <w:rStyle w:val="Emphasis"/>
        </w:rPr>
        <w:t xml:space="preserve">, or empirically substantiating the oppression and pain </w:t>
      </w:r>
      <w:r w:rsidRPr="003B504D">
        <w:rPr>
          <w:rStyle w:val="Emphasis"/>
          <w:highlight w:val="green"/>
        </w:rPr>
        <w:t>of Native communities</w:t>
      </w:r>
      <w:r w:rsidRPr="003B504D">
        <w:rPr>
          <w:rStyle w:val="Emphasis"/>
        </w:rPr>
        <w:t>, urban communities, and other disenfranchised communities</w:t>
      </w:r>
      <w:r w:rsidRPr="003B504D">
        <w:rPr>
          <w:sz w:val="16"/>
        </w:rPr>
        <w:t xml:space="preserve">. Damage-centered researchers may operate, even benevolently, within a theory of change in which harm must be recorded or proven </w:t>
      </w:r>
      <w:proofErr w:type="gramStart"/>
      <w:r w:rsidRPr="003B504D">
        <w:rPr>
          <w:sz w:val="16"/>
        </w:rPr>
        <w:t>in order to</w:t>
      </w:r>
      <w:proofErr w:type="gramEnd"/>
      <w:r w:rsidRPr="003B504D">
        <w:rPr>
          <w:sz w:val="16"/>
        </w:rPr>
        <w:t xml:space="preserve"> convince an outside adjudicator that reparations are deserved. </w:t>
      </w:r>
      <w:r w:rsidRPr="003B504D">
        <w:rPr>
          <w:rStyle w:val="Emphasis"/>
          <w:highlight w:val="green"/>
        </w:rPr>
        <w:t>These</w:t>
      </w:r>
      <w:r w:rsidRPr="003B504D">
        <w:rPr>
          <w:rStyle w:val="Emphasis"/>
        </w:rPr>
        <w:t xml:space="preserve"> reparations presumably </w:t>
      </w:r>
      <w:r w:rsidRPr="003B504D">
        <w:rPr>
          <w:rStyle w:val="Emphasis"/>
          <w:highlight w:val="green"/>
        </w:rPr>
        <w:t>take the form of</w:t>
      </w:r>
      <w:r w:rsidRPr="003B504D">
        <w:rPr>
          <w:rStyle w:val="Emphasis"/>
        </w:rPr>
        <w:t xml:space="preserve"> </w:t>
      </w:r>
      <w:proofErr w:type="spellStart"/>
      <w:r w:rsidRPr="003B504D">
        <w:rPr>
          <w:rStyle w:val="Emphasis"/>
        </w:rPr>
        <w:t>addi</w:t>
      </w:r>
      <w:proofErr w:type="spellEnd"/>
      <w:r w:rsidRPr="003B504D">
        <w:rPr>
          <w:rStyle w:val="Emphasis"/>
        </w:rPr>
        <w:t xml:space="preserve">- </w:t>
      </w:r>
      <w:proofErr w:type="spellStart"/>
      <w:r w:rsidRPr="003B504D">
        <w:rPr>
          <w:rStyle w:val="Emphasis"/>
        </w:rPr>
        <w:t>tional</w:t>
      </w:r>
      <w:proofErr w:type="spellEnd"/>
      <w:r w:rsidRPr="003B504D">
        <w:rPr>
          <w:rStyle w:val="Emphasis"/>
        </w:rPr>
        <w:t xml:space="preserve"> resources, settlements, affirmative actions, and other </w:t>
      </w:r>
      <w:r w:rsidRPr="003B504D">
        <w:rPr>
          <w:rStyle w:val="Emphasis"/>
          <w:highlight w:val="green"/>
        </w:rPr>
        <w:t>material, political, and sovereign adjustments</w:t>
      </w:r>
      <w:r w:rsidRPr="003B504D">
        <w:rPr>
          <w:sz w:val="16"/>
          <w:highlight w:val="green"/>
        </w:rPr>
        <w:t>.</w:t>
      </w:r>
      <w:r w:rsidRPr="003B504D">
        <w:rPr>
          <w:sz w:val="16"/>
        </w:rPr>
        <w:t xml:space="preserve"> Eve has described this theory of change1 as both colonial and flawed, because it relies upon Western notions of power as scarce and concentrated, and because it requires disenfranchised communities to </w:t>
      </w:r>
      <w:proofErr w:type="spellStart"/>
      <w:r w:rsidRPr="003B504D">
        <w:rPr>
          <w:sz w:val="16"/>
        </w:rPr>
        <w:t>posi</w:t>
      </w:r>
      <w:proofErr w:type="spellEnd"/>
      <w:r w:rsidRPr="003B504D">
        <w:rPr>
          <w:sz w:val="16"/>
        </w:rPr>
        <w:t xml:space="preserve">- </w:t>
      </w:r>
      <w:proofErr w:type="spellStart"/>
      <w:r w:rsidRPr="003B504D">
        <w:rPr>
          <w:sz w:val="16"/>
        </w:rPr>
        <w:t>tion</w:t>
      </w:r>
      <w:proofErr w:type="spellEnd"/>
      <w:r w:rsidRPr="003B504D">
        <w:rPr>
          <w:sz w:val="16"/>
        </w:rPr>
        <w:t xml:space="preserve"> themselves as both singularly defective and powerless to make change (2010). </w:t>
      </w:r>
      <w:r w:rsidRPr="003B504D">
        <w:rPr>
          <w:rStyle w:val="Emphasis"/>
        </w:rPr>
        <w:t>Finally, Eve has observed that “</w:t>
      </w:r>
      <w:r w:rsidRPr="003B504D">
        <w:rPr>
          <w:rStyle w:val="Emphasis"/>
          <w:highlight w:val="green"/>
        </w:rPr>
        <w:t>won” reparations rarely become reality</w:t>
      </w:r>
      <w:r w:rsidRPr="003B504D">
        <w:rPr>
          <w:rStyle w:val="Emphasis"/>
        </w:rPr>
        <w:t xml:space="preserve">, and that in many cases, </w:t>
      </w:r>
      <w:r w:rsidRPr="003B504D">
        <w:rPr>
          <w:rStyle w:val="Emphasis"/>
          <w:highlight w:val="green"/>
        </w:rPr>
        <w:t>communities are left with a narrative that tells them that they are broken.</w:t>
      </w:r>
      <w:r w:rsidRPr="003B504D">
        <w:rPr>
          <w:sz w:val="16"/>
        </w:rPr>
        <w:t xml:space="preserve"> Similarly, at the center of the analysis in this chapter is a concern with the fixation social science research has exhibited in eliciting pain stories from com- munities that are not White, not wealthy, and not straight. </w:t>
      </w:r>
      <w:r w:rsidRPr="003B504D">
        <w:rPr>
          <w:rStyle w:val="Emphasis"/>
          <w:highlight w:val="green"/>
        </w:rPr>
        <w:t>Academe’s</w:t>
      </w:r>
      <w:r w:rsidRPr="003B504D">
        <w:rPr>
          <w:rStyle w:val="Emphasis"/>
        </w:rPr>
        <w:t xml:space="preserve"> demon- </w:t>
      </w:r>
      <w:proofErr w:type="spellStart"/>
      <w:r w:rsidRPr="003B504D">
        <w:rPr>
          <w:rStyle w:val="Emphasis"/>
        </w:rPr>
        <w:t>strated</w:t>
      </w:r>
      <w:proofErr w:type="spellEnd"/>
      <w:r w:rsidRPr="003B504D">
        <w:rPr>
          <w:rStyle w:val="Emphasis"/>
        </w:rPr>
        <w:t xml:space="preserve"> </w:t>
      </w:r>
      <w:r w:rsidRPr="003B504D">
        <w:rPr>
          <w:rStyle w:val="Emphasis"/>
          <w:highlight w:val="green"/>
        </w:rPr>
        <w:t>fascination with</w:t>
      </w:r>
      <w:r w:rsidRPr="003B504D">
        <w:rPr>
          <w:rStyle w:val="Emphasis"/>
        </w:rPr>
        <w:t xml:space="preserve"> </w:t>
      </w:r>
      <w:r w:rsidRPr="003B504D">
        <w:rPr>
          <w:rStyle w:val="Emphasis"/>
          <w:highlight w:val="green"/>
        </w:rPr>
        <w:t>telling</w:t>
      </w:r>
      <w:r w:rsidRPr="003B504D">
        <w:rPr>
          <w:rStyle w:val="Emphasis"/>
        </w:rPr>
        <w:t xml:space="preserve"> and retelling </w:t>
      </w:r>
      <w:r w:rsidRPr="003B504D">
        <w:rPr>
          <w:rStyle w:val="Emphasis"/>
          <w:highlight w:val="green"/>
        </w:rPr>
        <w:t>narratives of pain is troubling</w:t>
      </w:r>
      <w:r w:rsidRPr="003B504D">
        <w:rPr>
          <w:rStyle w:val="Emphasis"/>
        </w:rPr>
        <w:t xml:space="preserve">, both for its voyeurism and for its consumptive implacability. Imagining “itself to be a voice, and in some disciplinary iterations, the voice of the </w:t>
      </w:r>
      <w:proofErr w:type="spellStart"/>
      <w:r w:rsidRPr="003B504D">
        <w:rPr>
          <w:rStyle w:val="Emphasis"/>
        </w:rPr>
        <w:t>colonised</w:t>
      </w:r>
      <w:proofErr w:type="spellEnd"/>
      <w:r w:rsidRPr="003B504D">
        <w:rPr>
          <w:sz w:val="16"/>
        </w:rPr>
        <w:t xml:space="preserve">” (Simpson, 2007, p. 67, emphasis in the original) is not just a rare historical occurrence in anthropology and related fields. </w:t>
      </w:r>
      <w:r w:rsidRPr="003B504D">
        <w:rPr>
          <w:rStyle w:val="Emphasis"/>
        </w:rPr>
        <w:t xml:space="preserve">We observe that much of </w:t>
      </w:r>
      <w:r w:rsidRPr="003B504D">
        <w:rPr>
          <w:rStyle w:val="Emphasis"/>
          <w:highlight w:val="green"/>
        </w:rPr>
        <w:t>the work of the academy is to reproduce stories of oppression in its own voice</w:t>
      </w:r>
      <w:r w:rsidRPr="003B504D">
        <w:rPr>
          <w:rStyle w:val="Emphasis"/>
        </w:rPr>
        <w:t>.</w:t>
      </w:r>
      <w:r w:rsidRPr="003B504D">
        <w:rPr>
          <w:sz w:val="16"/>
        </w:rPr>
        <w:t xml:space="preserve"> At first, this may read as an intolerant condemnation of the academy, one that refuses to forgive past blunders and see how things have changed in recent decades. However, it is our view that while many individual scholars have </w:t>
      </w:r>
      <w:proofErr w:type="spellStart"/>
      <w:r w:rsidRPr="003B504D">
        <w:rPr>
          <w:sz w:val="16"/>
        </w:rPr>
        <w:t>cho</w:t>
      </w:r>
      <w:proofErr w:type="spellEnd"/>
      <w:r w:rsidRPr="003B504D">
        <w:rPr>
          <w:sz w:val="16"/>
        </w:rPr>
        <w:t xml:space="preserve">- </w:t>
      </w:r>
      <w:proofErr w:type="spellStart"/>
      <w:r w:rsidRPr="003B504D">
        <w:rPr>
          <w:sz w:val="16"/>
        </w:rPr>
        <w:t>sen</w:t>
      </w:r>
      <w:proofErr w:type="spellEnd"/>
      <w:r w:rsidRPr="003B504D">
        <w:rPr>
          <w:sz w:val="16"/>
        </w:rPr>
        <w:t xml:space="preserve"> to pursue other lines of inquiry than the pain narratives typical of their disciplines, novice researchers emerge from doctoral programs eager to launch pain-based inquiry projects because they believe that such approaches embody what it means to do social science. </w:t>
      </w:r>
      <w:r w:rsidRPr="003B504D">
        <w:rPr>
          <w:rStyle w:val="Emphasis"/>
        </w:rPr>
        <w:t>The collection of pain narratives and the theories of change that champion the value of such narratives are so prevalent in the social sciences that one might surmise that they are indeed what the academy is about</w:t>
      </w:r>
      <w:r w:rsidRPr="003B504D">
        <w:rPr>
          <w:sz w:val="16"/>
        </w:rPr>
        <w:t xml:space="preserve">. In her examination of the symbolic violence of the academy, bell hooks (1990) </w:t>
      </w:r>
      <w:proofErr w:type="gramStart"/>
      <w:r w:rsidRPr="003B504D">
        <w:rPr>
          <w:sz w:val="16"/>
        </w:rPr>
        <w:t>portrays</w:t>
      </w:r>
      <w:proofErr w:type="gramEnd"/>
      <w:r w:rsidRPr="003B504D">
        <w:rPr>
          <w:sz w:val="16"/>
        </w:rPr>
        <w:t xml:space="preserve"> </w:t>
      </w:r>
      <w:r w:rsidRPr="003B504D">
        <w:rPr>
          <w:rStyle w:val="Emphasis"/>
          <w:highlight w:val="green"/>
        </w:rPr>
        <w:t>the</w:t>
      </w:r>
      <w:r w:rsidRPr="003B504D">
        <w:rPr>
          <w:rStyle w:val="Emphasis"/>
        </w:rPr>
        <w:t xml:space="preserve"> core </w:t>
      </w:r>
      <w:r w:rsidRPr="003B504D">
        <w:rPr>
          <w:rStyle w:val="Emphasis"/>
          <w:highlight w:val="green"/>
        </w:rPr>
        <w:t>message from the academy</w:t>
      </w:r>
      <w:r w:rsidRPr="003B504D">
        <w:rPr>
          <w:sz w:val="16"/>
        </w:rPr>
        <w:t xml:space="preserve"> to those on the margins as thus: </w:t>
      </w:r>
      <w:r w:rsidRPr="003B504D">
        <w:rPr>
          <w:rStyle w:val="Emphasis"/>
          <w:highlight w:val="green"/>
        </w:rPr>
        <w:t>No need to hear your voice when I can talk about you better</w:t>
      </w:r>
      <w:r w:rsidRPr="003B504D">
        <w:rPr>
          <w:rStyle w:val="Emphasis"/>
        </w:rPr>
        <w:t xml:space="preserve"> than you can speak about yourself. No need to hear your voice. Only tell me about your pain. I want to know your story. And then I will tell it back to you in a new way. Tell it back to you in such a way that it has become mine, my own. Re-writing you I write myself anew. </w:t>
      </w:r>
      <w:r w:rsidRPr="003B504D">
        <w:rPr>
          <w:sz w:val="16"/>
        </w:rPr>
        <w:t xml:space="preserve">I am still author, authority. </w:t>
      </w:r>
      <w:r w:rsidRPr="003B504D">
        <w:rPr>
          <w:rStyle w:val="Emphasis"/>
          <w:highlight w:val="green"/>
        </w:rPr>
        <w:t>I am</w:t>
      </w:r>
      <w:r w:rsidRPr="003B504D">
        <w:rPr>
          <w:rStyle w:val="Emphasis"/>
        </w:rPr>
        <w:t xml:space="preserve"> still </w:t>
      </w:r>
      <w:r w:rsidRPr="003B504D">
        <w:rPr>
          <w:rStyle w:val="Emphasis"/>
          <w:highlight w:val="green"/>
        </w:rPr>
        <w:t>colonizer</w:t>
      </w:r>
      <w:r w:rsidRPr="003B504D">
        <w:rPr>
          <w:rStyle w:val="Emphasis"/>
        </w:rPr>
        <w:t xml:space="preserve"> the speaking subject </w:t>
      </w:r>
      <w:r w:rsidRPr="003B504D">
        <w:rPr>
          <w:rStyle w:val="Emphasis"/>
          <w:highlight w:val="green"/>
        </w:rPr>
        <w:t>and you</w:t>
      </w:r>
      <w:r w:rsidRPr="003B504D">
        <w:rPr>
          <w:rStyle w:val="Emphasis"/>
        </w:rPr>
        <w:t xml:space="preserve"> </w:t>
      </w:r>
      <w:r w:rsidRPr="003B504D">
        <w:rPr>
          <w:rStyle w:val="Emphasis"/>
          <w:highlight w:val="green"/>
        </w:rPr>
        <w:t>are</w:t>
      </w:r>
      <w:r w:rsidRPr="003B504D">
        <w:rPr>
          <w:rStyle w:val="Emphasis"/>
        </w:rPr>
        <w:t xml:space="preserve"> now at </w:t>
      </w:r>
      <w:r w:rsidRPr="003B504D">
        <w:rPr>
          <w:rStyle w:val="Emphasis"/>
          <w:highlight w:val="green"/>
        </w:rPr>
        <w:t>the center of my talk</w:t>
      </w:r>
      <w:r w:rsidRPr="003B504D">
        <w:rPr>
          <w:sz w:val="16"/>
        </w:rPr>
        <w:t>. (p. 343) Hooks’</w:t>
      </w:r>
      <w:proofErr w:type="spellStart"/>
      <w:r w:rsidRPr="003B504D">
        <w:rPr>
          <w:sz w:val="16"/>
        </w:rPr>
        <w:t>s words</w:t>
      </w:r>
      <w:proofErr w:type="spellEnd"/>
      <w:r w:rsidRPr="003B504D">
        <w:rPr>
          <w:sz w:val="16"/>
        </w:rPr>
        <w:t xml:space="preserve"> resonate with our observation of how much of social science research is concerned with providing recognition to the presumed voiceless, a recognition that is enamored with knowing through pain. Further, this passage describes the ways in which </w:t>
      </w:r>
      <w:r w:rsidRPr="003B504D">
        <w:rPr>
          <w:rStyle w:val="Emphasis"/>
          <w:highlight w:val="green"/>
        </w:rPr>
        <w:t>the researcher’s voice is constituted by,</w:t>
      </w:r>
      <w:r w:rsidRPr="003B504D">
        <w:rPr>
          <w:rStyle w:val="Emphasis"/>
        </w:rPr>
        <w:t xml:space="preserve"> legitimated by, animated by the </w:t>
      </w:r>
      <w:r w:rsidRPr="003B504D">
        <w:rPr>
          <w:rStyle w:val="Emphasis"/>
          <w:highlight w:val="green"/>
        </w:rPr>
        <w:t>voices on the margins</w:t>
      </w:r>
      <w:r w:rsidRPr="003B504D">
        <w:rPr>
          <w:sz w:val="16"/>
          <w:highlight w:val="green"/>
        </w:rPr>
        <w:t>.</w:t>
      </w:r>
      <w:r w:rsidRPr="003B504D">
        <w:rPr>
          <w:sz w:val="16"/>
        </w:rPr>
        <w:t xml:space="preserve"> </w:t>
      </w:r>
      <w:r w:rsidRPr="003B504D">
        <w:rPr>
          <w:rStyle w:val="Emphasis"/>
        </w:rPr>
        <w:t>The researcher-self is made anew by telling back the story of the marginalized/subaltern subject.</w:t>
      </w:r>
      <w:r w:rsidRPr="003B504D">
        <w:rPr>
          <w:sz w:val="16"/>
        </w:rPr>
        <w:t xml:space="preserve"> Hooks works to untangle the almost imperceptible differences between forces that silence and forces that seemingly liberate by inviting those on the margins to speak, to tell their stories. Yet the forces that invite those on the margins to speak also say, “Do not speak in a voice of resistance. Only speak from that space in the margin that is a sign of deprivation, a wound, an unfulfilled longing. Only speak your pain” (hooks, 1990, p. 343). </w:t>
      </w:r>
      <w:r w:rsidRPr="003B504D">
        <w:rPr>
          <w:rStyle w:val="Emphasis"/>
        </w:rPr>
        <w:t xml:space="preserve">The costs of </w:t>
      </w:r>
      <w:r w:rsidRPr="003B504D">
        <w:rPr>
          <w:rStyle w:val="Emphasis"/>
          <w:highlight w:val="green"/>
        </w:rPr>
        <w:t>a politics of recognition</w:t>
      </w:r>
      <w:r w:rsidRPr="003B504D">
        <w:rPr>
          <w:rStyle w:val="Emphasis"/>
        </w:rPr>
        <w:t xml:space="preserve"> that is rooted in naming pain have been critiqued by recent decolonizing and feminist scholars</w:t>
      </w:r>
      <w:r w:rsidRPr="003B504D">
        <w:rPr>
          <w:sz w:val="16"/>
        </w:rPr>
        <w:t xml:space="preserve"> (Hartman, 1997, 2007; Tuck, 2009). In Scenes of Subjection, </w:t>
      </w:r>
      <w:proofErr w:type="spellStart"/>
      <w:r w:rsidRPr="003B504D">
        <w:rPr>
          <w:sz w:val="16"/>
        </w:rPr>
        <w:t>Sadiya</w:t>
      </w:r>
      <w:proofErr w:type="spellEnd"/>
      <w:r w:rsidRPr="003B504D">
        <w:rPr>
          <w:sz w:val="16"/>
        </w:rPr>
        <w:t xml:space="preserve"> Hartman (1997) discusses how rec- </w:t>
      </w:r>
      <w:proofErr w:type="spellStart"/>
      <w:r w:rsidRPr="003B504D">
        <w:rPr>
          <w:sz w:val="16"/>
        </w:rPr>
        <w:t>ognizing</w:t>
      </w:r>
      <w:proofErr w:type="spellEnd"/>
      <w:r w:rsidRPr="003B504D">
        <w:rPr>
          <w:sz w:val="16"/>
        </w:rPr>
        <w:t xml:space="preserve"> the personhood of slaves enhanced the power of the Southern slave- owning class. </w:t>
      </w:r>
      <w:r w:rsidRPr="003B504D">
        <w:rPr>
          <w:rStyle w:val="Emphasis"/>
        </w:rPr>
        <w:t xml:space="preserve">Supplicating </w:t>
      </w:r>
      <w:r w:rsidRPr="003B504D">
        <w:rPr>
          <w:rStyle w:val="Emphasis"/>
        </w:rPr>
        <w:lastRenderedPageBreak/>
        <w:t>narratives of former slaves were deployed effectively by abolitionists, mainly White, well-to-do, Northern women, to generate portraits of abuse that ergo recognize slaves as human</w:t>
      </w:r>
      <w:r w:rsidRPr="003B504D">
        <w:rPr>
          <w:sz w:val="16"/>
        </w:rPr>
        <w:t xml:space="preserve"> (Hartman, 2007). </w:t>
      </w:r>
      <w:r w:rsidRPr="003B504D">
        <w:rPr>
          <w:rStyle w:val="Emphasis"/>
        </w:rPr>
        <w:t xml:space="preserve">In response, new laws </w:t>
      </w:r>
      <w:r w:rsidRPr="003B504D">
        <w:rPr>
          <w:rStyle w:val="Emphasis"/>
          <w:highlight w:val="green"/>
        </w:rPr>
        <w:t>afforded minimal standards of existence, “making personhood coterminous with injury</w:t>
      </w:r>
      <w:r w:rsidRPr="003B504D">
        <w:rPr>
          <w:rStyle w:val="Emphasis"/>
        </w:rPr>
        <w:t>”</w:t>
      </w:r>
      <w:r w:rsidRPr="003B504D">
        <w:rPr>
          <w:sz w:val="16"/>
        </w:rPr>
        <w:t xml:space="preserve"> (Hartman, 1997, p. 93), while simultaneously authorizing necessary violence to suppress slave agency. The slave emerges as a legal person only when seen as criminal or “a violated body in need of limited forms of protection” (p. 55). Recognition “humanizes” the </w:t>
      </w:r>
      <w:proofErr w:type="gramStart"/>
      <w:r w:rsidRPr="003B504D">
        <w:rPr>
          <w:sz w:val="16"/>
        </w:rPr>
        <w:t>slave, but</w:t>
      </w:r>
      <w:proofErr w:type="gramEnd"/>
      <w:r w:rsidRPr="003B504D">
        <w:rPr>
          <w:sz w:val="16"/>
        </w:rPr>
        <w:t xml:space="preserve"> is predicated upon her or his abjection. </w:t>
      </w:r>
      <w:r w:rsidRPr="003B504D">
        <w:rPr>
          <w:rStyle w:val="Emphasis"/>
          <w:highlight w:val="green"/>
        </w:rPr>
        <w:t xml:space="preserve">You are in </w:t>
      </w:r>
      <w:proofErr w:type="gramStart"/>
      <w:r w:rsidRPr="003B504D">
        <w:rPr>
          <w:rStyle w:val="Emphasis"/>
          <w:highlight w:val="green"/>
        </w:rPr>
        <w:t>pain,</w:t>
      </w:r>
      <w:proofErr w:type="gramEnd"/>
      <w:r w:rsidRPr="003B504D">
        <w:rPr>
          <w:rStyle w:val="Emphasis"/>
          <w:highlight w:val="green"/>
        </w:rPr>
        <w:t xml:space="preserve"> therefore you are</w:t>
      </w:r>
      <w:r w:rsidRPr="003B504D">
        <w:rPr>
          <w:sz w:val="16"/>
        </w:rPr>
        <w:t xml:space="preserve">. “[T]he recognition of humanity require[s] the event of excessive violence, cruelty beyond the limits of the socially tolerable, in order to acknowledge and protect the slave’s person” (p. 55). Furthermore, Hartman describes how slave-as-victim as human accordingly establishes slave-as-agent as criminal. Applying Hartman’s analysis, we note how the agency of Margaret Garner or Nat Turner can only be viewed as outsider violence that humane society must reject while simultaneously upholding the legitimated violence of the state to punish such outsider violence. Hartman asks, “Is it possible that such recognition effectively forecloses agency as the object of punishment . . . </w:t>
      </w:r>
      <w:r w:rsidRPr="003B504D">
        <w:rPr>
          <w:rStyle w:val="Emphasis"/>
        </w:rPr>
        <w:t xml:space="preserve">Or is </w:t>
      </w:r>
      <w:r w:rsidRPr="003B504D">
        <w:rPr>
          <w:rStyle w:val="Emphasis"/>
          <w:highlight w:val="green"/>
        </w:rPr>
        <w:t>this limited conferral of humanity</w:t>
      </w:r>
      <w:r w:rsidRPr="003B504D">
        <w:rPr>
          <w:rStyle w:val="Emphasis"/>
        </w:rPr>
        <w:t xml:space="preserve"> merely </w:t>
      </w:r>
      <w:r w:rsidRPr="003B504D">
        <w:rPr>
          <w:rStyle w:val="Emphasis"/>
          <w:highlight w:val="green"/>
        </w:rPr>
        <w:t xml:space="preserve">a </w:t>
      </w:r>
      <w:proofErr w:type="spellStart"/>
      <w:r w:rsidRPr="003B504D">
        <w:rPr>
          <w:rStyle w:val="Emphasis"/>
          <w:highlight w:val="green"/>
        </w:rPr>
        <w:t>reinscription</w:t>
      </w:r>
      <w:proofErr w:type="spellEnd"/>
      <w:r w:rsidRPr="003B504D">
        <w:rPr>
          <w:rStyle w:val="Emphasis"/>
          <w:highlight w:val="green"/>
        </w:rPr>
        <w:t xml:space="preserve"> of subjugation</w:t>
      </w:r>
      <w:r w:rsidRPr="003B504D">
        <w:rPr>
          <w:rStyle w:val="Emphasis"/>
        </w:rPr>
        <w:t xml:space="preserve"> and pained </w:t>
      </w:r>
      <w:r w:rsidRPr="003B504D">
        <w:rPr>
          <w:rStyle w:val="Emphasis"/>
          <w:highlight w:val="green"/>
        </w:rPr>
        <w:t>existence</w:t>
      </w:r>
      <w:r w:rsidRPr="003B504D">
        <w:rPr>
          <w:rStyle w:val="Emphasis"/>
        </w:rPr>
        <w:t>?</w:t>
      </w:r>
      <w:r w:rsidRPr="003B504D">
        <w:rPr>
          <w:sz w:val="16"/>
        </w:rPr>
        <w:t xml:space="preserve">” (p. 55). As numerous scholars have denoted, </w:t>
      </w:r>
      <w:r w:rsidRPr="003B504D">
        <w:rPr>
          <w:rStyle w:val="Emphasis"/>
        </w:rPr>
        <w:t>many social science disciplines emerged from the need to provide justifications for social hierarchies undergirded by White supremacy and manifest destiny</w:t>
      </w:r>
      <w:r w:rsidRPr="003B504D">
        <w:rPr>
          <w:sz w:val="16"/>
        </w:rPr>
        <w:t xml:space="preserve"> (see also Gould, 1981; Selden, 1999; Tuck &amp; </w:t>
      </w:r>
      <w:proofErr w:type="spellStart"/>
      <w:r w:rsidRPr="003B504D">
        <w:rPr>
          <w:sz w:val="16"/>
        </w:rPr>
        <w:t>Guishard</w:t>
      </w:r>
      <w:proofErr w:type="spellEnd"/>
      <w:r w:rsidRPr="003B504D">
        <w:rPr>
          <w:sz w:val="16"/>
        </w:rPr>
        <w:t xml:space="preserve">, forthcoming). Wolfe (1999) has explored how the contoured logic of </w:t>
      </w:r>
      <w:r w:rsidRPr="003B504D">
        <w:rPr>
          <w:rStyle w:val="Emphasis"/>
        </w:rPr>
        <w:t>settler colonialism</w:t>
      </w:r>
      <w:r w:rsidRPr="003B504D">
        <w:rPr>
          <w:sz w:val="16"/>
        </w:rPr>
        <w:t xml:space="preserve"> (p. 5) can be mapped onto the </w:t>
      </w:r>
      <w:proofErr w:type="spellStart"/>
      <w:r w:rsidRPr="003B504D">
        <w:rPr>
          <w:sz w:val="16"/>
        </w:rPr>
        <w:t>microactivities</w:t>
      </w:r>
      <w:proofErr w:type="spellEnd"/>
      <w:r w:rsidRPr="003B504D">
        <w:rPr>
          <w:sz w:val="16"/>
        </w:rPr>
        <w:t xml:space="preserve"> of anthropology; Guthrie (1976) traces the roots of psychology to the need to “</w:t>
      </w:r>
      <w:r w:rsidRPr="003B504D">
        <w:rPr>
          <w:rStyle w:val="Emphasis"/>
        </w:rPr>
        <w:t xml:space="preserve">sci- </w:t>
      </w:r>
      <w:proofErr w:type="spellStart"/>
      <w:r w:rsidRPr="003B504D">
        <w:rPr>
          <w:rStyle w:val="Emphasis"/>
        </w:rPr>
        <w:t>entifically</w:t>
      </w:r>
      <w:proofErr w:type="spellEnd"/>
      <w:r w:rsidRPr="003B504D">
        <w:rPr>
          <w:rStyle w:val="Emphasis"/>
        </w:rPr>
        <w:t>” prove the supremacy of the White mind</w:t>
      </w:r>
      <w:r w:rsidRPr="003B504D">
        <w:rPr>
          <w:sz w:val="16"/>
        </w:rPr>
        <w:t xml:space="preserve">. </w:t>
      </w:r>
      <w:r w:rsidRPr="003B504D">
        <w:rPr>
          <w:rStyle w:val="Emphasis"/>
        </w:rPr>
        <w:t xml:space="preserve">The origins of many social science disciplines in maintaining logics of domination, </w:t>
      </w:r>
      <w:r w:rsidRPr="003B504D">
        <w:rPr>
          <w:sz w:val="16"/>
        </w:rPr>
        <w:t xml:space="preserve">while sometimes addressed in graduate schools, are regularly thought to be just errant or </w:t>
      </w:r>
      <w:proofErr w:type="spellStart"/>
      <w:r w:rsidRPr="003B504D">
        <w:rPr>
          <w:sz w:val="16"/>
        </w:rPr>
        <w:t>inauspi</w:t>
      </w:r>
      <w:proofErr w:type="spellEnd"/>
      <w:r w:rsidRPr="003B504D">
        <w:rPr>
          <w:sz w:val="16"/>
        </w:rPr>
        <w:t xml:space="preserve">- </w:t>
      </w:r>
      <w:proofErr w:type="spellStart"/>
      <w:r w:rsidRPr="003B504D">
        <w:rPr>
          <w:sz w:val="16"/>
        </w:rPr>
        <w:t>cious</w:t>
      </w:r>
      <w:proofErr w:type="spellEnd"/>
      <w:r w:rsidRPr="003B504D">
        <w:rPr>
          <w:sz w:val="16"/>
        </w:rPr>
        <w:t xml:space="preserve"> beginnings—much like the ways in which the genocide of Indigenous peoples that afforded the founding of the Unites States has been reduced to an unfortunate byproduct of the birthing of a new and great nation. Such </w:t>
      </w:r>
      <w:r w:rsidRPr="003B504D">
        <w:rPr>
          <w:rStyle w:val="Emphasis"/>
        </w:rPr>
        <w:t>amnesia is required in settler colonial societies</w:t>
      </w:r>
      <w:r w:rsidRPr="003B504D">
        <w:rPr>
          <w:sz w:val="16"/>
        </w:rPr>
        <w:t xml:space="preserve">, argues Lorenzo Veracini, </w:t>
      </w:r>
      <w:r w:rsidRPr="003B504D">
        <w:rPr>
          <w:rStyle w:val="Emphasis"/>
        </w:rPr>
        <w:t xml:space="preserve">because </w:t>
      </w:r>
      <w:r w:rsidRPr="003B504D">
        <w:rPr>
          <w:rStyle w:val="Emphasis"/>
          <w:highlight w:val="green"/>
        </w:rPr>
        <w:t>settler colonialism</w:t>
      </w:r>
      <w:r w:rsidRPr="003B504D">
        <w:rPr>
          <w:rStyle w:val="Emphasis"/>
        </w:rPr>
        <w:t xml:space="preserve"> is “characterized by a persistent drive to supersede the conditions of its operation,</w:t>
      </w:r>
      <w:r w:rsidRPr="003B504D">
        <w:rPr>
          <w:sz w:val="16"/>
        </w:rPr>
        <w:t xml:space="preserve">” (2011, p. 3); that is, </w:t>
      </w:r>
      <w:r w:rsidRPr="003B504D">
        <w:rPr>
          <w:rStyle w:val="Emphasis"/>
        </w:rPr>
        <w:t xml:space="preserve">to </w:t>
      </w:r>
      <w:r w:rsidRPr="003B504D">
        <w:rPr>
          <w:rStyle w:val="Emphasis"/>
          <w:highlight w:val="green"/>
        </w:rPr>
        <w:t>make itself invisible, natural</w:t>
      </w:r>
      <w:r w:rsidRPr="003B504D">
        <w:rPr>
          <w:rStyle w:val="Emphasis"/>
        </w:rPr>
        <w:t xml:space="preserve">, without </w:t>
      </w:r>
      <w:proofErr w:type="spellStart"/>
      <w:r w:rsidRPr="003B504D">
        <w:rPr>
          <w:rStyle w:val="Emphasis"/>
        </w:rPr>
        <w:t>ori</w:t>
      </w:r>
      <w:proofErr w:type="spellEnd"/>
      <w:r w:rsidRPr="003B504D">
        <w:rPr>
          <w:rStyle w:val="Emphasis"/>
        </w:rPr>
        <w:t xml:space="preserve">- gin (and </w:t>
      </w:r>
      <w:r w:rsidRPr="003B504D">
        <w:rPr>
          <w:rStyle w:val="Emphasis"/>
          <w:highlight w:val="green"/>
        </w:rPr>
        <w:t>without end</w:t>
      </w:r>
      <w:r w:rsidRPr="003B504D">
        <w:rPr>
          <w:rStyle w:val="Emphasis"/>
        </w:rPr>
        <w:t xml:space="preserve">), </w:t>
      </w:r>
      <w:r w:rsidRPr="003B504D">
        <w:rPr>
          <w:rStyle w:val="Emphasis"/>
          <w:highlight w:val="green"/>
        </w:rPr>
        <w:t>and inevitable</w:t>
      </w:r>
      <w:r w:rsidRPr="003B504D">
        <w:rPr>
          <w:sz w:val="16"/>
        </w:rPr>
        <w:t xml:space="preserve">. Social science disciplines have inherited the persistent drive to supersede the conditions of their operations from settler colonial logic, and it is this drive, a kind of unquestioning push forward, and not the origins of the disciplines that we attend to now. We are struck by the pervasive silence on questions regarding the </w:t>
      </w:r>
      <w:proofErr w:type="spellStart"/>
      <w:r w:rsidRPr="003B504D">
        <w:rPr>
          <w:sz w:val="16"/>
        </w:rPr>
        <w:t>contempo</w:t>
      </w:r>
      <w:proofErr w:type="spellEnd"/>
      <w:r w:rsidRPr="003B504D">
        <w:rPr>
          <w:sz w:val="16"/>
        </w:rPr>
        <w:t xml:space="preserve">- </w:t>
      </w:r>
      <w:proofErr w:type="spellStart"/>
      <w:r w:rsidRPr="003B504D">
        <w:rPr>
          <w:sz w:val="16"/>
        </w:rPr>
        <w:t>rary</w:t>
      </w:r>
      <w:proofErr w:type="spellEnd"/>
      <w:r w:rsidRPr="003B504D">
        <w:rPr>
          <w:sz w:val="16"/>
        </w:rPr>
        <w:t xml:space="preserve"> rationale(s) for social science research. Though a variety of ethical and procedural protocols require researchers to compose statements regarding the objectives or purposes of a particular project, such protocols do not prompt reflection upon the underlying beliefs about knowledge and change that too often go unexplored or unacknowledged. The rationale for conducting social science research that collects pain narratives seems to be self-evident for many scholars, but when looked at more closely, the rationales may be unconsidered, and some- what flimsy. Like a maritime archaeological site, such rationales might be best examined in situ, for fear of deterioration if extracted. Why do researchers collect pain narratives? </w:t>
      </w:r>
      <w:r w:rsidRPr="003B504D">
        <w:rPr>
          <w:rStyle w:val="Emphasis"/>
        </w:rPr>
        <w:t xml:space="preserve">Why does the academy want them? An initial and partial answer is because </w:t>
      </w:r>
      <w:r w:rsidRPr="003B504D">
        <w:rPr>
          <w:rStyle w:val="Emphasis"/>
          <w:highlight w:val="green"/>
        </w:rPr>
        <w:t>settler colonial ideology believes that</w:t>
      </w:r>
      <w:r w:rsidRPr="003B504D">
        <w:rPr>
          <w:rStyle w:val="Emphasis"/>
        </w:rPr>
        <w:t>, in fiction author Sherril Jaffe’s words, “</w:t>
      </w:r>
      <w:r w:rsidRPr="003B504D">
        <w:rPr>
          <w:rStyle w:val="Emphasis"/>
          <w:highlight w:val="green"/>
        </w:rPr>
        <w:t>scars make your body more interesting</w:t>
      </w:r>
      <w:r w:rsidRPr="003B504D">
        <w:rPr>
          <w:sz w:val="16"/>
        </w:rPr>
        <w:t>,” (1996, p. 58). Jaffe’s work of short, short of fiction bearing that sentiment as title captures the exquisite crossing of wounds and curiosity and pleasure</w:t>
      </w:r>
      <w:r w:rsidRPr="003B504D">
        <w:rPr>
          <w:rStyle w:val="Emphasis"/>
        </w:rPr>
        <w:t xml:space="preserve">. Settler colonial ideology, constituted by its conscription of others, holds the wounded body as more engrossing than the body that is not wounded </w:t>
      </w:r>
      <w:r w:rsidRPr="003B504D">
        <w:rPr>
          <w:sz w:val="16"/>
        </w:rPr>
        <w:t xml:space="preserve">(though the person with a wounded body does not politically or materially benefit for being more engrossing). </w:t>
      </w:r>
      <w:r w:rsidRPr="003B504D">
        <w:rPr>
          <w:rStyle w:val="Emphasis"/>
        </w:rPr>
        <w:t>In settler colonial logic, pain is more compelling than privilege, scars more enthralling than the body unmarked by experience. In settler colonial ideology, pain is evidence of authenticity, of the verifiability of a lived life.</w:t>
      </w:r>
      <w:r w:rsidRPr="003B504D">
        <w:rPr>
          <w:sz w:val="16"/>
        </w:rPr>
        <w:t xml:space="preserve"> Academe, formed and informed by settler colonial ideology, has developed the same palate for pain. Emerging and established social science researchers set out to document the problems faced by communities, and often in doing so, </w:t>
      </w:r>
      <w:proofErr w:type="spellStart"/>
      <w:r w:rsidRPr="003B504D">
        <w:rPr>
          <w:sz w:val="16"/>
        </w:rPr>
        <w:t>recircu</w:t>
      </w:r>
      <w:proofErr w:type="spellEnd"/>
      <w:r w:rsidRPr="003B504D">
        <w:rPr>
          <w:sz w:val="16"/>
        </w:rPr>
        <w:t xml:space="preserve">- late common tropes of dysfunction, abuse, and neglect. </w:t>
      </w:r>
    </w:p>
    <w:p w14:paraId="69B8CB6D" w14:textId="77777777" w:rsidR="00046933" w:rsidRPr="00046933" w:rsidRDefault="00046933" w:rsidP="00046933"/>
    <w:sectPr w:rsidR="00046933" w:rsidRPr="000469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69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93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77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1D8"/>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2E2"/>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23201"/>
  <w14:defaultImageDpi w14:val="300"/>
  <w15:docId w15:val="{87AB2EC8-23FF-0E40-BE0B-FF4FF332B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69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69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69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69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469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69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6933"/>
  </w:style>
  <w:style w:type="character" w:customStyle="1" w:styleId="Heading1Char">
    <w:name w:val="Heading 1 Char"/>
    <w:aliases w:val="Pocket Char"/>
    <w:basedOn w:val="DefaultParagraphFont"/>
    <w:link w:val="Heading1"/>
    <w:uiPriority w:val="9"/>
    <w:rsid w:val="000469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69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693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469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6933"/>
    <w:rPr>
      <w:b/>
      <w:sz w:val="26"/>
      <w:u w:val="none"/>
    </w:rPr>
  </w:style>
  <w:style w:type="character" w:customStyle="1" w:styleId="StyleUnderline">
    <w:name w:val="Style Underline"/>
    <w:aliases w:val="Underline"/>
    <w:basedOn w:val="DefaultParagraphFont"/>
    <w:uiPriority w:val="1"/>
    <w:qFormat/>
    <w:rsid w:val="0004693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0469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69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TA"/>
    <w:basedOn w:val="DefaultParagraphFont"/>
    <w:link w:val="Card"/>
    <w:uiPriority w:val="99"/>
    <w:unhideWhenUsed/>
    <w:rsid w:val="00046933"/>
    <w:rPr>
      <w:color w:val="auto"/>
      <w:u w:val="none"/>
    </w:rPr>
  </w:style>
  <w:style w:type="paragraph" w:styleId="DocumentMap">
    <w:name w:val="Document Map"/>
    <w:basedOn w:val="Normal"/>
    <w:link w:val="DocumentMapChar"/>
    <w:uiPriority w:val="99"/>
    <w:semiHidden/>
    <w:unhideWhenUsed/>
    <w:rsid w:val="000469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6933"/>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Small Text"/>
    <w:basedOn w:val="Heading1"/>
    <w:link w:val="Hyperlink"/>
    <w:autoRedefine/>
    <w:uiPriority w:val="99"/>
    <w:qFormat/>
    <w:rsid w:val="00046933"/>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4693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StyleThickunderline1">
    <w:name w:val="Style Thick underline1"/>
    <w:basedOn w:val="DefaultParagraphFont"/>
    <w:rsid w:val="0004693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big-pharma-is-not-the-tobacco-industry-5162031569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bo.goc/publication/5712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15</Pages>
  <Words>7777</Words>
  <Characters>44330</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3</cp:revision>
  <dcterms:created xsi:type="dcterms:W3CDTF">2021-09-18T17:04:00Z</dcterms:created>
  <dcterms:modified xsi:type="dcterms:W3CDTF">2021-09-18T17:43:00Z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