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1786D" w14:textId="5F4FFF52" w:rsidR="00E42E4C" w:rsidRDefault="00BF5EDB" w:rsidP="00BF5EDB">
      <w:pPr>
        <w:pStyle w:val="Heading2"/>
      </w:pPr>
      <w:r>
        <w:t>1</w:t>
      </w:r>
    </w:p>
    <w:p w14:paraId="4B53DA91" w14:textId="77777777" w:rsidR="00392A8B" w:rsidRDefault="00392A8B" w:rsidP="00392A8B">
      <w:pPr>
        <w:pStyle w:val="Heading4"/>
      </w:pPr>
      <w:r w:rsidRPr="00714CF4">
        <w:rPr>
          <w:rFonts w:cs="Calibri"/>
        </w:rPr>
        <w:t>Interpretation</w:t>
      </w:r>
      <w:r>
        <w:t>: Reduce is distinct from simply changing</w:t>
      </w:r>
    </w:p>
    <w:p w14:paraId="6AF4C7DC" w14:textId="77777777" w:rsidR="00392A8B" w:rsidRPr="00714CF4" w:rsidRDefault="00392A8B" w:rsidP="00392A8B">
      <w:pPr>
        <w:pStyle w:val="Heading4"/>
        <w:rPr>
          <w:rFonts w:cs="Calibri"/>
        </w:rPr>
      </w:pPr>
      <w:r>
        <w:rPr>
          <w:rFonts w:cs="Calibri"/>
        </w:rPr>
        <w:t>Reduce requires a net decrease</w:t>
      </w:r>
    </w:p>
    <w:p w14:paraId="4BA4454C" w14:textId="77777777" w:rsidR="00392A8B" w:rsidRPr="00714CF4" w:rsidRDefault="00392A8B" w:rsidP="00392A8B">
      <w:pPr>
        <w:rPr>
          <w:rStyle w:val="Style13ptBold"/>
          <w:bCs/>
        </w:rPr>
      </w:pPr>
      <w:r w:rsidRPr="00714CF4">
        <w:rPr>
          <w:rStyle w:val="Style13ptBold"/>
        </w:rPr>
        <w:t>Public Law 87-253</w:t>
      </w:r>
    </w:p>
    <w:p w14:paraId="7803508B" w14:textId="77777777" w:rsidR="00392A8B" w:rsidRPr="00714CF4" w:rsidRDefault="00392A8B" w:rsidP="00392A8B">
      <w:pPr>
        <w:rPr>
          <w:b/>
        </w:rPr>
      </w:pPr>
      <w:r w:rsidRPr="00714CF4">
        <w:rPr>
          <w:b/>
        </w:rPr>
        <w:t>(Omnibus Budget Reconciliation Act of 1982, 97th US Congress, Sept 8, 1982, Lexis)</w:t>
      </w:r>
    </w:p>
    <w:p w14:paraId="3235DFD4" w14:textId="77777777" w:rsidR="00392A8B" w:rsidRPr="00714CF4" w:rsidRDefault="00392A8B" w:rsidP="00392A8B">
      <w:pPr>
        <w:rPr>
          <w:b/>
          <w:sz w:val="16"/>
        </w:rPr>
      </w:pPr>
      <w:r w:rsidRPr="00714CF4">
        <w:rPr>
          <w:b/>
          <w:sz w:val="16"/>
        </w:rPr>
        <w:t xml:space="preserve">E) Prior to approving any application for a refund, the Secretary shall require evidence that such reduction in </w:t>
      </w:r>
      <w:proofErr w:type="spellStart"/>
      <w:r w:rsidRPr="00714CF4">
        <w:rPr>
          <w:b/>
          <w:sz w:val="16"/>
        </w:rPr>
        <w:t>marketings</w:t>
      </w:r>
      <w:proofErr w:type="spellEnd"/>
      <w:r w:rsidRPr="00714CF4">
        <w:rPr>
          <w:b/>
          <w:sz w:val="16"/>
        </w:rPr>
        <w:t xml:space="preserve"> has taken place and that </w:t>
      </w:r>
      <w:r w:rsidRPr="00714CF4">
        <w:rPr>
          <w:rStyle w:val="StyleUnderline"/>
        </w:rPr>
        <w:t xml:space="preserve">such </w:t>
      </w:r>
      <w:r w:rsidRPr="00714CF4">
        <w:rPr>
          <w:rStyle w:val="StyleUnderline"/>
          <w:highlight w:val="yellow"/>
        </w:rPr>
        <w:t xml:space="preserve">reduction is a </w:t>
      </w:r>
      <w:r w:rsidRPr="00714CF4">
        <w:rPr>
          <w:rStyle w:val="Emphasis"/>
          <w:highlight w:val="yellow"/>
        </w:rPr>
        <w:t>net decrease</w:t>
      </w:r>
      <w:r w:rsidRPr="00714CF4">
        <w:rPr>
          <w:b/>
          <w:sz w:val="16"/>
        </w:rPr>
        <w:t xml:space="preserve"> in </w:t>
      </w:r>
      <w:proofErr w:type="spellStart"/>
      <w:r w:rsidRPr="00714CF4">
        <w:rPr>
          <w:b/>
          <w:sz w:val="16"/>
        </w:rPr>
        <w:t>marketings</w:t>
      </w:r>
      <w:proofErr w:type="spellEnd"/>
      <w:r w:rsidRPr="00714CF4">
        <w:rPr>
          <w:b/>
          <w:sz w:val="16"/>
        </w:rPr>
        <w:t xml:space="preserve"> of milk and has </w:t>
      </w:r>
      <w:r w:rsidRPr="00714CF4">
        <w:rPr>
          <w:rStyle w:val="Emphasis"/>
          <w:highlight w:val="yellow"/>
        </w:rPr>
        <w:t>not</w:t>
      </w:r>
      <w:r w:rsidRPr="00714CF4">
        <w:rPr>
          <w:b/>
          <w:sz w:val="16"/>
        </w:rPr>
        <w:t xml:space="preserve"> been </w:t>
      </w:r>
      <w:r w:rsidRPr="00714CF4">
        <w:rPr>
          <w:rStyle w:val="Emphasis"/>
          <w:highlight w:val="yellow"/>
        </w:rPr>
        <w:t>offset</w:t>
      </w:r>
      <w:r w:rsidRPr="00714CF4">
        <w:rPr>
          <w:rStyle w:val="StyleUnderline"/>
          <w:highlight w:val="yellow"/>
        </w:rPr>
        <w:t xml:space="preserve"> </w:t>
      </w:r>
      <w:r w:rsidRPr="00714CF4">
        <w:rPr>
          <w:rStyle w:val="StyleUnderline"/>
        </w:rPr>
        <w:t xml:space="preserve">by expansion </w:t>
      </w:r>
      <w:r w:rsidRPr="00714CF4">
        <w:rPr>
          <w:b/>
          <w:sz w:val="16"/>
        </w:rPr>
        <w:t xml:space="preserve">of production </w:t>
      </w:r>
      <w:r w:rsidRPr="00714CF4">
        <w:rPr>
          <w:rStyle w:val="StyleUnderline"/>
          <w:highlight w:val="yellow"/>
        </w:rPr>
        <w:t xml:space="preserve">in </w:t>
      </w:r>
      <w:r w:rsidRPr="00714CF4">
        <w:rPr>
          <w:b/>
          <w:sz w:val="16"/>
        </w:rPr>
        <w:t xml:space="preserve">other production facilities in which the person has an interest or by transfer of partial interest in the </w:t>
      </w:r>
      <w:proofErr w:type="spellStart"/>
      <w:r w:rsidRPr="00714CF4">
        <w:rPr>
          <w:b/>
          <w:sz w:val="16"/>
        </w:rPr>
        <w:t>produc</w:t>
      </w:r>
      <w:proofErr w:type="spellEnd"/>
      <w:r w:rsidRPr="00714CF4">
        <w:rPr>
          <w:b/>
          <w:sz w:val="16"/>
        </w:rPr>
        <w:t xml:space="preserve">- </w:t>
      </w:r>
      <w:proofErr w:type="spellStart"/>
      <w:r w:rsidRPr="00714CF4">
        <w:rPr>
          <w:b/>
          <w:sz w:val="16"/>
        </w:rPr>
        <w:t>tion</w:t>
      </w:r>
      <w:proofErr w:type="spellEnd"/>
      <w:r w:rsidRPr="00714CF4">
        <w:rPr>
          <w:b/>
          <w:sz w:val="16"/>
        </w:rPr>
        <w:t xml:space="preserve"> facility or by the taking of </w:t>
      </w:r>
      <w:r w:rsidRPr="00714CF4">
        <w:rPr>
          <w:rStyle w:val="StyleUnderline"/>
          <w:highlight w:val="yellow"/>
        </w:rPr>
        <w:t>any other action</w:t>
      </w:r>
      <w:r w:rsidRPr="00714CF4">
        <w:rPr>
          <w:b/>
          <w:sz w:val="16"/>
        </w:rPr>
        <w:t xml:space="preserve">. which is a scheme or device to qualify for payment. </w:t>
      </w:r>
    </w:p>
    <w:p w14:paraId="57D8A141" w14:textId="77777777" w:rsidR="00392A8B" w:rsidRDefault="00392A8B" w:rsidP="00392A8B"/>
    <w:p w14:paraId="2CAF2144" w14:textId="77777777" w:rsidR="00392A8B" w:rsidRPr="00655430" w:rsidRDefault="00392A8B" w:rsidP="00392A8B"/>
    <w:p w14:paraId="559C01B2" w14:textId="77777777" w:rsidR="00392A8B" w:rsidRDefault="00392A8B" w:rsidP="00392A8B">
      <w:pPr>
        <w:pStyle w:val="Heading4"/>
      </w:pPr>
      <w:r>
        <w:t xml:space="preserve">Violation: Compulsory licenses do not </w:t>
      </w:r>
      <w:r w:rsidRPr="00655430">
        <w:rPr>
          <w:u w:val="single"/>
        </w:rPr>
        <w:t>reduce</w:t>
      </w:r>
      <w:r>
        <w:t xml:space="preserve"> patent protections </w:t>
      </w:r>
    </w:p>
    <w:p w14:paraId="5CF9FB41" w14:textId="77777777" w:rsidR="00392A8B" w:rsidRPr="007B3EBF" w:rsidRDefault="00392A8B" w:rsidP="00392A8B">
      <w:r w:rsidRPr="00655430">
        <w:rPr>
          <w:rStyle w:val="Style13ptBold"/>
        </w:rPr>
        <w:t xml:space="preserve">Santos </w:t>
      </w:r>
      <w:proofErr w:type="spellStart"/>
      <w:r w:rsidRPr="00655430">
        <w:rPr>
          <w:rStyle w:val="Style13ptBold"/>
        </w:rPr>
        <w:t>Rutschman</w:t>
      </w:r>
      <w:proofErr w:type="spellEnd"/>
      <w:r w:rsidRPr="00655430">
        <w:rPr>
          <w:rStyle w:val="Style13ptBold"/>
        </w:rPr>
        <w:t xml:space="preserve"> 21</w:t>
      </w:r>
      <w:r>
        <w:t xml:space="preserve"> </w:t>
      </w:r>
      <w:r w:rsidRPr="007B3EBF">
        <w:t xml:space="preserve">Santos </w:t>
      </w:r>
      <w:proofErr w:type="spellStart"/>
      <w:r w:rsidRPr="007B3EBF">
        <w:t>Rutschman</w:t>
      </w:r>
      <w:proofErr w:type="spellEnd"/>
      <w:r w:rsidRPr="007B3EBF">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7B3EBF">
        <w:t>entrepreneur</w:t>
      </w:r>
      <w:proofErr w:type="gramEnd"/>
      <w:r w:rsidRPr="007B3EBF">
        <w:t xml:space="preserve"> and Certified Licensing Professional). "The COVID-19 Vaccine Patent Waiver: The Wrong Tool for the Right Goal." Bill of Health (2021) (2021</w:t>
      </w:r>
      <w:proofErr w:type="gramStart"/>
      <w:r w:rsidRPr="007B3EBF">
        <w:t>).</w:t>
      </w:r>
      <w:r>
        <w:t>/</w:t>
      </w:r>
      <w:proofErr w:type="gramEnd"/>
      <w:r>
        <w:t>SJKS</w:t>
      </w:r>
    </w:p>
    <w:p w14:paraId="7D28D489" w14:textId="77777777" w:rsidR="00392A8B" w:rsidRPr="00655430" w:rsidRDefault="00392A8B" w:rsidP="00392A8B">
      <w:pPr>
        <w:rPr>
          <w:sz w:val="16"/>
        </w:rPr>
      </w:pPr>
      <w:r w:rsidRPr="00655430">
        <w:rPr>
          <w:sz w:val="16"/>
        </w:rPr>
        <w:t>In the past, some of these countries have used legal tools in </w:t>
      </w:r>
      <w:hyperlink r:id="rId9" w:history="1">
        <w:r w:rsidRPr="00655430">
          <w:rPr>
            <w:rStyle w:val="Hyperlink"/>
            <w:sz w:val="16"/>
          </w:rPr>
          <w:t>highly effective ways</w:t>
        </w:r>
      </w:hyperlink>
      <w:r w:rsidRPr="00655430">
        <w:rPr>
          <w:sz w:val="16"/>
        </w:rPr>
        <w:t>. The TRIPS Agreement — the main legal international intellectual property framework, now implemented by virtually all countries — </w:t>
      </w:r>
      <w:hyperlink r:id="rId10" w:history="1">
        <w:r w:rsidRPr="00655430">
          <w:rPr>
            <w:rStyle w:val="Hyperlink"/>
            <w:sz w:val="16"/>
          </w:rPr>
          <w:t>allows</w:t>
        </w:r>
      </w:hyperlink>
      <w:r w:rsidRPr="00655430">
        <w:rPr>
          <w:sz w:val="16"/>
        </w:rPr>
        <w:t> for the compulsory licensing of patented products in situations that </w:t>
      </w:r>
      <w:hyperlink r:id="rId11" w:history="1">
        <w:r w:rsidRPr="00655430">
          <w:rPr>
            <w:rStyle w:val="Hyperlink"/>
            <w:sz w:val="16"/>
          </w:rPr>
          <w:t>include</w:t>
        </w:r>
      </w:hyperlink>
      <w:r w:rsidRPr="00655430">
        <w:rPr>
          <w:sz w:val="16"/>
        </w:rPr>
        <w:t xml:space="preserve"> public health crises such as a pandemic or epidemic. </w:t>
      </w:r>
      <w:r w:rsidRPr="00655430">
        <w:rPr>
          <w:rStyle w:val="Emphasis"/>
          <w:highlight w:val="green"/>
        </w:rPr>
        <w:t>Compulsory licensing does not extinguish or suspend patent rights</w:t>
      </w:r>
      <w:r w:rsidRPr="00655430">
        <w:rPr>
          <w:rStyle w:val="Emphasis"/>
        </w:rPr>
        <w:t>, but rather consists in the governmental granting of licenses to third parties against the wishes of the patent holder</w:t>
      </w:r>
      <w:r w:rsidRPr="00655430">
        <w:rPr>
          <w:sz w:val="16"/>
        </w:rPr>
        <w:t>. The licensee is then able to use the patent-protected technology against the </w:t>
      </w:r>
      <w:hyperlink r:id="rId12" w:history="1">
        <w:r w:rsidRPr="00655430">
          <w:rPr>
            <w:rStyle w:val="Hyperlink"/>
            <w:sz w:val="16"/>
          </w:rPr>
          <w:t>payment</w:t>
        </w:r>
      </w:hyperlink>
      <w:r w:rsidRPr="00655430">
        <w:rPr>
          <w:sz w:val="16"/>
        </w:rPr>
        <w:t> of a royalty.</w:t>
      </w:r>
    </w:p>
    <w:p w14:paraId="226E8980" w14:textId="77777777" w:rsidR="00392A8B" w:rsidRPr="000F0F15" w:rsidRDefault="00392A8B" w:rsidP="00392A8B">
      <w:pPr>
        <w:pStyle w:val="Heading4"/>
        <w:rPr>
          <w:rFonts w:cs="Calibri"/>
        </w:rPr>
      </w:pPr>
      <w:r w:rsidRPr="000F0F15">
        <w:rPr>
          <w:rFonts w:cs="Calibri"/>
        </w:rPr>
        <w:lastRenderedPageBreak/>
        <w:t>Vote neg:</w:t>
      </w:r>
    </w:p>
    <w:p w14:paraId="059DC58D" w14:textId="77777777" w:rsidR="00392A8B" w:rsidRDefault="00392A8B" w:rsidP="00392A8B">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data exclusivity to patent linkages</w:t>
      </w:r>
      <w:r w:rsidRPr="005F3BCD">
        <w:t xml:space="preserve">— there's no universal DA since </w:t>
      </w:r>
      <w:r>
        <w:t>it’s impossible to know each change of the patent system</w:t>
      </w:r>
      <w:r w:rsidRPr="005F3BCD">
        <w:t xml:space="preserve">— that explodes neg prep and leads to random </w:t>
      </w:r>
      <w:r>
        <w:t>patent change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w:t>
      </w:r>
      <w:proofErr w:type="gramStart"/>
      <w:r>
        <w:t>, :</w:t>
      </w:r>
      <w:proofErr w:type="gramEnd"/>
      <w:r>
        <w:t xml:space="preserve"> all core neg literature thrown away)</w:t>
      </w:r>
    </w:p>
    <w:p w14:paraId="10B061BB" w14:textId="77777777" w:rsidR="00392A8B" w:rsidRPr="00DB5A61" w:rsidRDefault="00392A8B" w:rsidP="00392A8B">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9A1FC8D" w14:textId="77777777" w:rsidR="00392A8B" w:rsidRPr="002F7767" w:rsidRDefault="00392A8B" w:rsidP="00392A8B">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3662A136" w14:textId="77777777" w:rsidR="00392A8B" w:rsidRDefault="00392A8B" w:rsidP="00392A8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0CF755B" w14:textId="77777777" w:rsidR="00392A8B" w:rsidRDefault="00392A8B" w:rsidP="00392A8B">
      <w:pPr>
        <w:pStyle w:val="Heading4"/>
      </w:pPr>
      <w:r>
        <w:t>Drop the debater – a] deter future abuse and b] set better norms for debate.</w:t>
      </w:r>
    </w:p>
    <w:p w14:paraId="31D5C447" w14:textId="77777777" w:rsidR="00392A8B" w:rsidRDefault="00392A8B" w:rsidP="00392A8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0D7B5AD" w14:textId="77777777" w:rsidR="00392A8B" w:rsidRPr="00B91164" w:rsidRDefault="00392A8B" w:rsidP="00392A8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B02C6A1" w14:textId="77777777" w:rsidR="00BF5EDB" w:rsidRPr="00BF5EDB" w:rsidRDefault="00BF5EDB" w:rsidP="00BF5EDB"/>
    <w:p w14:paraId="12FF8012" w14:textId="0E203DF9" w:rsidR="00BF5EDB" w:rsidRDefault="00BF5EDB" w:rsidP="00BF5EDB">
      <w:pPr>
        <w:pStyle w:val="Heading2"/>
      </w:pPr>
      <w:r>
        <w:lastRenderedPageBreak/>
        <w:t>2</w:t>
      </w:r>
    </w:p>
    <w:p w14:paraId="723543B5" w14:textId="77777777" w:rsidR="00BF5EDB" w:rsidRPr="00F570EE" w:rsidRDefault="00BF5EDB" w:rsidP="00BF5EDB">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007364C1" w14:textId="77777777" w:rsidR="00BF5EDB" w:rsidRPr="00F570EE" w:rsidRDefault="00BF5EDB" w:rsidP="00BF5EDB">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65ECE61A" w14:textId="77777777" w:rsidR="00BF5EDB" w:rsidRPr="00F570EE" w:rsidRDefault="00BF5EDB" w:rsidP="00BF5EDB">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4C4450CF" w14:textId="6B994DCA" w:rsidR="00BF5EDB" w:rsidRDefault="00BF5EDB" w:rsidP="00BF5EDB">
      <w:pPr>
        <w:pStyle w:val="Heading4"/>
        <w:rPr>
          <w:rFonts w:cs="Calibri"/>
        </w:rPr>
      </w:pPr>
      <w:r w:rsidRPr="00F570EE">
        <w:rPr>
          <w:rFonts w:cs="Calibri"/>
        </w:rPr>
        <w:t>Thus, the standard is consistency with willing universal maxims.</w:t>
      </w:r>
    </w:p>
    <w:p w14:paraId="6217967D" w14:textId="58BE9945" w:rsidR="00BF5EDB" w:rsidRDefault="00BF5EDB" w:rsidP="00BF5EDB">
      <w:r>
        <w:t>Prefer additionally</w:t>
      </w:r>
    </w:p>
    <w:p w14:paraId="734A41E1" w14:textId="1BD237A5" w:rsidR="00BF5EDB" w:rsidRDefault="00BF5EDB" w:rsidP="00BF5EDB">
      <w:pPr>
        <w:pStyle w:val="Heading4"/>
      </w:pPr>
      <w:r>
        <w:t xml:space="preserve">1]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6AAD6FE8" w14:textId="26642A16" w:rsidR="00BF5EDB" w:rsidRPr="00BF5EDB" w:rsidRDefault="00BF5EDB" w:rsidP="00BF5EDB">
      <w:pPr>
        <w:pStyle w:val="Heading4"/>
      </w:pPr>
      <w:r>
        <w:t xml:space="preserve">2] performativity </w:t>
      </w:r>
    </w:p>
    <w:p w14:paraId="73DCE093" w14:textId="77777777" w:rsidR="00BF5EDB" w:rsidRDefault="00BF5EDB" w:rsidP="00BF5EDB">
      <w:pPr>
        <w:pStyle w:val="Heading3"/>
      </w:pPr>
      <w:r w:rsidRPr="00F570EE">
        <w:lastRenderedPageBreak/>
        <w:t>1NC – Offense</w:t>
      </w:r>
    </w:p>
    <w:p w14:paraId="7BA05D43" w14:textId="77777777" w:rsidR="00BF5EDB" w:rsidRPr="00A057DB" w:rsidRDefault="00BF5EDB" w:rsidP="00BF5EDB">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5226C8E7" w14:textId="77777777" w:rsidR="00BF5EDB" w:rsidRPr="00E45605" w:rsidRDefault="00BF5EDB" w:rsidP="00BF5EDB">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34F61F9C" w14:textId="77777777" w:rsidR="00BF5EDB" w:rsidRDefault="00BF5EDB" w:rsidP="00BF5EDB">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 xml:space="preserve">/1, p.411). At the center of the discussion was the practice of reprinting books in a pirate edition after having them </w:t>
      </w:r>
      <w:r w:rsidRPr="006F1739">
        <w:rPr>
          <w:sz w:val="16"/>
        </w:rPr>
        <w:lastRenderedPageBreak/>
        <w:t>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61276768" w14:textId="77777777" w:rsidR="00BF5EDB" w:rsidRPr="00A057DB" w:rsidRDefault="00BF5EDB" w:rsidP="00BF5EDB"/>
    <w:p w14:paraId="3FB6E26A" w14:textId="77777777" w:rsidR="00BF5EDB" w:rsidRPr="00A057DB" w:rsidRDefault="00BF5EDB" w:rsidP="00BF5EDB">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6618C9FB" w14:textId="77777777" w:rsidR="00BF5EDB" w:rsidRPr="001E5989" w:rsidRDefault="00BF5EDB" w:rsidP="00BF5EDB">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3" w:history="1">
        <w:r w:rsidRPr="005523C8">
          <w:rPr>
            <w:rStyle w:val="Hyperlink"/>
          </w:rPr>
          <w:t>https://www.ipwatchdog.com/2018/07/17/categorical-imperative-innovation-patenting/id=99178/</w:t>
        </w:r>
      </w:hyperlink>
      <w:r>
        <w:t xml:space="preserve"> SJ//DA recut SJKS</w:t>
      </w:r>
    </w:p>
    <w:p w14:paraId="60099B57" w14:textId="77777777" w:rsidR="00BF5EDB" w:rsidRDefault="00BF5EDB" w:rsidP="00BF5EDB">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w:t>
      </w:r>
      <w:r w:rsidRPr="0027259A">
        <w:rPr>
          <w:b/>
          <w:bCs/>
          <w:u w:val="single"/>
        </w:rPr>
        <w:lastRenderedPageBreak/>
        <w:t xml:space="preserve">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5F6279E" w14:textId="77777777" w:rsidR="00BF5EDB" w:rsidRPr="00BF5EDB" w:rsidRDefault="00BF5EDB" w:rsidP="00BF5EDB"/>
    <w:p w14:paraId="5938CF6E" w14:textId="0891FC12" w:rsidR="00BF5EDB" w:rsidRDefault="00BF5EDB" w:rsidP="00BF5EDB">
      <w:pPr>
        <w:pStyle w:val="Heading2"/>
      </w:pPr>
      <w:r>
        <w:lastRenderedPageBreak/>
        <w:t>Case</w:t>
      </w:r>
    </w:p>
    <w:p w14:paraId="1FCB59E8" w14:textId="3E8E33F6" w:rsidR="00BF5EDB" w:rsidRPr="00BF5EDB" w:rsidRDefault="00BF5EDB" w:rsidP="00BF5EDB">
      <w:pPr>
        <w:pStyle w:val="Heading3"/>
      </w:pPr>
      <w:proofErr w:type="spellStart"/>
      <w:r>
        <w:lastRenderedPageBreak/>
        <w:t>fw</w:t>
      </w:r>
      <w:proofErr w:type="spellEnd"/>
    </w:p>
    <w:p w14:paraId="4E193485" w14:textId="63C7F23F" w:rsidR="00BF5EDB" w:rsidRPr="009658E4" w:rsidRDefault="00BF5EDB" w:rsidP="00BF5EDB">
      <w:pPr>
        <w:pStyle w:val="Heading4"/>
      </w:pPr>
      <w:r>
        <w:t>Under consequentialism anything is permissible</w:t>
      </w:r>
    </w:p>
    <w:p w14:paraId="3800A6B0" w14:textId="77777777" w:rsidR="00BF5EDB" w:rsidRPr="00DC394B" w:rsidRDefault="00BF5EDB" w:rsidP="00BF5EDB">
      <w:pPr>
        <w:pStyle w:val="Heading4"/>
      </w:pPr>
      <w:r w:rsidRPr="00DC394B">
        <w:rPr>
          <w:rFonts w:cs="Times New Roman"/>
        </w:rPr>
        <w:t xml:space="preserve">1. </w:t>
      </w:r>
      <w:r w:rsidRPr="00DC394B">
        <w:t>Problem of induction</w:t>
      </w:r>
    </w:p>
    <w:p w14:paraId="0C0775A6" w14:textId="77777777" w:rsidR="00BF5EDB" w:rsidRPr="00DC394B" w:rsidRDefault="00BF5EDB" w:rsidP="00BF5EDB">
      <w:r w:rsidRPr="00DC394B">
        <w:rPr>
          <w:rStyle w:val="Heading4Char"/>
        </w:rPr>
        <w:t>Vickers 14</w:t>
      </w:r>
      <w:r w:rsidRPr="00DC394B">
        <w:t>, John Vickers, 2014, The Problem of Induction, https://plato.stanford.edu/entries/induction-problem/</w:t>
      </w:r>
    </w:p>
    <w:p w14:paraId="15390E44" w14:textId="77777777" w:rsidR="00BF5EDB" w:rsidRPr="00DC394B" w:rsidRDefault="00BF5EDB" w:rsidP="00BF5EDB">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E4F994" w14:textId="77777777" w:rsidR="00BF5EDB" w:rsidRDefault="00BF5EDB" w:rsidP="00BF5EDB">
      <w:pPr>
        <w:pStyle w:val="Heading4"/>
        <w:spacing w:line="276" w:lineRule="auto"/>
        <w:rPr>
          <w:rFonts w:cs="Times New Roman"/>
        </w:rPr>
      </w:pPr>
      <w:r>
        <w:rPr>
          <w:rFonts w:cs="Times New Roman"/>
        </w:rPr>
        <w:t>Takes out their offense since it is predicated on using past experiences.</w:t>
      </w:r>
    </w:p>
    <w:p w14:paraId="1347896C" w14:textId="77777777" w:rsidR="00BF5EDB" w:rsidRPr="00DC394B" w:rsidRDefault="00BF5EDB" w:rsidP="00BF5EDB">
      <w:pPr>
        <w:pStyle w:val="Heading4"/>
        <w:spacing w:line="276" w:lineRule="auto"/>
        <w:rPr>
          <w:rFonts w:cs="Times New Roman"/>
        </w:rPr>
      </w:pPr>
      <w:r w:rsidRPr="00DC394B">
        <w:rPr>
          <w:rFonts w:cs="Times New Roman"/>
        </w:rPr>
        <w:t xml:space="preserve">2.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3A6FA1DE" w14:textId="77777777" w:rsidR="00BF5EDB" w:rsidRPr="00DC394B" w:rsidRDefault="00BF5EDB" w:rsidP="00BF5EDB">
      <w:pPr>
        <w:pStyle w:val="Heading4"/>
      </w:pPr>
      <w:r w:rsidRPr="00DC394B">
        <w:rPr>
          <w:rFonts w:cs="Times New Roman"/>
        </w:rPr>
        <w:t xml:space="preserve">3.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permissibility</w:t>
      </w:r>
    </w:p>
    <w:p w14:paraId="67A18CE0" w14:textId="77777777" w:rsidR="00BF5EDB" w:rsidRPr="00DC394B" w:rsidRDefault="00BF5EDB" w:rsidP="00BF5EDB">
      <w:pPr>
        <w:pStyle w:val="Heading4"/>
        <w:spacing w:line="276" w:lineRule="auto"/>
        <w:rPr>
          <w:rFonts w:cs="Times New Roman"/>
        </w:rPr>
      </w:pPr>
      <w:r w:rsidRPr="00DC394B">
        <w:rPr>
          <w:rFonts w:cs="Times New Roman"/>
        </w:rPr>
        <w:t>4. Consequentialism is irresolvable because if a bigger harm can outweigh a smaller, there’s always a non-zero chance of a bigger harm in the future and there’s no non-arbitrary point at which consequences stop being relevant</w:t>
      </w:r>
    </w:p>
    <w:p w14:paraId="3BA6554D" w14:textId="77777777" w:rsidR="00BF5EDB" w:rsidRPr="00DC394B" w:rsidRDefault="00BF5EDB" w:rsidP="00BF5EDB">
      <w:pPr>
        <w:pStyle w:val="Heading4"/>
      </w:pPr>
      <w:r w:rsidRPr="00DC394B">
        <w:t>5. No impact to anything – the universe is infinite.</w:t>
      </w:r>
    </w:p>
    <w:p w14:paraId="77234256" w14:textId="77777777" w:rsidR="00BF5EDB" w:rsidRPr="00DC394B" w:rsidRDefault="00BF5EDB" w:rsidP="00BF5EDB">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1EB4D581" w14:textId="77777777" w:rsidR="00BF5EDB" w:rsidRPr="00DC394B" w:rsidRDefault="00BF5EDB" w:rsidP="00BF5EDB">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w:t>
      </w:r>
      <w:r w:rsidRPr="00DC394B">
        <w:rPr>
          <w:rStyle w:val="Emphasis"/>
        </w:rPr>
        <w:lastRenderedPageBreak/>
        <w:t xml:space="preserve">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1A6F7DDF" w14:textId="77777777" w:rsidR="00BF5EDB" w:rsidRDefault="00BF5EDB" w:rsidP="00BF5EDB"/>
    <w:p w14:paraId="1C8D953C" w14:textId="49733E9A" w:rsidR="00BF5EDB" w:rsidRDefault="00BF5EDB" w:rsidP="00BF5EDB">
      <w:pPr>
        <w:pStyle w:val="Heading3"/>
      </w:pPr>
      <w:r>
        <w:lastRenderedPageBreak/>
        <w:t>Advantage</w:t>
      </w:r>
    </w:p>
    <w:p w14:paraId="65356A7E" w14:textId="77777777" w:rsidR="00BF5EDB" w:rsidRPr="00550EB1" w:rsidRDefault="00BF5EDB" w:rsidP="00BF5EDB">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4D4347BA" w14:textId="77777777" w:rsidR="00BF5EDB" w:rsidRPr="00550EB1" w:rsidRDefault="00BF5EDB" w:rsidP="00BF5EDB">
      <w:r w:rsidRPr="00550EB1">
        <w:rPr>
          <w:rStyle w:val="Style13ptBold"/>
        </w:rPr>
        <w:t>Lamp 19</w:t>
      </w:r>
      <w:r w:rsidRPr="00550EB1">
        <w:t xml:space="preserve"> [Nicholas; Assistant Professor of Law at Queen’s University; “What Just Happened at the WTO? Everything You Need to Know, Brink News,” 12/16/19; </w:t>
      </w:r>
      <w:hyperlink r:id="rId14" w:history="1">
        <w:r w:rsidRPr="00550EB1">
          <w:rPr>
            <w:rStyle w:val="Hyperlink"/>
          </w:rPr>
          <w:t>https://www.brinknews.com/what-just-happened-at-the-wto-everything-you-need-to-know/</w:t>
        </w:r>
      </w:hyperlink>
      <w:r w:rsidRPr="00550EB1">
        <w:t>] Justin</w:t>
      </w:r>
    </w:p>
    <w:p w14:paraId="29239040" w14:textId="77777777" w:rsidR="00BF5EDB" w:rsidRPr="00550EB1" w:rsidRDefault="00BF5EDB" w:rsidP="00BF5EDB">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5461AD62" w14:textId="77777777" w:rsidR="00BF5EDB" w:rsidRPr="00550EB1" w:rsidRDefault="00BF5EDB" w:rsidP="00BF5EDB">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245630A" w14:textId="77777777" w:rsidR="00BF5EDB" w:rsidRPr="00550EB1" w:rsidRDefault="00BF5EDB" w:rsidP="00BF5EDB">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AF559AF" w14:textId="77777777" w:rsidR="00BF5EDB" w:rsidRPr="00550EB1" w:rsidRDefault="00BF5EDB" w:rsidP="00BF5EDB">
      <w:pPr>
        <w:rPr>
          <w:rStyle w:val="Emphasis"/>
        </w:rPr>
      </w:pPr>
    </w:p>
    <w:p w14:paraId="317E93B9" w14:textId="77777777" w:rsidR="00BF5EDB" w:rsidRPr="00550EB1" w:rsidRDefault="00BF5EDB" w:rsidP="00BF5EDB"/>
    <w:p w14:paraId="5FF5F181" w14:textId="77777777" w:rsidR="00BF5EDB" w:rsidRPr="00550EB1" w:rsidRDefault="00BF5EDB" w:rsidP="00BF5EDB">
      <w:pPr>
        <w:pStyle w:val="Heading4"/>
        <w:rPr>
          <w:rFonts w:cs="Calibri"/>
        </w:rPr>
      </w:pPr>
      <w:r w:rsidRPr="00550EB1">
        <w:rPr>
          <w:rFonts w:cs="Calibri"/>
        </w:rPr>
        <w:t>Recent evidence confirms</w:t>
      </w:r>
    </w:p>
    <w:p w14:paraId="793EBEC5" w14:textId="77777777" w:rsidR="00BF5EDB" w:rsidRPr="00550EB1" w:rsidRDefault="00BF5EDB" w:rsidP="00BF5EDB">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5" w:history="1">
        <w:r w:rsidRPr="00550EB1">
          <w:rPr>
            <w:rStyle w:val="Hyperlink"/>
          </w:rPr>
          <w:t>https://www.cfr.org/blog/europe-and-prospects-wto-reform</w:t>
        </w:r>
      </w:hyperlink>
      <w:r w:rsidRPr="00550EB1">
        <w:t>] Justin</w:t>
      </w:r>
    </w:p>
    <w:p w14:paraId="772994C2" w14:textId="77777777" w:rsidR="00BF5EDB" w:rsidRPr="00550EB1" w:rsidRDefault="00BF5EDB" w:rsidP="00BF5EDB">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113CC6CC" w14:textId="77777777" w:rsidR="00BF5EDB" w:rsidRPr="00550EB1" w:rsidRDefault="00BF5EDB" w:rsidP="00BF5EDB">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63A33E5F" w14:textId="77777777" w:rsidR="00BF5EDB" w:rsidRDefault="00BF5EDB" w:rsidP="00BF5EDB"/>
    <w:p w14:paraId="407B947B" w14:textId="77777777" w:rsidR="00021577" w:rsidRPr="00550EB1" w:rsidRDefault="00021577" w:rsidP="00021577">
      <w:pPr>
        <w:pStyle w:val="Heading4"/>
        <w:rPr>
          <w:rFonts w:cs="Calibri"/>
          <w:u w:val="single"/>
        </w:rPr>
      </w:pPr>
      <w:proofErr w:type="spellStart"/>
      <w:r w:rsidRPr="00550EB1">
        <w:rPr>
          <w:rFonts w:cs="Calibri"/>
        </w:rPr>
        <w:lastRenderedPageBreak/>
        <w:t>Aff</w:t>
      </w:r>
      <w:proofErr w:type="spellEnd"/>
      <w:r w:rsidRPr="00550EB1">
        <w:rPr>
          <w:rFonts w:cs="Calibri"/>
        </w:rPr>
        <w:t xml:space="preserve">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5FFC034E" w14:textId="77777777" w:rsidR="00021577" w:rsidRPr="00550EB1" w:rsidRDefault="00021577" w:rsidP="00021577">
      <w:pPr>
        <w:rPr>
          <w:sz w:val="18"/>
          <w:szCs w:val="18"/>
        </w:rPr>
      </w:pPr>
      <w:r w:rsidRPr="00550EB1">
        <w:rPr>
          <w:sz w:val="18"/>
          <w:szCs w:val="18"/>
        </w:rPr>
        <w:t xml:space="preserve">DC = developing country </w:t>
      </w:r>
    </w:p>
    <w:p w14:paraId="6217B242" w14:textId="77777777" w:rsidR="00021577" w:rsidRPr="00550EB1" w:rsidRDefault="00021577" w:rsidP="00021577">
      <w:pPr>
        <w:rPr>
          <w:sz w:val="18"/>
          <w:szCs w:val="18"/>
        </w:rPr>
      </w:pPr>
      <w:r w:rsidRPr="00550EB1">
        <w:rPr>
          <w:sz w:val="18"/>
          <w:szCs w:val="18"/>
        </w:rPr>
        <w:t>NIT = Net Importers of Technology (this references developing countries)</w:t>
      </w:r>
    </w:p>
    <w:p w14:paraId="421E6F89" w14:textId="77777777" w:rsidR="00021577" w:rsidRDefault="00021577" w:rsidP="00021577">
      <w:pPr>
        <w:rPr>
          <w:sz w:val="18"/>
          <w:szCs w:val="18"/>
        </w:rPr>
      </w:pPr>
      <w:r w:rsidRPr="00550EB1">
        <w:rPr>
          <w:sz w:val="18"/>
          <w:szCs w:val="18"/>
        </w:rPr>
        <w:t xml:space="preserve">NET = Net Exporters of Technology (countries with advanced economies) </w:t>
      </w:r>
    </w:p>
    <w:p w14:paraId="24A9A147" w14:textId="77777777" w:rsidR="00021577" w:rsidRPr="001A19BB" w:rsidRDefault="00021577" w:rsidP="00021577">
      <w:bookmarkStart w:id="0"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0"/>
    </w:p>
    <w:p w14:paraId="1A9CF7B6" w14:textId="77777777" w:rsidR="00021577" w:rsidRPr="00550EB1" w:rsidRDefault="00021577" w:rsidP="00021577">
      <w:pPr>
        <w:rPr>
          <w:sz w:val="16"/>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08CB9A3C" w14:textId="77777777" w:rsidR="00BF5EDB" w:rsidRPr="00BF5EDB" w:rsidRDefault="00BF5EDB" w:rsidP="00BF5EDB"/>
    <w:sectPr w:rsidR="00BF5EDB" w:rsidRPr="00BF5E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5EDB"/>
    <w:rsid w:val="000029E3"/>
    <w:rsid w:val="000029E8"/>
    <w:rsid w:val="00004225"/>
    <w:rsid w:val="000066CA"/>
    <w:rsid w:val="00007264"/>
    <w:rsid w:val="000076A9"/>
    <w:rsid w:val="00014FAD"/>
    <w:rsid w:val="00015D2A"/>
    <w:rsid w:val="0002157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A8B"/>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EDB"/>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69AB3"/>
  <w14:defaultImageDpi w14:val="300"/>
  <w15:docId w15:val="{3C28C7A7-ED88-DB42-AA83-DF8968979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5E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5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5E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5E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No Spacing1121,CD - Cite,Ch,No Spacing12,no read,No Spacing111111,No Spacing11111,ta,small space,Medium Grid 21,Very Small Text,T,t,Heading 2 Char2 Char,Heading 2 Char1 Char Char,TAG,Card,C, Ch"/>
    <w:basedOn w:val="Normal"/>
    <w:next w:val="Normal"/>
    <w:link w:val="Heading4Char"/>
    <w:uiPriority w:val="99"/>
    <w:unhideWhenUsed/>
    <w:qFormat/>
    <w:rsid w:val="00BF5E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5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5EDB"/>
  </w:style>
  <w:style w:type="character" w:customStyle="1" w:styleId="Heading1Char">
    <w:name w:val="Heading 1 Char"/>
    <w:aliases w:val="Pocket Char"/>
    <w:basedOn w:val="DefaultParagraphFont"/>
    <w:link w:val="Heading1"/>
    <w:uiPriority w:val="9"/>
    <w:rsid w:val="00BF5E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5E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5ED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No Spacing1121 Char,CD - Cite Char,Ch Char,No Spacing12 Char,no read Char,No Spacing111111 Char,No Spacing11111 Char,ta Char,small space Char,T Char,t Char"/>
    <w:basedOn w:val="DefaultParagraphFont"/>
    <w:link w:val="Heading4"/>
    <w:uiPriority w:val="9"/>
    <w:rsid w:val="00BF5ED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F5ED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BF5EDB"/>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BF5E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5E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uiPriority w:val="99"/>
    <w:unhideWhenUsed/>
    <w:rsid w:val="00BF5EDB"/>
    <w:rPr>
      <w:color w:val="auto"/>
      <w:u w:val="none"/>
    </w:rPr>
  </w:style>
  <w:style w:type="paragraph" w:styleId="DocumentMap">
    <w:name w:val="Document Map"/>
    <w:basedOn w:val="Normal"/>
    <w:link w:val="DocumentMapChar"/>
    <w:uiPriority w:val="99"/>
    <w:semiHidden/>
    <w:unhideWhenUsed/>
    <w:rsid w:val="00BF5E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5EDB"/>
    <w:rPr>
      <w:rFonts w:ascii="Lucida Grande" w:hAnsi="Lucida Grande" w:cs="Lucida Grande"/>
    </w:rPr>
  </w:style>
  <w:style w:type="paragraph" w:customStyle="1" w:styleId="textbold">
    <w:name w:val="text bold"/>
    <w:basedOn w:val="Normal"/>
    <w:link w:val="Emphasis"/>
    <w:uiPriority w:val="20"/>
    <w:qFormat/>
    <w:rsid w:val="00BF5ED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18/07/17/categorical-imperative-innovation-patenting/id=9917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o.int/medicines/areas/technical_cooperation/WHOTCM2005.1_OMS.pdf?ua=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ratop_e/trips_e/public_health_faq_e.htm" TargetMode="External"/><Relationship Id="rId5" Type="http://schemas.openxmlformats.org/officeDocument/2006/relationships/numbering" Target="numbering.xml"/><Relationship Id="rId15" Type="http://schemas.openxmlformats.org/officeDocument/2006/relationships/hyperlink" Target="https://www.cfr.org/blog/europe-and-prospects-wto-reform" TargetMode="External"/><Relationship Id="rId10" Type="http://schemas.openxmlformats.org/officeDocument/2006/relationships/hyperlink" Target="https://www.wto.org/english/docs_e/legal_e/27-trips_04c_e.htm" TargetMode="External"/><Relationship Id="rId4" Type="http://schemas.openxmlformats.org/officeDocument/2006/relationships/customXml" Target="../customXml/item4.xml"/><Relationship Id="rId9" Type="http://schemas.openxmlformats.org/officeDocument/2006/relationships/hyperlink" Target="https://pubmed.ncbi.nlm.nih.gov/27699996/" TargetMode="External"/><Relationship Id="rId14" Type="http://schemas.openxmlformats.org/officeDocument/2006/relationships/hyperlink" Target="https://www.brinknews.com/what-just-happened-at-the-wto-everything-you-need-to-k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11</Pages>
  <Words>4067</Words>
  <Characters>23184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2021-09-12T00:08:00Z</dcterms:created>
  <dcterms:modified xsi:type="dcterms:W3CDTF">2021-09-12T00:37:00Z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