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3AFD4" w14:textId="5C9C3AB6" w:rsidR="0099686A" w:rsidRDefault="0099686A" w:rsidP="0099686A">
      <w:pPr>
        <w:pStyle w:val="Heading2"/>
      </w:pPr>
      <w:r>
        <w:t>1</w:t>
      </w:r>
    </w:p>
    <w:p w14:paraId="364D38F9" w14:textId="77777777" w:rsidR="0099686A" w:rsidRPr="00F570EE" w:rsidRDefault="0099686A" w:rsidP="0099686A">
      <w:pPr>
        <w:pStyle w:val="Heading3"/>
        <w:rPr>
          <w:rFonts w:cs="Calibri"/>
        </w:rPr>
      </w:pPr>
      <w:r w:rsidRPr="00F570EE">
        <w:rPr>
          <w:rFonts w:cs="Calibri"/>
        </w:rPr>
        <w:lastRenderedPageBreak/>
        <w:t xml:space="preserve">1NC </w:t>
      </w:r>
      <w:r>
        <w:rPr>
          <w:rFonts w:cs="Calibri"/>
        </w:rPr>
        <w:t>–</w:t>
      </w:r>
      <w:r w:rsidRPr="00F570EE">
        <w:rPr>
          <w:rFonts w:cs="Calibri"/>
        </w:rPr>
        <w:t xml:space="preserve"> FW</w:t>
      </w:r>
    </w:p>
    <w:p w14:paraId="4B8F83F2" w14:textId="77777777" w:rsidR="0099686A" w:rsidRPr="00F570EE" w:rsidRDefault="0099686A" w:rsidP="0099686A">
      <w:pPr>
        <w:pStyle w:val="Heading4"/>
        <w:rPr>
          <w:rFonts w:cs="Calibri"/>
          <w:bCs w:val="0"/>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5BC5AC6F" w14:textId="77777777" w:rsidR="0099686A" w:rsidRPr="00F570EE" w:rsidRDefault="0099686A" w:rsidP="0099686A">
      <w:pPr>
        <w:pStyle w:val="Heading4"/>
        <w:rPr>
          <w:rFonts w:cs="Calibri"/>
        </w:rPr>
      </w:pPr>
      <w:r w:rsidRPr="00F570EE">
        <w:rPr>
          <w:rFonts w:cs="Calibri"/>
        </w:rPr>
        <w:t xml:space="preserve">Morality must be grounded in a priori truth to guide action, otherwise everyone would have different ethical codes and follow different rules. And,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49751024" w14:textId="77777777" w:rsidR="0099686A" w:rsidRPr="00F570EE" w:rsidRDefault="0099686A" w:rsidP="0099686A">
      <w:pPr>
        <w:pStyle w:val="Heading4"/>
        <w:rPr>
          <w:rFonts w:cs="Calibri"/>
          <w:color w:val="000000" w:themeColor="text1"/>
          <w:szCs w:val="16"/>
        </w:rPr>
      </w:pPr>
      <w:r w:rsidRPr="00F570EE">
        <w:rPr>
          <w:rFonts w:cs="Calibri"/>
        </w:rPr>
        <w:t xml:space="preserve">And, a priori truth has to apply to everyone: </w:t>
      </w:r>
      <w:r>
        <w:rPr>
          <w:rFonts w:cs="Calibri"/>
        </w:rPr>
        <w:t xml:space="preserve">[a] </w:t>
      </w:r>
      <w:r w:rsidRPr="00F570EE">
        <w:rPr>
          <w:rFonts w:cs="Calibri"/>
        </w:rPr>
        <w:t>absent universal ethics, morality becomes arbitrary and fails to guide action, which means that ethics is rendered useless</w:t>
      </w:r>
      <w:r>
        <w:rPr>
          <w:rFonts w:cs="Calibri"/>
        </w:rPr>
        <w:t>. [b]</w:t>
      </w:r>
      <w:r w:rsidRPr="00F570EE">
        <w:rPr>
          <w:rFonts w:cs="Calibri"/>
        </w:rPr>
        <w:t xml:space="preserve"> it’s a tautological contradiction: any </w:t>
      </w:r>
      <w:r w:rsidRPr="00F570EE">
        <w:rPr>
          <w:rFonts w:cs="Calibri"/>
          <w:color w:val="000000" w:themeColor="text1"/>
          <w:szCs w:val="16"/>
        </w:rPr>
        <w:t xml:space="preserve">non-universal norm justifies someone’s ability to impede on your ends, which also means universalizability acts as a side constraint on all other frameworks. </w:t>
      </w:r>
    </w:p>
    <w:p w14:paraId="2AF90B8C" w14:textId="2EB175C6" w:rsidR="0099686A" w:rsidRDefault="0099686A" w:rsidP="0099686A">
      <w:pPr>
        <w:pStyle w:val="Heading4"/>
        <w:rPr>
          <w:rFonts w:cs="Calibri"/>
        </w:rPr>
      </w:pPr>
      <w:r w:rsidRPr="00F570EE">
        <w:rPr>
          <w:rFonts w:cs="Calibri"/>
        </w:rPr>
        <w:t>Thus, the standard is consistency with willing universal maxims.</w:t>
      </w:r>
    </w:p>
    <w:p w14:paraId="68FFF8AE" w14:textId="3114EF29" w:rsidR="0099686A" w:rsidRPr="0099686A" w:rsidRDefault="0099686A" w:rsidP="0099686A">
      <w:pPr>
        <w:pStyle w:val="Heading4"/>
      </w:pPr>
      <w:r w:rsidRPr="00650470">
        <w:t xml:space="preserve">Performativity—freedom is the key to the process of justification of arguments. Willing that we should abide by their ethical theory presupposes that we own ourselves in the first place. Thus, it is logically incoherent to justify </w:t>
      </w:r>
      <w:r>
        <w:t>the aff</w:t>
      </w:r>
      <w:r w:rsidRPr="00650470">
        <w:t xml:space="preserve"> standard without first willing that we can pursue ends free from others</w:t>
      </w:r>
    </w:p>
    <w:p w14:paraId="2F3CC4DD" w14:textId="77777777" w:rsidR="0099686A" w:rsidRDefault="0099686A" w:rsidP="0099686A">
      <w:pPr>
        <w:pStyle w:val="Heading3"/>
      </w:pPr>
      <w:r w:rsidRPr="00F570EE">
        <w:lastRenderedPageBreak/>
        <w:t>1NC – Offense</w:t>
      </w:r>
    </w:p>
    <w:p w14:paraId="4959254E" w14:textId="77777777" w:rsidR="0099686A" w:rsidRPr="00A057DB" w:rsidRDefault="0099686A" w:rsidP="0099686A">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7BF90510" w14:textId="77777777" w:rsidR="0099686A" w:rsidRPr="00E45605" w:rsidRDefault="0099686A" w:rsidP="0099686A">
      <w:r w:rsidRPr="00797F40">
        <w:rPr>
          <w:rFonts w:eastAsiaTheme="majorEastAsia" w:cstheme="majorBidi"/>
          <w:b/>
          <w:bCs/>
          <w:sz w:val="26"/>
        </w:rPr>
        <w:t>Pozzo 6</w:t>
      </w:r>
      <w:r w:rsidRPr="00797F40">
        <w:t xml:space="preserve"> Pozzo, Riccardo. “Immanuel Kant on Intellectual Property.” Trans/Form/Ação, vol. 29, no. 2, 2006, pp. 11–18., doi:10.1590/s0101-31732006000200002.</w:t>
      </w:r>
      <w:r>
        <w:t xml:space="preserve"> SJ//DA recut Cookie JX</w:t>
      </w:r>
    </w:p>
    <w:p w14:paraId="1B442DF3" w14:textId="77777777" w:rsidR="0099686A" w:rsidRDefault="0099686A" w:rsidP="0099686A">
      <w:pPr>
        <w:rPr>
          <w:sz w:val="16"/>
        </w:rPr>
      </w:pPr>
      <w:r w:rsidRPr="006F1739">
        <w:rPr>
          <w:sz w:val="16"/>
        </w:rPr>
        <w:t xml:space="preserve">Corpus mysticum, opus mysticum, propriété incorporelle, proprietà letteraria, geistiges Eigentum.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with regard to it. </w:t>
      </w:r>
      <w:r w:rsidRPr="0027259A">
        <w:rPr>
          <w:rStyle w:val="Emphasis"/>
        </w:rPr>
        <w:t xml:space="preserve">On the other hand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(praestatio operae),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mysticum,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The corpus mechanicum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Illegitimity of Pirate Publishing, he considered the moral faculties related to </w:t>
      </w:r>
      <w:r w:rsidRPr="001E5989">
        <w:rPr>
          <w:b/>
          <w:bCs/>
          <w:u w:val="single"/>
        </w:rPr>
        <w:t>intellectual property as an “inalienable right (ius personalissimum)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Illegitimity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w:t>
      </w:r>
      <w:r w:rsidRPr="006F1739">
        <w:rPr>
          <w:sz w:val="16"/>
        </w:rPr>
        <w:lastRenderedPageBreak/>
        <w:t>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Reimarus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 xml:space="preserve">(Reimarus, 1791a, pp.402-3). Reimarus admitted of being unable to argue in terms of justice. Justice was of no bearing, he said, for whom, like himself, considered undemonstrated the author’s permanent property of his work (herein supported by the legislative vacuum of those years). What mattered, he said, was equity. In sum, Reimarus anticipated today’s stance on free use by referring to the principle that public interest on knowledge ought to prevail on the author’s interest and to balance the copyright. Moreover, Reimarus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 xml:space="preserve">(Reimarus, 1791b, t.2, pp.584). To sum up, Reimarus’s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21A395ED" w14:textId="77777777" w:rsidR="0099686A" w:rsidRPr="00A057DB" w:rsidRDefault="0099686A" w:rsidP="0099686A"/>
    <w:p w14:paraId="718DE2C4" w14:textId="77777777" w:rsidR="0099686A" w:rsidRPr="0027259A" w:rsidRDefault="0099686A" w:rsidP="0099686A">
      <w:pPr>
        <w:rPr>
          <w:sz w:val="16"/>
        </w:rPr>
      </w:pPr>
    </w:p>
    <w:p w14:paraId="6B415AD5" w14:textId="263614A7" w:rsidR="0099686A" w:rsidRPr="00A057DB" w:rsidRDefault="002E4262" w:rsidP="0099686A">
      <w:pPr>
        <w:pStyle w:val="Heading4"/>
        <w:spacing w:before="240"/>
        <w:rPr>
          <w:u w:val="single"/>
        </w:rPr>
      </w:pPr>
      <w:r>
        <w:t>2</w:t>
      </w:r>
      <w:r w:rsidR="0099686A">
        <w:t xml:space="preserve">]The aff encourages free riding- that treats people as </w:t>
      </w:r>
      <w:r w:rsidR="0099686A">
        <w:softHyphen/>
      </w:r>
      <w:r w:rsidR="0099686A">
        <w:rPr>
          <w:u w:val="single"/>
        </w:rPr>
        <w:t>means to an end</w:t>
      </w:r>
      <w:r w:rsidR="0099686A">
        <w:t xml:space="preserve"> and takes advantage of their efforts which violates </w:t>
      </w:r>
      <w:r w:rsidR="0099686A">
        <w:rPr>
          <w:u w:val="single"/>
        </w:rPr>
        <w:t>the principle of humanity</w:t>
      </w:r>
    </w:p>
    <w:p w14:paraId="4546914B" w14:textId="77777777" w:rsidR="0099686A" w:rsidRPr="00D6603B" w:rsidRDefault="0099686A" w:rsidP="0099686A">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IPWatchdog, </w:t>
      </w:r>
      <w:hyperlink r:id="rId9" w:history="1">
        <w:r w:rsidRPr="005523C8">
          <w:rPr>
            <w:rStyle w:val="Hyperlink"/>
          </w:rPr>
          <w:t>https://www.ipwatchdog.com/2018/07/17/categorical-imperative-innovation-patenting/id=99178/</w:t>
        </w:r>
      </w:hyperlink>
      <w:r>
        <w:t xml:space="preserve"> SJ//DA recut SJKS</w:t>
      </w:r>
    </w:p>
    <w:p w14:paraId="3F40C416" w14:textId="77777777" w:rsidR="0099686A" w:rsidRDefault="0099686A" w:rsidP="0099686A">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content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 xml:space="preserve">Categorical Imperative can </w:t>
      </w:r>
      <w:r w:rsidRPr="00A057DB">
        <w:rPr>
          <w:b/>
          <w:bCs/>
          <w:highlight w:val="green"/>
          <w:u w:val="single"/>
        </w:rPr>
        <w:lastRenderedPageBreak/>
        <w:t>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32AF51AA" w14:textId="77777777" w:rsidR="0099686A" w:rsidRDefault="0099686A" w:rsidP="0099686A">
      <w:pPr>
        <w:rPr>
          <w:sz w:val="14"/>
        </w:rPr>
      </w:pPr>
    </w:p>
    <w:p w14:paraId="075A6A1B" w14:textId="40AF379E" w:rsidR="00E42E4C" w:rsidRDefault="0099686A" w:rsidP="0099686A">
      <w:pPr>
        <w:pStyle w:val="Heading2"/>
      </w:pPr>
      <w:r>
        <w:lastRenderedPageBreak/>
        <w:t>2</w:t>
      </w:r>
    </w:p>
    <w:p w14:paraId="05BB9210" w14:textId="77777777" w:rsidR="0099686A" w:rsidRPr="00D16830" w:rsidRDefault="0099686A" w:rsidP="0099686A">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aff is a </w:t>
      </w:r>
      <w:r w:rsidRPr="00D16830">
        <w:rPr>
          <w:rFonts w:cs="Calibri"/>
          <w:u w:val="single"/>
        </w:rPr>
        <w:t>suspension</w:t>
      </w:r>
      <w:r>
        <w:rPr>
          <w:rFonts w:cs="Calibri"/>
        </w:rPr>
        <w:t>.</w:t>
      </w:r>
    </w:p>
    <w:p w14:paraId="07DF344D" w14:textId="77777777" w:rsidR="0099686A" w:rsidRPr="00C85280" w:rsidRDefault="0099686A" w:rsidP="0099686A">
      <w:pPr>
        <w:rPr>
          <w:sz w:val="24"/>
        </w:rPr>
      </w:pPr>
      <w:r w:rsidRPr="00B70F74">
        <w:rPr>
          <w:rStyle w:val="Style13ptBold"/>
        </w:rPr>
        <w:t>Reynolds 59</w:t>
      </w:r>
      <w:r w:rsidRPr="00C85280">
        <w:rPr>
          <w:rStyle w:val="verdana"/>
        </w:rPr>
        <w:t xml:space="preserve"> – Judge (</w:t>
      </w:r>
      <w:r w:rsidRPr="00C85280">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18E62233" w14:textId="77777777" w:rsidR="0099686A" w:rsidRPr="00BF37D0" w:rsidRDefault="0099686A" w:rsidP="0099686A">
      <w:pPr>
        <w:rPr>
          <w:u w:val="single"/>
        </w:rPr>
      </w:pPr>
      <w:r w:rsidRPr="00C85280">
        <w:rPr>
          <w:color w:val="000000"/>
          <w:sz w:val="16"/>
        </w:rPr>
        <w:t>Section 83</w:t>
      </w:r>
      <w:r w:rsidRPr="00C85280">
        <w:rPr>
          <w:sz w:val="16"/>
        </w:rPr>
        <w:t xml:space="preserve">'s counterpart with regard to nondisability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xml:space="preserve"> [***13]  </w:t>
      </w:r>
      <w:r w:rsidRPr="00C85280">
        <w:rPr>
          <w:u w:val="single"/>
        </w:rPr>
        <w:t xml:space="preserve">The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4FBAC928" w14:textId="77777777" w:rsidR="0099686A" w:rsidRDefault="0099686A" w:rsidP="0099686A"/>
    <w:p w14:paraId="4BC3DA13" w14:textId="77777777" w:rsidR="0099686A" w:rsidRPr="00311F58" w:rsidRDefault="0099686A" w:rsidP="0099686A">
      <w:pPr>
        <w:pStyle w:val="Heading4"/>
        <w:rPr>
          <w:rFonts w:cs="Calibri"/>
          <w:b w:val="0"/>
          <w:iCs/>
          <w:sz w:val="22"/>
          <w:u w:val="single"/>
        </w:rPr>
      </w:pPr>
      <w:r>
        <w:t xml:space="preserve">Violation: </w:t>
      </w:r>
    </w:p>
    <w:p w14:paraId="3391DCE0" w14:textId="77777777" w:rsidR="0099686A" w:rsidRDefault="0099686A" w:rsidP="0099686A"/>
    <w:p w14:paraId="7DD34C45" w14:textId="77777777" w:rsidR="0099686A" w:rsidRPr="000F0F15" w:rsidRDefault="0099686A" w:rsidP="0099686A">
      <w:pPr>
        <w:pStyle w:val="Heading4"/>
        <w:rPr>
          <w:rFonts w:cs="Calibri"/>
        </w:rPr>
      </w:pPr>
      <w:r w:rsidRPr="000F0F15">
        <w:rPr>
          <w:rFonts w:cs="Calibri"/>
        </w:rPr>
        <w:lastRenderedPageBreak/>
        <w:t>Vote neg:</w:t>
      </w:r>
    </w:p>
    <w:p w14:paraId="2E21FD89" w14:textId="77777777" w:rsidR="0099686A" w:rsidRDefault="0099686A" w:rsidP="0099686A">
      <w:pPr>
        <w:pStyle w:val="Heading4"/>
      </w:pPr>
      <w:r>
        <w:t xml:space="preserve">1] </w:t>
      </w:r>
      <w:r w:rsidRPr="005F3BCD">
        <w:t>Limits</w:t>
      </w:r>
      <w:r>
        <w:t xml:space="preserve"> and ground</w:t>
      </w:r>
      <w:r w:rsidRPr="005F3BCD">
        <w:t xml:space="preserve">– their model allows affs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affs which makes cutting stable neg links impossible — limits key to reciprocal engagement since they create a caselist for neg prep</w:t>
      </w:r>
      <w:r>
        <w:t xml:space="preserve"> (innovation, collaboration, econ, ptx: all core neg literature thrown away)</w:t>
      </w:r>
      <w:r w:rsidRPr="005F3BCD">
        <w:t xml:space="preserve"> </w:t>
      </w:r>
    </w:p>
    <w:p w14:paraId="69083E05" w14:textId="463445CC" w:rsidR="0099686A" w:rsidRPr="00DB5A61" w:rsidRDefault="0099686A" w:rsidP="0099686A">
      <w:pPr>
        <w:pStyle w:val="Heading4"/>
      </w:pPr>
      <w:r>
        <w:t xml:space="preserve">2] Precision o/w – anything else justifies the aff arbitrarily jettisoning words in the resolution at their whim which decks negative ground and preparation because the aff is no longer bounded by the resolution. </w:t>
      </w:r>
    </w:p>
    <w:p w14:paraId="7C402A11" w14:textId="77777777" w:rsidR="0099686A" w:rsidRPr="002F7767" w:rsidRDefault="0099686A" w:rsidP="0099686A">
      <w:pPr>
        <w:pStyle w:val="Heading4"/>
        <w:rPr>
          <w:rFonts w:cs="Calibri"/>
        </w:rPr>
      </w:pPr>
      <w:r>
        <w:rPr>
          <w:rFonts w:cs="Calibri"/>
        </w:rPr>
        <w:t>3</w:t>
      </w:r>
      <w:r w:rsidRPr="00FF172F">
        <w:rPr>
          <w:rFonts w:cs="Calibri"/>
        </w:rPr>
        <w:t>] TVA –</w:t>
      </w:r>
      <w:r>
        <w:rPr>
          <w:rFonts w:cs="Calibri"/>
        </w:rPr>
        <w:t xml:space="preserve"> defend the advantage to a whole rez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449ACFBA" w14:textId="77777777" w:rsidR="0099686A" w:rsidRDefault="0099686A" w:rsidP="0099686A">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021FEEA9" w14:textId="77777777" w:rsidR="0099686A" w:rsidRDefault="0099686A" w:rsidP="0099686A">
      <w:pPr>
        <w:pStyle w:val="Heading4"/>
      </w:pPr>
      <w:r>
        <w:t>Drop the debater – a] deter future abuse and b] set better norms for debate.</w:t>
      </w:r>
    </w:p>
    <w:p w14:paraId="1E1385F0" w14:textId="77777777" w:rsidR="0099686A" w:rsidRDefault="0099686A" w:rsidP="0099686A">
      <w:pPr>
        <w:pStyle w:val="Heading4"/>
      </w:pPr>
      <w:r>
        <w:t>Competing interps – [a] reasonability is arbitrary and encourages judge intervention since there’s no clear norm, [b] it creates a race to the top where we create the best possible norms for debate.</w:t>
      </w:r>
    </w:p>
    <w:p w14:paraId="6E061909" w14:textId="77777777" w:rsidR="0099686A" w:rsidRPr="00B91164" w:rsidRDefault="0099686A" w:rsidP="0099686A">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AFB5EBC" w14:textId="77777777" w:rsidR="0099686A" w:rsidRDefault="0099686A" w:rsidP="0099686A"/>
    <w:p w14:paraId="1CF572F4" w14:textId="7FFEC2B3" w:rsidR="0099686A" w:rsidRDefault="0099686A" w:rsidP="0099686A">
      <w:pPr>
        <w:pStyle w:val="Heading2"/>
      </w:pPr>
      <w:r>
        <w:lastRenderedPageBreak/>
        <w:t>3</w:t>
      </w:r>
    </w:p>
    <w:p w14:paraId="7B844EDB" w14:textId="77777777" w:rsidR="00CC634A" w:rsidRDefault="00CC634A" w:rsidP="00CC634A">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1DD2115C" w14:textId="77777777" w:rsidR="00CC634A" w:rsidRPr="00FB3283" w:rsidRDefault="00CC634A" w:rsidP="00CC634A">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10" w:history="1">
        <w:r w:rsidRPr="00297C2F">
          <w:rPr>
            <w:rStyle w:val="Hyperlink"/>
          </w:rPr>
          <w:t>https://www.law360.com/competition/articles/1418789/interest-groups-back-big-tech-antitrust-bills-in-house</w:t>
        </w:r>
      </w:hyperlink>
      <w:r>
        <w:t>] Justin</w:t>
      </w:r>
    </w:p>
    <w:p w14:paraId="1EF0BC2F" w14:textId="77777777" w:rsidR="00CC634A" w:rsidRPr="00FB3283" w:rsidRDefault="00CC634A" w:rsidP="00CC634A">
      <w:pPr>
        <w:rPr>
          <w:u w:val="single"/>
        </w:rPr>
      </w:pPr>
      <w:r w:rsidRPr="00FB3283">
        <w:rPr>
          <w:sz w:val="1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rPr>
          <w:sz w:val="16"/>
        </w:rPr>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rPr>
          <w:sz w:val="16"/>
        </w:rPr>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rPr>
          <w:sz w:val="16"/>
        </w:rPr>
        <w:t xml:space="preserve">. Charlotte Slaiman,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rPr>
          <w:sz w:val="16"/>
        </w:rPr>
        <w:t xml:space="preserve"> Slaiman said. The letter contends that </w:t>
      </w:r>
      <w:r w:rsidRPr="00FB3283">
        <w:rPr>
          <w:u w:val="single"/>
        </w:rPr>
        <w:t xml:space="preserve">America has a </w:t>
      </w:r>
      <w:r w:rsidRPr="00FB3283">
        <w:rPr>
          <w:rStyle w:val="Emphasis"/>
        </w:rPr>
        <w:t>monopoly problem that is resulting in lower wages, reduced innovation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rPr>
          <w:sz w:val="16"/>
        </w:rPr>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Facebook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rPr>
          <w:sz w:val="16"/>
        </w:rPr>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rPr>
          <w:sz w:val="16"/>
        </w:rPr>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rPr>
          <w:sz w:val="1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rPr>
          <w:sz w:val="16"/>
        </w:rPr>
        <w:t xml:space="preserve">. The Competitive Enterprise Institute argued in a June statement that the bill "kills the goose that lays the golden egg," and would actually result in small businesses being unable to access the large platforms, which in turn would focus on their own offerings instead. The Chamber of Progress has warned that the proposal could bar Amazon from offering its Prime services and its Amazon Basics private label </w:t>
      </w:r>
      <w:r w:rsidRPr="00FB3283">
        <w:rPr>
          <w:sz w:val="16"/>
        </w:rPr>
        <w:lastRenderedPageBreak/>
        <w:t xml:space="preserve">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The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rPr>
          <w:sz w:val="16"/>
        </w:rPr>
        <w:t xml:space="preserve"> "At a minimum, the act would significantly disrupt these platforms' business models in ways that undermine consumer value," Daniel Lyons, a senior fellow for the group wrote in a blog post in June. Platform Competition and Opportunity Act The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key way for founders to benefit from their success. An American Enterprise Institute blog post from June argues that "opportunities for acquisition have been important drivers of innovation in tech" and also said the bill would prevent the tech companies from entering new areas of business to compete with each other. ACCESS Act The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try to micromanage "complex, dynamic, and highly competitive markets" that are beyond understanding</w:t>
      </w:r>
      <w:r w:rsidRPr="00FB3283">
        <w:rPr>
          <w:sz w:val="16"/>
        </w:rPr>
        <w:t xml:space="preserve"> for most politicians and regulators. The American Enterprise Institute has also contended that the requirements would actually make rivals even more dependent on the incumbent platforms. Filing fees and state enforcement Of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similar to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enforcers, but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subcommitee's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14700EAD" w14:textId="77777777" w:rsidR="00CC634A" w:rsidRDefault="00CC634A" w:rsidP="00CC634A"/>
    <w:p w14:paraId="29EFADC9" w14:textId="77777777" w:rsidR="00CC634A" w:rsidRDefault="00CC634A" w:rsidP="00CC634A">
      <w:pPr>
        <w:pStyle w:val="Heading4"/>
      </w:pPr>
      <w:r>
        <w:lastRenderedPageBreak/>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6AEAAE91" w14:textId="77777777" w:rsidR="00CC634A" w:rsidRDefault="00CC634A" w:rsidP="00CC634A">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1" w:history="1">
        <w:r w:rsidRPr="00E41138">
          <w:rPr>
            <w:rStyle w:val="Hyperlink"/>
          </w:rPr>
          <w:t>https://www.barrons.com/articles/drawn-out-negotiations-over-covid-ip-will-blow-back-on-biden-51621973675</w:t>
        </w:r>
      </w:hyperlink>
      <w:r>
        <w:t>] Justin</w:t>
      </w:r>
    </w:p>
    <w:p w14:paraId="4837D382" w14:textId="77777777" w:rsidR="00CC634A" w:rsidRPr="008B501C" w:rsidRDefault="00CC634A" w:rsidP="00CC634A">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20B9EC2F" w14:textId="77777777" w:rsidR="00CC634A" w:rsidRPr="00C86CC7" w:rsidRDefault="00CC634A" w:rsidP="00CC634A">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17A68544" w14:textId="77777777" w:rsidR="00CC634A" w:rsidRPr="00C86CC7" w:rsidRDefault="00CC634A" w:rsidP="00CC634A">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their most cutting-edge</w:t>
      </w:r>
      <w:r w:rsidRPr="00C86CC7">
        <w:rPr>
          <w:u w:val="single"/>
        </w:rPr>
        <w:t>—and closely guarded—</w:t>
      </w:r>
      <w:r w:rsidRPr="00EA6A04">
        <w:rPr>
          <w:rStyle w:val="Emphasis"/>
          <w:highlight w:val="green"/>
        </w:rPr>
        <w:t>secrets</w:t>
      </w:r>
      <w:r w:rsidRPr="00C86CC7">
        <w:rPr>
          <w:u w:val="single"/>
        </w:rPr>
        <w:t>.</w:t>
      </w:r>
    </w:p>
    <w:p w14:paraId="6A535266" w14:textId="77777777" w:rsidR="00CC634A" w:rsidRDefault="00CC634A" w:rsidP="00CC634A">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198D04F3" w14:textId="77777777" w:rsidR="00CC634A" w:rsidRPr="008B501C" w:rsidRDefault="00CC634A" w:rsidP="00CC634A">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52039559" w14:textId="77777777" w:rsidR="00CC634A" w:rsidRPr="00712735" w:rsidRDefault="00CC634A" w:rsidP="00CC634A">
      <w:pPr>
        <w:rPr>
          <w:u w:val="single"/>
        </w:rPr>
      </w:pPr>
      <w:r w:rsidRPr="008B501C">
        <w:rPr>
          <w:sz w:val="16"/>
        </w:rPr>
        <w:t>As Moderna Chief Executive Stephane Bancel said on a recent earnings call, “</w:t>
      </w:r>
      <w:r w:rsidRPr="00712735">
        <w:rPr>
          <w:u w:val="single"/>
        </w:rPr>
        <w:t xml:space="preserve">This is a </w:t>
      </w:r>
      <w:r w:rsidRPr="00F85024">
        <w:rPr>
          <w:u w:val="single"/>
        </w:rPr>
        <w:t>new technology</w:t>
      </w:r>
      <w:r w:rsidRPr="00712735">
        <w:rPr>
          <w:u w:val="single"/>
        </w:rPr>
        <w:t xml:space="preserve">. </w:t>
      </w:r>
      <w:r w:rsidRPr="00EA6A04">
        <w:rPr>
          <w:highlight w:val="green"/>
          <w:u w:val="single"/>
        </w:rPr>
        <w:t xml:space="preserve">You </w:t>
      </w:r>
      <w:r w:rsidRPr="00EA6A04">
        <w:rPr>
          <w:rStyle w:val="Emphasis"/>
          <w:highlight w:val="green"/>
        </w:rPr>
        <w:t>cannot</w:t>
      </w:r>
      <w:r w:rsidRPr="00FD7B60">
        <w:rPr>
          <w:rStyle w:val="Emphasis"/>
        </w:rPr>
        <w:t xml:space="preserve"> go </w:t>
      </w:r>
      <w:r w:rsidRPr="00EA6A04">
        <w:rPr>
          <w:rStyle w:val="Emphasis"/>
          <w:highlight w:val="green"/>
        </w:rPr>
        <w:t>hire people who know</w:t>
      </w:r>
      <w:r w:rsidRPr="00FD7B60">
        <w:rPr>
          <w:rStyle w:val="Emphasis"/>
        </w:rPr>
        <w:t xml:space="preserve"> how </w:t>
      </w:r>
      <w:r w:rsidRPr="00EA6A04">
        <w:rPr>
          <w:rStyle w:val="Emphasis"/>
          <w:highlight w:val="green"/>
        </w:rPr>
        <w:t>to make</w:t>
      </w:r>
      <w:r w:rsidRPr="00FD7B60">
        <w:rPr>
          <w:rStyle w:val="Emphasis"/>
        </w:rPr>
        <w:t xml:space="preserve"> the </w:t>
      </w:r>
      <w:r w:rsidRPr="00EA6A04">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EA6A04">
        <w:rPr>
          <w:highlight w:val="green"/>
          <w:u w:val="single"/>
        </w:rPr>
        <w:t>will have to</w:t>
      </w:r>
      <w:r w:rsidRPr="00712735">
        <w:rPr>
          <w:u w:val="single"/>
        </w:rPr>
        <w:t xml:space="preserve">, you know, </w:t>
      </w:r>
      <w:r w:rsidRPr="00EA6A04">
        <w:rPr>
          <w:rStyle w:val="Emphasis"/>
          <w:highlight w:val="green"/>
        </w:rPr>
        <w:t>buy</w:t>
      </w:r>
      <w:r w:rsidRPr="00FD7B60">
        <w:rPr>
          <w:rStyle w:val="Emphasis"/>
        </w:rPr>
        <w:t xml:space="preserve"> the machine, </w:t>
      </w:r>
      <w:r w:rsidRPr="00EA6A04">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EA6A04">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EA6A04">
        <w:rPr>
          <w:highlight w:val="green"/>
          <w:u w:val="single"/>
        </w:rPr>
        <w:t>run</w:t>
      </w:r>
      <w:r w:rsidRPr="00712735">
        <w:rPr>
          <w:u w:val="single"/>
        </w:rPr>
        <w:t xml:space="preserve"> a clinical </w:t>
      </w:r>
      <w:r w:rsidRPr="00EA6A04">
        <w:rPr>
          <w:highlight w:val="green"/>
          <w:u w:val="single"/>
        </w:rPr>
        <w:t>trial, get</w:t>
      </w:r>
      <w:r w:rsidRPr="00712735">
        <w:rPr>
          <w:u w:val="single"/>
        </w:rPr>
        <w:t xml:space="preserve"> the </w:t>
      </w:r>
      <w:r w:rsidRPr="00EA6A04">
        <w:rPr>
          <w:highlight w:val="green"/>
          <w:u w:val="single"/>
        </w:rPr>
        <w:t xml:space="preserve">data, get </w:t>
      </w:r>
      <w:r w:rsidRPr="00F85024">
        <w:rPr>
          <w:u w:val="single"/>
        </w:rPr>
        <w:t xml:space="preserve">the </w:t>
      </w:r>
      <w:r w:rsidRPr="00EA6A04">
        <w:rPr>
          <w:highlight w:val="green"/>
          <w:u w:val="single"/>
        </w:rPr>
        <w:t>product approved and scale manufacturing</w:t>
      </w:r>
      <w:r w:rsidRPr="00712735">
        <w:rPr>
          <w:u w:val="single"/>
        </w:rPr>
        <w:t xml:space="preserve">. This </w:t>
      </w:r>
      <w:r w:rsidRPr="00EA6A04">
        <w:rPr>
          <w:highlight w:val="green"/>
          <w:u w:val="single"/>
        </w:rPr>
        <w:t>doesn’t happen in</w:t>
      </w:r>
      <w:r w:rsidRPr="00712735">
        <w:rPr>
          <w:u w:val="single"/>
        </w:rPr>
        <w:t xml:space="preserve"> six or 12 or 18 </w:t>
      </w:r>
      <w:r w:rsidRPr="00EA6A04">
        <w:rPr>
          <w:highlight w:val="green"/>
          <w:u w:val="single"/>
        </w:rPr>
        <w:t>months</w:t>
      </w:r>
      <w:r w:rsidRPr="00712735">
        <w:rPr>
          <w:u w:val="single"/>
        </w:rPr>
        <w:t>.”</w:t>
      </w:r>
    </w:p>
    <w:p w14:paraId="6E856493" w14:textId="77777777" w:rsidR="00CC634A" w:rsidRPr="008B501C" w:rsidRDefault="00CC634A" w:rsidP="00CC634A">
      <w:pPr>
        <w:rPr>
          <w:sz w:val="16"/>
        </w:rPr>
      </w:pP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p>
    <w:p w14:paraId="0E70552A" w14:textId="77777777" w:rsidR="00CC634A" w:rsidRPr="00F85024" w:rsidRDefault="00CC634A" w:rsidP="00CC634A">
      <w:pPr>
        <w:rPr>
          <w:sz w:val="16"/>
        </w:rPr>
      </w:pPr>
      <w:r w:rsidRPr="00F85024">
        <w:rPr>
          <w:sz w:val="16"/>
        </w:rPr>
        <w:t>Those claiming the waiver poses an immediate, rather than long-term, threat to IP rights also misunderstand what the waiver will—and won’t—do.</w:t>
      </w:r>
    </w:p>
    <w:p w14:paraId="067FE62E" w14:textId="77777777" w:rsidR="00CC634A" w:rsidRPr="00F85024" w:rsidRDefault="00CC634A" w:rsidP="00CC634A">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73AE35D8" w14:textId="77777777" w:rsidR="00CC634A" w:rsidRPr="008B501C" w:rsidRDefault="00CC634A" w:rsidP="00CC634A">
      <w:pPr>
        <w:rPr>
          <w:sz w:val="16"/>
        </w:rPr>
      </w:pPr>
      <w:r w:rsidRPr="008B501C">
        <w:rPr>
          <w:sz w:val="16"/>
        </w:rPr>
        <w:lastRenderedPageBreak/>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7D549614" w14:textId="77777777" w:rsidR="00CC634A" w:rsidRPr="008B501C" w:rsidRDefault="00CC634A" w:rsidP="00CC634A">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310E6BC9" w14:textId="77777777" w:rsidR="00CC634A" w:rsidRDefault="00CC634A" w:rsidP="00CC634A"/>
    <w:p w14:paraId="1149D4DD" w14:textId="77777777" w:rsidR="00CC634A" w:rsidRPr="00C95041" w:rsidRDefault="00CC634A" w:rsidP="00CC634A">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5877E9C4" w14:textId="77777777" w:rsidR="00CC634A" w:rsidRDefault="00CC634A" w:rsidP="00CC634A">
      <w:r>
        <w:rPr>
          <w:rStyle w:val="Style13ptBold"/>
        </w:rPr>
        <w:t>Sitaraman 20</w:t>
      </w:r>
      <w:r>
        <w:t xml:space="preserve"> [Ganesh; Vanderbilt University Law School; “</w:t>
      </w:r>
      <w:r w:rsidRPr="00AF3CA0">
        <w:t xml:space="preserve">The National Security Case for Breaking Up Big Tech,” Knight First Amendment Institute at Columbia; 3/12/20;  </w:t>
      </w:r>
      <w:hyperlink r:id="rId12" w:history="1">
        <w:r w:rsidRPr="00AF3CA0">
          <w:t>https://papers.ssrn.com/sol3/papers.cfm?abstract_id=3537870</w:t>
        </w:r>
      </w:hyperlink>
      <w:r w:rsidRPr="00AF3CA0">
        <w:t>]</w:t>
      </w:r>
      <w:r>
        <w:rPr>
          <w:rStyle w:val="Hyperlink"/>
        </w:rPr>
        <w:t xml:space="preserve"> brett // Re-Cut Justin</w:t>
      </w:r>
    </w:p>
    <w:p w14:paraId="0B4FE8FC" w14:textId="77777777" w:rsidR="00CC634A" w:rsidRPr="00FB3283" w:rsidRDefault="00CC634A" w:rsidP="00CC634A">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Kunce argue that contractors with de facto monopoly at the heart of their business models threaten national security. They write that one such contractor, TransDigm,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Kunce,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Kunce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 xml:space="preserve">is that taxpayers will likely see higher bills even as </w:t>
      </w:r>
      <w:r w:rsidRPr="00AF3CA0">
        <w:rPr>
          <w:rStyle w:val="StyleUnderline"/>
        </w:rPr>
        <w:lastRenderedPageBreak/>
        <w:t>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13A9CACA" w14:textId="77777777" w:rsidR="00CC634A" w:rsidRDefault="00CC634A" w:rsidP="00CC634A">
      <w:pPr>
        <w:rPr>
          <w:sz w:val="16"/>
        </w:rPr>
      </w:pPr>
    </w:p>
    <w:p w14:paraId="73D5668B" w14:textId="77777777" w:rsidR="00CC634A" w:rsidRPr="00FB3283" w:rsidRDefault="00CC634A" w:rsidP="00CC634A">
      <w:pPr>
        <w:pStyle w:val="Heading4"/>
      </w:pPr>
      <w:r>
        <w:t xml:space="preserve">That solves </w:t>
      </w:r>
      <w:r>
        <w:rPr>
          <w:u w:val="single"/>
        </w:rPr>
        <w:t>extinction</w:t>
      </w:r>
      <w:r>
        <w:t xml:space="preserve"> through </w:t>
      </w:r>
      <w:r w:rsidRPr="00FB3283">
        <w:rPr>
          <w:u w:val="single"/>
        </w:rPr>
        <w:t>great power war</w:t>
      </w:r>
      <w:r>
        <w:t>.</w:t>
      </w:r>
    </w:p>
    <w:p w14:paraId="5CCBE76B" w14:textId="77777777" w:rsidR="00CC634A" w:rsidRDefault="00CC634A" w:rsidP="00CC634A">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3" w:history="1">
        <w:r w:rsidRPr="00C944A1">
          <w:rPr>
            <w:rStyle w:val="Hyperlink"/>
          </w:rPr>
          <w:t>https://americanmilitarynews.com/2019/10/strengthen-us-industry-to-counter-national-security-challenges/</w:t>
        </w:r>
      </w:hyperlink>
      <w:r>
        <w:t>] Justin</w:t>
      </w:r>
    </w:p>
    <w:p w14:paraId="1579D6B4" w14:textId="77777777" w:rsidR="00CC634A" w:rsidRPr="00462687" w:rsidRDefault="00CC634A" w:rsidP="00CC634A">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in the midst of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jets, ICBMs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enormous fixed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19F7ABEF" w14:textId="5A0ABDAC" w:rsidR="0099686A" w:rsidRDefault="0099686A" w:rsidP="0099686A">
      <w:pPr>
        <w:pStyle w:val="Heading2"/>
      </w:pPr>
      <w:r>
        <w:lastRenderedPageBreak/>
        <w:t>Case</w:t>
      </w:r>
    </w:p>
    <w:p w14:paraId="26BDBE85" w14:textId="77777777" w:rsidR="00F04D11" w:rsidRDefault="00F04D11" w:rsidP="00F04D11">
      <w:pPr>
        <w:pStyle w:val="Heading4"/>
      </w:pPr>
      <w:r>
        <w:t>New 2nr responses – 1. their arguments are incomplete and I can’t know the implications until the 1ar 2. Clash – their model allows debaters to just extend one argument and ignore the rests of the flow</w:t>
      </w:r>
    </w:p>
    <w:p w14:paraId="5842C982" w14:textId="77777777" w:rsidR="00F04D11" w:rsidRDefault="00F04D11" w:rsidP="00F04D11">
      <w:pPr>
        <w:pStyle w:val="Heading4"/>
      </w:pPr>
      <w:r w:rsidRPr="00EE5D16">
        <w:t xml:space="preserve">Reject 1AR Theory They have two speeches on theory and I have one which is def irreciporcal Its not inf abuse because I only have 7 mins If you don’t buy that, </w:t>
      </w:r>
    </w:p>
    <w:p w14:paraId="15396E39" w14:textId="77777777" w:rsidR="00F04D11" w:rsidRDefault="00F04D11" w:rsidP="00F04D11">
      <w:pPr>
        <w:pStyle w:val="Heading4"/>
      </w:pPr>
      <w:r w:rsidRPr="00EE5D16">
        <w:t>Reasonability on 1AR shells – 1AR theory is</w:t>
      </w:r>
      <w:r>
        <w:t xml:space="preserve"> super</w:t>
      </w:r>
      <w:r w:rsidRPr="00EE5D16">
        <w:t xml:space="preserve"> aff-biased because the 2AR gets to line-by-line every 2NR standard with new answers that never get responded to– reasonability checks 2AR sandbagging by preventing</w:t>
      </w:r>
      <w:r>
        <w:t xml:space="preserve"> super</w:t>
      </w:r>
      <w:r w:rsidRPr="00EE5D16">
        <w:t xml:space="preserve"> abusive 1NCs while still giving the 2N a chance. </w:t>
      </w:r>
    </w:p>
    <w:p w14:paraId="57464D0F" w14:textId="77777777" w:rsidR="00F04D11" w:rsidRPr="00920AEB" w:rsidRDefault="00F04D11" w:rsidP="00F04D11">
      <w:pPr>
        <w:pStyle w:val="Heading4"/>
      </w:pPr>
      <w:r w:rsidRPr="00EE5D16">
        <w:t>DTA on 1AR shells - They can blow up a blippy 20 second shell to 3 min of the 2AR while I have to split my time and can’t preempt 2AR spin which necessitates judge intervention and means 1AR theory is irresolvable so you shouldn’t stake the round on it.</w:t>
      </w:r>
    </w:p>
    <w:p w14:paraId="691B5CCD" w14:textId="77777777" w:rsidR="00F04D11" w:rsidRPr="00F04D11" w:rsidRDefault="00F04D11" w:rsidP="00F04D11"/>
    <w:p w14:paraId="6E4011ED" w14:textId="77777777" w:rsidR="000B67B0" w:rsidRPr="00550EB1" w:rsidRDefault="000B67B0" w:rsidP="000B67B0">
      <w:pPr>
        <w:pStyle w:val="Heading4"/>
        <w:rPr>
          <w:rFonts w:cs="Calibri"/>
          <w:u w:val="single"/>
        </w:rPr>
      </w:pPr>
      <w:r w:rsidRPr="00550EB1">
        <w:rPr>
          <w:rFonts w:cs="Calibri"/>
        </w:rPr>
        <w:t xml:space="preserve">Aff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2AFCA3D1" w14:textId="77777777" w:rsidR="000B67B0" w:rsidRPr="00550EB1" w:rsidRDefault="000B67B0" w:rsidP="000B67B0">
      <w:pPr>
        <w:rPr>
          <w:sz w:val="18"/>
          <w:szCs w:val="18"/>
        </w:rPr>
      </w:pPr>
      <w:r w:rsidRPr="00550EB1">
        <w:rPr>
          <w:sz w:val="18"/>
          <w:szCs w:val="18"/>
        </w:rPr>
        <w:t xml:space="preserve">DC = developing country </w:t>
      </w:r>
    </w:p>
    <w:p w14:paraId="39254000" w14:textId="77777777" w:rsidR="000B67B0" w:rsidRPr="00550EB1" w:rsidRDefault="000B67B0" w:rsidP="000B67B0">
      <w:pPr>
        <w:rPr>
          <w:sz w:val="18"/>
          <w:szCs w:val="18"/>
        </w:rPr>
      </w:pPr>
      <w:r w:rsidRPr="00550EB1">
        <w:rPr>
          <w:sz w:val="18"/>
          <w:szCs w:val="18"/>
        </w:rPr>
        <w:t>NIT = Net Importers of Technology (this references developing countries)</w:t>
      </w:r>
    </w:p>
    <w:p w14:paraId="651506E1" w14:textId="77777777" w:rsidR="000B67B0" w:rsidRDefault="000B67B0" w:rsidP="000B67B0">
      <w:pPr>
        <w:rPr>
          <w:sz w:val="18"/>
          <w:szCs w:val="18"/>
        </w:rPr>
      </w:pPr>
      <w:r w:rsidRPr="00550EB1">
        <w:rPr>
          <w:sz w:val="18"/>
          <w:szCs w:val="18"/>
        </w:rPr>
        <w:t xml:space="preserve">NET = Net Exporters of Technology (countries with advanced economies) </w:t>
      </w:r>
    </w:p>
    <w:p w14:paraId="72B5DF7E" w14:textId="77777777" w:rsidR="000B67B0" w:rsidRPr="001A19BB" w:rsidRDefault="000B67B0" w:rsidP="000B67B0">
      <w:bookmarkStart w:id="1"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2016./SJKS</w:t>
      </w:r>
      <w:bookmarkEnd w:id="1"/>
    </w:p>
    <w:p w14:paraId="464BEB58" w14:textId="77777777" w:rsidR="000B67B0" w:rsidRPr="00550EB1" w:rsidRDefault="000B67B0" w:rsidP="000B67B0">
      <w:pPr>
        <w:rPr>
          <w:sz w:val="16"/>
        </w:rPr>
      </w:pPr>
      <w:r w:rsidRPr="00550EB1">
        <w:rPr>
          <w:sz w:val="16"/>
        </w:rPr>
        <w:t xml:space="preserve">In July 1988, prior to the Montreal Mid-Term Review, </w:t>
      </w:r>
      <w:r w:rsidRPr="00E656E4">
        <w:rPr>
          <w:rStyle w:val="Emphasis"/>
        </w:rPr>
        <w:t>DCs had sensed that the approach being proposed by industrialised countries was desirable on the grounds that the alternative would be a proliferation of unilateral or bilateral actions</w:t>
      </w:r>
      <w:r w:rsidRPr="00E656E4">
        <w:rPr>
          <w:sz w:val="16"/>
        </w:rPr>
        <w:t xml:space="preserve"> (MTN.GNG/NG11/8: 31). </w:t>
      </w:r>
      <w:r w:rsidRPr="00E656E4">
        <w:rPr>
          <w:rStyle w:val="Emphasis"/>
        </w:rPr>
        <w:t>These NITs maintained that acceptance of such an approach would be tantamount to creating a licence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w:t>
      </w:r>
      <w:r w:rsidRPr="00550EB1">
        <w:rPr>
          <w:sz w:val="16"/>
        </w:rPr>
        <w:lastRenderedPageBreak/>
        <w:t xml:space="preserve">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sought to utilise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India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who would be affected by US decisions to restrict imports.</w:t>
      </w:r>
      <w:r w:rsidRPr="00550EB1">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550EB1">
        <w:rPr>
          <w:rStyle w:val="Emphasis"/>
          <w:highlight w:val="green"/>
        </w:rPr>
        <w:t>disciplining it would send an unequivocal warning</w:t>
      </w:r>
      <w:r w:rsidRPr="00550EB1">
        <w:rPr>
          <w:rStyle w:val="Emphasis"/>
        </w:rPr>
        <w:t xml:space="preserve"> to other South American countries (</w:t>
      </w:r>
      <w:r w:rsidRPr="00550EB1">
        <w:rPr>
          <w:sz w:val="16"/>
        </w:rPr>
        <w:t xml:space="preserve">Drahos and Braithwaite 2002: 136), including Argentina, Chile and Peru who were also active participants in the negotiations. </w:t>
      </w:r>
      <w:r w:rsidRPr="00550EB1">
        <w:rPr>
          <w:rStyle w:val="Emphasis"/>
          <w:highlight w:val="green"/>
        </w:rPr>
        <w:t>This</w:t>
      </w:r>
      <w:r w:rsidRPr="00550EB1">
        <w:rPr>
          <w:rStyle w:val="Emphasis"/>
        </w:rPr>
        <w:t xml:space="preserve"> would </w:t>
      </w:r>
      <w:r w:rsidRPr="00550EB1">
        <w:rPr>
          <w:rStyle w:val="Emphasis"/>
          <w:highlight w:val="green"/>
        </w:rPr>
        <w:t>mark the start of a series of coercive strategies aimed at compliance with</w:t>
      </w:r>
      <w:r w:rsidRPr="00550EB1">
        <w:rPr>
          <w:rStyle w:val="Emphasis"/>
        </w:rPr>
        <w:t xml:space="preserve"> the </w:t>
      </w:r>
      <w:r w:rsidRPr="00550EB1">
        <w:rPr>
          <w:rStyle w:val="Emphasis"/>
          <w:highlight w:val="green"/>
        </w:rPr>
        <w:t>US</w:t>
      </w:r>
      <w:r w:rsidRPr="00550EB1">
        <w:rPr>
          <w:rStyle w:val="Emphasis"/>
        </w:rPr>
        <w:t xml:space="preserve"> private-sector envisioned </w:t>
      </w:r>
      <w:r w:rsidRPr="00550EB1">
        <w:rPr>
          <w:rStyle w:val="Emphasis"/>
          <w:highlight w:val="green"/>
        </w:rPr>
        <w:t>GATT IPP.</w:t>
      </w:r>
    </w:p>
    <w:p w14:paraId="4D7B617B" w14:textId="77777777" w:rsidR="0099686A" w:rsidRPr="0099686A" w:rsidRDefault="0099686A" w:rsidP="0099686A"/>
    <w:p w14:paraId="790E2B57" w14:textId="77777777" w:rsidR="00F04D11" w:rsidRPr="00CD02B6" w:rsidRDefault="00F04D11" w:rsidP="00F04D11">
      <w:pPr>
        <w:pStyle w:val="Heading4"/>
      </w:pPr>
      <w:r w:rsidRPr="00CD02B6">
        <w:t xml:space="preserve">Evergreening is a </w:t>
      </w:r>
      <w:r w:rsidRPr="00CD02B6">
        <w:rPr>
          <w:u w:val="single"/>
        </w:rPr>
        <w:t>myth</w:t>
      </w:r>
      <w:r w:rsidRPr="00CD02B6">
        <w:t xml:space="preserve"> – this card </w:t>
      </w:r>
      <w:r w:rsidRPr="00CD02B6">
        <w:rPr>
          <w:u w:val="single"/>
        </w:rPr>
        <w:t>ends the debate</w:t>
      </w:r>
      <w:r w:rsidRPr="00CD02B6">
        <w:t>.</w:t>
      </w:r>
    </w:p>
    <w:p w14:paraId="2FA1B46C" w14:textId="77777777" w:rsidR="00F04D11" w:rsidRPr="00CD02B6" w:rsidRDefault="00F04D11" w:rsidP="00F04D11">
      <w:r w:rsidRPr="00CD02B6">
        <w:rPr>
          <w:rStyle w:val="Style13ptBold"/>
        </w:rPr>
        <w:t>Lietzan 20</w:t>
      </w:r>
      <w:r w:rsidRPr="00CD02B6">
        <w:t xml:space="preserve"> [Erika; Professor of Law, University of Missouri School of Law</w:t>
      </w:r>
      <w:r>
        <w:t xml:space="preserve">, </w:t>
      </w:r>
      <w:r w:rsidRPr="008C760D">
        <w:t>Research interests</w:t>
      </w:r>
      <w:r>
        <w:t xml:space="preserve"> in</w:t>
      </w:r>
      <w:r w:rsidRPr="008C760D">
        <w:t xml:space="preserve"> Pharmaceutical Regulation, Device Regulation, Intellectual Property</w:t>
      </w:r>
      <w:r w:rsidRPr="00CD02B6">
        <w:t>; “</w:t>
      </w:r>
      <w:r w:rsidRPr="008C760D">
        <w:rPr>
          <w:rStyle w:val="Emphasis"/>
        </w:rPr>
        <w:t xml:space="preserve">The </w:t>
      </w:r>
      <w:r w:rsidRPr="00EA3700">
        <w:rPr>
          <w:rStyle w:val="Emphasis"/>
          <w:highlight w:val="green"/>
        </w:rPr>
        <w:t>Evergreening Myth</w:t>
      </w:r>
      <w:r>
        <w:rPr>
          <w:rStyle w:val="Emphasis"/>
        </w:rPr>
        <w:t xml:space="preserve"> </w:t>
      </w:r>
      <w:r w:rsidRPr="00BC6569">
        <w:rPr>
          <w:rStyle w:val="Emphasis"/>
        </w:rPr>
        <w:t xml:space="preserve">Claims that drug innovators extend their patents </w:t>
      </w:r>
      <w:r w:rsidRPr="00EA3700">
        <w:rPr>
          <w:rStyle w:val="Emphasis"/>
          <w:highlight w:val="green"/>
        </w:rPr>
        <w:t>obscure</w:t>
      </w:r>
      <w:r w:rsidRPr="00BC6569">
        <w:rPr>
          <w:rStyle w:val="Emphasis"/>
        </w:rPr>
        <w:t xml:space="preserve"> a </w:t>
      </w:r>
      <w:r w:rsidRPr="00EA3700">
        <w:rPr>
          <w:rStyle w:val="Emphasis"/>
          <w:highlight w:val="green"/>
        </w:rPr>
        <w:t>radical</w:t>
      </w:r>
      <w:r w:rsidRPr="00BC6569">
        <w:rPr>
          <w:rStyle w:val="Emphasis"/>
        </w:rPr>
        <w:t xml:space="preserve"> policy‐​making </w:t>
      </w:r>
      <w:r w:rsidRPr="00EA3700">
        <w:rPr>
          <w:rStyle w:val="Emphasis"/>
          <w:highlight w:val="green"/>
        </w:rPr>
        <w:t>goal</w:t>
      </w:r>
      <w:r w:rsidRPr="00BC6569">
        <w:rPr>
          <w:rStyle w:val="Emphasis"/>
        </w:rPr>
        <w:t>.</w:t>
      </w:r>
      <w:r>
        <w:t xml:space="preserve">,” Cato Institute; Fall 2020; </w:t>
      </w:r>
      <w:hyperlink r:id="rId14" w:history="1">
        <w:r w:rsidRPr="007272F2">
          <w:rPr>
            <w:rStyle w:val="Hyperlink"/>
          </w:rPr>
          <w:t>https://www.cato.org/regulation/fall-2020/evergreening-myth</w:t>
        </w:r>
      </w:hyperlink>
      <w:r>
        <w:t>/] Justin</w:t>
      </w:r>
    </w:p>
    <w:p w14:paraId="69936AF9" w14:textId="77777777" w:rsidR="00F04D11" w:rsidRPr="008C760D" w:rsidRDefault="00F04D11" w:rsidP="00F04D11">
      <w:pPr>
        <w:rPr>
          <w:sz w:val="16"/>
        </w:rPr>
      </w:pPr>
      <w:r w:rsidRPr="008C760D">
        <w:rPr>
          <w:sz w:val="16"/>
        </w:rPr>
        <w:t>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w:t>
      </w:r>
    </w:p>
    <w:p w14:paraId="577BC732" w14:textId="77777777" w:rsidR="00F04D11" w:rsidRPr="008C760D" w:rsidRDefault="00F04D11" w:rsidP="00F04D11">
      <w:pPr>
        <w:rPr>
          <w:rStyle w:val="Emphasis"/>
        </w:rPr>
      </w:pPr>
      <w:r w:rsidRPr="008C760D">
        <w:rPr>
          <w:sz w:val="16"/>
        </w:rPr>
        <w:t xml:space="preserve">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EA3700">
        <w:rPr>
          <w:highlight w:val="green"/>
          <w:u w:val="single"/>
        </w:rPr>
        <w:t>proponents are</w:t>
      </w:r>
      <w:r w:rsidRPr="008C760D">
        <w:rPr>
          <w:u w:val="single"/>
        </w:rPr>
        <w:t xml:space="preserve"> </w:t>
      </w:r>
      <w:r w:rsidRPr="008C760D">
        <w:rPr>
          <w:rStyle w:val="Emphasis"/>
        </w:rPr>
        <w:t xml:space="preserve">frustratingly </w:t>
      </w:r>
      <w:r w:rsidRPr="00EA3700">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8C760D">
        <w:rPr>
          <w:sz w:val="16"/>
        </w:rPr>
        <w:t xml:space="preserve"> A close look at the regulatory landscape in which continuing pharmaceutical innovation occurs shows that arguments for reform are </w:t>
      </w:r>
      <w:r w:rsidRPr="008C760D">
        <w:rPr>
          <w:u w:val="single"/>
        </w:rPr>
        <w:t xml:space="preserve">grounded in </w:t>
      </w:r>
      <w:r w:rsidRPr="008C760D">
        <w:rPr>
          <w:rStyle w:val="Emphasis"/>
          <w:rFonts w:eastAsiaTheme="majorEastAsia" w:cstheme="majorBidi"/>
          <w:iCs w:val="0"/>
        </w:rPr>
        <w:t>myths</w:t>
      </w:r>
      <w:r w:rsidRPr="008C760D">
        <w:rPr>
          <w:sz w:val="16"/>
        </w:rPr>
        <w:t xml:space="preserve">, such as the myth that pharmaceutical </w:t>
      </w:r>
      <w:r w:rsidRPr="008C760D">
        <w:rPr>
          <w:u w:val="single"/>
        </w:rPr>
        <w:t>companies continuing to innovate somehow “</w:t>
      </w:r>
      <w:r w:rsidRPr="008C760D">
        <w:rPr>
          <w:rStyle w:val="Emphasis"/>
        </w:rPr>
        <w:t>extend” their patents.</w:t>
      </w:r>
    </w:p>
    <w:p w14:paraId="4295A2DA" w14:textId="77777777" w:rsidR="00F04D11" w:rsidRPr="008C760D" w:rsidRDefault="00F04D11" w:rsidP="00F04D11">
      <w:pPr>
        <w:rPr>
          <w:sz w:val="8"/>
        </w:rPr>
      </w:pPr>
      <w:r w:rsidRPr="008C760D">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In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8C760D">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8C760D">
        <w:rPr>
          <w:sz w:val="8"/>
        </w:rPr>
        <w:t xml:space="preserve"> and statutory data exclusivity. Sometimes the </w:t>
      </w:r>
      <w:r w:rsidRPr="008C760D">
        <w:rPr>
          <w:u w:val="single"/>
        </w:rPr>
        <w:t>innovator also stops selling its older product. If purchasers shift to the innovator’s newer product</w:t>
      </w:r>
      <w:r w:rsidRPr="008C760D">
        <w:rPr>
          <w:sz w:val="8"/>
        </w:rPr>
        <w:t xml:space="preserve"> rather than purchasing cheap copies of the innovator’s older product, </w:t>
      </w:r>
      <w:r w:rsidRPr="008C760D">
        <w:rPr>
          <w:u w:val="single"/>
        </w:rPr>
        <w:t xml:space="preserve">some say the innovator has engaged in </w:t>
      </w:r>
      <w:r w:rsidRPr="008C760D">
        <w:rPr>
          <w:u w:val="single"/>
        </w:rPr>
        <w:lastRenderedPageBreak/>
        <w:t>evergreening.</w:t>
      </w:r>
      <w:r>
        <w:rPr>
          <w:u w:val="single"/>
        </w:rPr>
        <w:t xml:space="preserve"> </w:t>
      </w:r>
      <w:r w:rsidRPr="008C760D">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give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8C760D">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8C760D">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8C760D">
        <w:rPr>
          <w:sz w:val="8"/>
        </w:rPr>
        <w:t xml:space="preserve">. The patent usually </w:t>
      </w:r>
      <w:r w:rsidRPr="008C760D">
        <w:rPr>
          <w:u w:val="single"/>
        </w:rPr>
        <w:t>expires 20 years after its application date</w:t>
      </w:r>
      <w:r w:rsidRPr="008C760D">
        <w:rPr>
          <w:sz w:val="8"/>
        </w:rPr>
        <w:t xml:space="preserve">. For any particular drug product approved by the FDA, </w:t>
      </w:r>
      <w:r w:rsidRPr="008C760D">
        <w:rPr>
          <w:u w:val="single"/>
        </w:rPr>
        <w:t>the innovator might own patents on various types of inventions</w:t>
      </w:r>
      <w:r w:rsidRPr="008C760D">
        <w:rPr>
          <w:sz w:val="8"/>
        </w:rPr>
        <w:t>.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w:t>
      </w:r>
    </w:p>
    <w:p w14:paraId="01956F4C" w14:textId="77777777" w:rsidR="00F04D11" w:rsidRPr="008C760D" w:rsidRDefault="00F04D11" w:rsidP="00F04D11">
      <w:pPr>
        <w:rPr>
          <w:sz w:val="16"/>
        </w:rPr>
      </w:pPr>
      <w:r w:rsidRPr="008C760D">
        <w:rPr>
          <w:sz w:val="16"/>
        </w:rPr>
        <w:t xml:space="preserve">Myth of evergreening patents / </w:t>
      </w:r>
      <w:r w:rsidRPr="008C760D">
        <w:rPr>
          <w:u w:val="single"/>
        </w:rPr>
        <w:t xml:space="preserve">The first </w:t>
      </w:r>
      <w:r w:rsidRPr="00EA3700">
        <w:rPr>
          <w:rStyle w:val="Heading3Char"/>
          <w:sz w:val="22"/>
          <w:szCs w:val="22"/>
          <w:highlight w:val="green"/>
        </w:rPr>
        <w:t>myth</w:t>
      </w:r>
      <w:r w:rsidRPr="00EA3700">
        <w:rPr>
          <w:highlight w:val="green"/>
          <w:u w:val="single"/>
        </w:rPr>
        <w:t xml:space="preserve"> </w:t>
      </w:r>
      <w:r w:rsidRPr="008C760D">
        <w:rPr>
          <w:u w:val="single"/>
        </w:rPr>
        <w:t xml:space="preserve">is that </w:t>
      </w:r>
      <w:r w:rsidRPr="00EA3700">
        <w:rPr>
          <w:highlight w:val="green"/>
          <w:u w:val="single"/>
        </w:rPr>
        <w:t xml:space="preserve">innovators </w:t>
      </w:r>
      <w:r w:rsidRPr="00EA3700">
        <w:rPr>
          <w:rStyle w:val="Emphasis"/>
          <w:highlight w:val="green"/>
        </w:rPr>
        <w:t>extend</w:t>
      </w:r>
      <w:r w:rsidRPr="008C760D">
        <w:rPr>
          <w:rStyle w:val="Emphasis"/>
        </w:rPr>
        <w:t xml:space="preserve"> their </w:t>
      </w:r>
      <w:r w:rsidRPr="00EA3700">
        <w:rPr>
          <w:rStyle w:val="Emphasis"/>
          <w:highlight w:val="green"/>
        </w:rPr>
        <w:t>patents</w:t>
      </w:r>
      <w:r w:rsidRPr="00EA3700">
        <w:rPr>
          <w:highlight w:val="green"/>
          <w:u w:val="single"/>
        </w:rPr>
        <w:t xml:space="preserve">. This is </w:t>
      </w:r>
      <w:r w:rsidRPr="008C760D">
        <w:rPr>
          <w:rStyle w:val="Emphasis"/>
          <w:rFonts w:eastAsiaTheme="majorEastAsia" w:cstheme="majorBidi"/>
          <w:iCs w:val="0"/>
        </w:rPr>
        <w:t xml:space="preserve">legally </w:t>
      </w:r>
      <w:r w:rsidRPr="00EA3700">
        <w:rPr>
          <w:rStyle w:val="Emphasis"/>
          <w:rFonts w:eastAsiaTheme="majorEastAsia" w:cstheme="majorBidi"/>
          <w:iCs w:val="0"/>
          <w:highlight w:val="green"/>
        </w:rPr>
        <w:t>impossible</w:t>
      </w:r>
      <w:r w:rsidRPr="008C760D">
        <w:rPr>
          <w:sz w:val="16"/>
        </w:rPr>
        <w:t xml:space="preserve">. In the United States, </w:t>
      </w:r>
      <w:r w:rsidRPr="008C760D">
        <w:rPr>
          <w:u w:val="single"/>
        </w:rPr>
        <w:t>a patent expires 20 years</w:t>
      </w:r>
      <w:r w:rsidRPr="008C760D">
        <w:rPr>
          <w:sz w:val="16"/>
        </w:rPr>
        <w:t xml:space="preserve"> after its application date.</w:t>
      </w:r>
    </w:p>
    <w:p w14:paraId="5CDB71E0" w14:textId="77777777" w:rsidR="00F04D11" w:rsidRPr="008C760D" w:rsidRDefault="00F04D11" w:rsidP="00F04D11">
      <w:pPr>
        <w:rPr>
          <w:rStyle w:val="Emphasis"/>
        </w:rPr>
      </w:pPr>
      <w:r w:rsidRPr="008C760D">
        <w:rPr>
          <w:u w:val="single"/>
        </w:rPr>
        <w:t>There are only two ways a patent’s expiration date can shift</w:t>
      </w:r>
      <w:r w:rsidRPr="008C760D">
        <w:rPr>
          <w:sz w:val="16"/>
        </w:rPr>
        <w:t xml:space="preserve"> later in time: (1) When it issues a patent, the U.S. Patent and Trademark Office (PTO) adjusts the expiry date later to compensate for routine delays at the PTO. And (2), </w:t>
      </w:r>
      <w:r w:rsidRPr="00EA3700">
        <w:rPr>
          <w:highlight w:val="green"/>
          <w:u w:val="single"/>
        </w:rPr>
        <w:t>if</w:t>
      </w:r>
      <w:r w:rsidRPr="008C760D">
        <w:rPr>
          <w:u w:val="single"/>
        </w:rPr>
        <w:t xml:space="preserve"> the marketing </w:t>
      </w:r>
      <w:r w:rsidRPr="00EA3700">
        <w:rPr>
          <w:highlight w:val="green"/>
          <w:u w:val="single"/>
        </w:rPr>
        <w:t>application proposed</w:t>
      </w:r>
      <w:r w:rsidRPr="008C760D">
        <w:rPr>
          <w:u w:val="single"/>
        </w:rPr>
        <w:t xml:space="preserve"> a new</w:t>
      </w:r>
      <w:r w:rsidRPr="008C760D">
        <w:rPr>
          <w:sz w:val="16"/>
        </w:rPr>
        <w:t xml:space="preserve"> active </w:t>
      </w:r>
      <w:r w:rsidRPr="00EA3700">
        <w:rPr>
          <w:highlight w:val="green"/>
          <w:u w:val="single"/>
        </w:rPr>
        <w:t>ingredient, then</w:t>
      </w:r>
      <w:r w:rsidRPr="008C760D">
        <w:rPr>
          <w:u w:val="single"/>
        </w:rPr>
        <w:t xml:space="preserve"> if the company asks the PTO for a </w:t>
      </w:r>
      <w:r w:rsidRPr="00EA3700">
        <w:rPr>
          <w:rStyle w:val="Emphasis"/>
          <w:highlight w:val="green"/>
        </w:rPr>
        <w:t>patent</w:t>
      </w:r>
      <w:r w:rsidRPr="008C760D">
        <w:rPr>
          <w:rStyle w:val="Emphasis"/>
        </w:rPr>
        <w:t xml:space="preserve"> term </w:t>
      </w:r>
      <w:r w:rsidRPr="00EA3700">
        <w:rPr>
          <w:rStyle w:val="Emphasis"/>
          <w:highlight w:val="green"/>
        </w:rPr>
        <w:t>extension</w:t>
      </w:r>
      <w:r w:rsidRPr="008C760D">
        <w:rPr>
          <w:sz w:val="16"/>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8C760D">
        <w:rPr>
          <w:sz w:val="16"/>
        </w:rPr>
        <w:t xml:space="preserve"> by which a patent might be extended. In particular, </w:t>
      </w:r>
      <w:r w:rsidRPr="00E95294">
        <w:rPr>
          <w:u w:val="single"/>
        </w:rPr>
        <w:t>a patent on one invention</w:t>
      </w:r>
      <w:r w:rsidRPr="00E95294">
        <w:rPr>
          <w:sz w:val="16"/>
        </w:rPr>
        <w:t xml:space="preserve"> — no matter</w:t>
      </w:r>
      <w:r w:rsidRPr="008C760D">
        <w:rPr>
          <w:sz w:val="16"/>
        </w:rPr>
        <w:t xml:space="preserve"> when it expires — </w:t>
      </w:r>
      <w:r w:rsidRPr="00EA3700">
        <w:rPr>
          <w:highlight w:val="green"/>
          <w:u w:val="single"/>
        </w:rPr>
        <w:t xml:space="preserve">does </w:t>
      </w:r>
      <w:r w:rsidRPr="00EA3700">
        <w:rPr>
          <w:rStyle w:val="Emphasis"/>
          <w:highlight w:val="green"/>
        </w:rPr>
        <w:t>not extend</w:t>
      </w:r>
      <w:r w:rsidRPr="008C760D">
        <w:rPr>
          <w:rStyle w:val="Emphasis"/>
        </w:rPr>
        <w:t xml:space="preserve"> the patent </w:t>
      </w:r>
      <w:r w:rsidRPr="00EA3700">
        <w:rPr>
          <w:rStyle w:val="Emphasis"/>
          <w:highlight w:val="green"/>
        </w:rPr>
        <w:t>on another</w:t>
      </w:r>
      <w:r w:rsidRPr="008C760D">
        <w:rPr>
          <w:rStyle w:val="Emphasis"/>
        </w:rPr>
        <w:t xml:space="preserve"> invention.</w:t>
      </w:r>
    </w:p>
    <w:p w14:paraId="69AC9237" w14:textId="77777777" w:rsidR="00F04D11" w:rsidRPr="008C760D" w:rsidRDefault="00F04D11" w:rsidP="00F04D11">
      <w:pPr>
        <w:rPr>
          <w:sz w:val="16"/>
        </w:rPr>
      </w:pPr>
      <w:r w:rsidRPr="00EA3700">
        <w:rPr>
          <w:highlight w:val="green"/>
          <w:u w:val="single"/>
        </w:rPr>
        <w:t>Myth</w:t>
      </w:r>
      <w:r w:rsidRPr="008C760D">
        <w:rPr>
          <w:u w:val="single"/>
        </w:rPr>
        <w:t xml:space="preserve"> of </w:t>
      </w:r>
      <w:r w:rsidRPr="00EA3700">
        <w:rPr>
          <w:rStyle w:val="Emphasis"/>
          <w:highlight w:val="green"/>
        </w:rPr>
        <w:t>blocked competitors</w:t>
      </w:r>
      <w:r w:rsidRPr="008C760D">
        <w:rPr>
          <w:sz w:val="16"/>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once the initial patent and</w:t>
      </w:r>
      <w:r w:rsidRPr="008C760D">
        <w:rPr>
          <w:sz w:val="16"/>
        </w:rPr>
        <w:t xml:space="preserve"> (if applicable) statutory </w:t>
      </w:r>
      <w:r w:rsidRPr="008C760D">
        <w:rPr>
          <w:u w:val="single"/>
        </w:rPr>
        <w:t xml:space="preserve">exclusivity on the innovator’s active ingredient have expired, its </w:t>
      </w:r>
      <w:r w:rsidRPr="00EA3700">
        <w:rPr>
          <w:rStyle w:val="Emphasis"/>
          <w:highlight w:val="green"/>
        </w:rPr>
        <w:t>competitors have</w:t>
      </w:r>
      <w:r w:rsidRPr="008C760D">
        <w:rPr>
          <w:rStyle w:val="Emphasis"/>
        </w:rPr>
        <w:t xml:space="preserve"> substantial </w:t>
      </w:r>
      <w:r w:rsidRPr="00EA3700">
        <w:rPr>
          <w:rStyle w:val="Emphasis"/>
          <w:highlight w:val="green"/>
        </w:rPr>
        <w:t>freedom</w:t>
      </w:r>
      <w:r w:rsidRPr="008C760D">
        <w:rPr>
          <w:rStyle w:val="Emphasis"/>
        </w:rPr>
        <w:t xml:space="preserve"> to operate</w:t>
      </w:r>
      <w:r w:rsidRPr="008C760D">
        <w:rPr>
          <w:sz w:val="16"/>
        </w:rPr>
        <w:t>. This freedom reflects two facts that are often overlooked.</w:t>
      </w:r>
    </w:p>
    <w:p w14:paraId="1C72263E" w14:textId="77777777" w:rsidR="00F04D11" w:rsidRPr="008C760D" w:rsidRDefault="00F04D11" w:rsidP="00F04D11">
      <w:pPr>
        <w:rPr>
          <w:sz w:val="16"/>
        </w:rPr>
      </w:pPr>
      <w:r w:rsidRPr="008C760D">
        <w:rPr>
          <w:sz w:val="16"/>
        </w:rPr>
        <w:t xml:space="preserve">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EA3700">
        <w:rPr>
          <w:highlight w:val="green"/>
          <w:u w:val="single"/>
        </w:rPr>
        <w:t>rely on</w:t>
      </w:r>
      <w:r w:rsidRPr="008C760D">
        <w:rPr>
          <w:u w:val="single"/>
        </w:rPr>
        <w:t xml:space="preserve"> the </w:t>
      </w:r>
      <w:r w:rsidRPr="008C760D">
        <w:rPr>
          <w:rStyle w:val="Emphasis"/>
        </w:rPr>
        <w:t xml:space="preserve">innovator’s </w:t>
      </w:r>
      <w:r w:rsidRPr="00EA3700">
        <w:rPr>
          <w:rStyle w:val="Emphasis"/>
          <w:highlight w:val="green"/>
        </w:rPr>
        <w:t>research</w:t>
      </w:r>
      <w:r w:rsidRPr="008C760D">
        <w:rPr>
          <w:rStyle w:val="Emphasis"/>
        </w:rPr>
        <w:t xml:space="preserve"> but </w:t>
      </w:r>
      <w:r w:rsidRPr="00EA3700">
        <w:rPr>
          <w:rStyle w:val="Emphasis"/>
          <w:highlight w:val="green"/>
        </w:rPr>
        <w:t>propose competing products</w:t>
      </w:r>
      <w:r w:rsidRPr="008C760D">
        <w:rPr>
          <w:sz w:val="16"/>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w:t>
      </w:r>
    </w:p>
    <w:p w14:paraId="6231DF54" w14:textId="77777777" w:rsidR="00F04D11" w:rsidRPr="008C760D" w:rsidRDefault="00F04D11" w:rsidP="00F04D11">
      <w:pPr>
        <w:rPr>
          <w:sz w:val="16"/>
        </w:rPr>
      </w:pPr>
      <w:r w:rsidRPr="008C760D">
        <w:rPr>
          <w:u w:val="single"/>
        </w:rPr>
        <w:t xml:space="preserve">If a competitor wants to offer a </w:t>
      </w:r>
      <w:r w:rsidRPr="00EA3700">
        <w:rPr>
          <w:highlight w:val="green"/>
          <w:u w:val="single"/>
        </w:rPr>
        <w:t>different</w:t>
      </w:r>
      <w:r w:rsidRPr="008C760D">
        <w:rPr>
          <w:u w:val="single"/>
        </w:rPr>
        <w:t xml:space="preserve"> </w:t>
      </w:r>
      <w:r w:rsidRPr="008C760D">
        <w:rPr>
          <w:rStyle w:val="Emphasis"/>
        </w:rPr>
        <w:t xml:space="preserve">route of </w:t>
      </w:r>
      <w:r w:rsidRPr="00EA3700">
        <w:rPr>
          <w:rStyle w:val="Emphasis"/>
          <w:highlight w:val="green"/>
        </w:rPr>
        <w:t>administration</w:t>
      </w:r>
      <w:r w:rsidRPr="008C760D">
        <w:rPr>
          <w:rStyle w:val="Emphasis"/>
        </w:rPr>
        <w:t xml:space="preserve">, </w:t>
      </w:r>
      <w:r w:rsidRPr="00EA3700">
        <w:rPr>
          <w:rStyle w:val="Emphasis"/>
          <w:highlight w:val="green"/>
        </w:rPr>
        <w:t>dosage</w:t>
      </w:r>
      <w:r w:rsidRPr="008C760D">
        <w:rPr>
          <w:rStyle w:val="Emphasis"/>
        </w:rPr>
        <w:t xml:space="preserve"> form, </w:t>
      </w:r>
      <w:r w:rsidRPr="00EA3700">
        <w:rPr>
          <w:rStyle w:val="Emphasis"/>
          <w:highlight w:val="green"/>
        </w:rPr>
        <w:t>or strength</w:t>
      </w:r>
      <w:r w:rsidRPr="008C760D">
        <w:rPr>
          <w:sz w:val="16"/>
        </w:rPr>
        <w:t xml:space="preserve"> — for instance, to avoid infringing a patent — </w:t>
      </w:r>
      <w:r w:rsidRPr="008C760D">
        <w:rPr>
          <w:u w:val="single"/>
        </w:rPr>
        <w:t xml:space="preserve">it may still be able to </w:t>
      </w:r>
      <w:r w:rsidRPr="00EA3700">
        <w:rPr>
          <w:highlight w:val="green"/>
          <w:u w:val="single"/>
        </w:rPr>
        <w:t>use</w:t>
      </w:r>
      <w:r w:rsidRPr="008C760D">
        <w:rPr>
          <w:u w:val="single"/>
        </w:rPr>
        <w:t xml:space="preserve"> the </w:t>
      </w:r>
      <w:r w:rsidRPr="00EA3700">
        <w:rPr>
          <w:rStyle w:val="Emphasis"/>
          <w:highlight w:val="green"/>
        </w:rPr>
        <w:t>generic drug</w:t>
      </w:r>
      <w:r w:rsidRPr="008C760D">
        <w:rPr>
          <w:rStyle w:val="Emphasis"/>
        </w:rPr>
        <w:t xml:space="preserve"> approval pathway</w:t>
      </w:r>
      <w:r w:rsidRPr="008C760D">
        <w:rPr>
          <w:sz w:val="16"/>
        </w:rPr>
        <w:t xml:space="preserve">.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w:t>
      </w:r>
      <w:r w:rsidRPr="008C760D">
        <w:rPr>
          <w:sz w:val="16"/>
        </w:rPr>
        <w:lastRenderedPageBreak/>
        <w:t>a competitor might use the mechanism to propose innovations that will offer an advantage in the market — such as changes to the active ingredient and new medical uses.</w:t>
      </w:r>
    </w:p>
    <w:p w14:paraId="2E518C4F" w14:textId="77777777" w:rsidR="00F04D11" w:rsidRPr="008C760D" w:rsidRDefault="00F04D11" w:rsidP="00F04D11">
      <w:pPr>
        <w:rPr>
          <w:sz w:val="16"/>
        </w:rPr>
      </w:pPr>
      <w:r w:rsidRPr="008C760D">
        <w:rPr>
          <w:u w:val="single"/>
        </w:rPr>
        <w:t xml:space="preserve">Second, an abbreviated application cites a </w:t>
      </w:r>
      <w:r w:rsidRPr="008C760D">
        <w:rPr>
          <w:rStyle w:val="Emphasis"/>
        </w:rPr>
        <w:t>specific innovative product</w:t>
      </w:r>
      <w:r w:rsidRPr="008C760D">
        <w:rPr>
          <w:u w:val="single"/>
        </w:rPr>
        <w:t>, not the active ingredient</w:t>
      </w:r>
      <w:r w:rsidRPr="008C760D">
        <w:rPr>
          <w:sz w:val="16"/>
        </w:rPr>
        <w:t xml:space="preserve"> or brand writ large. </w:t>
      </w:r>
      <w:r w:rsidRPr="008C760D">
        <w:rPr>
          <w:u w:val="single"/>
        </w:rPr>
        <w:t>The competitor selects one innovative product as the reference product</w:t>
      </w:r>
      <w:r w:rsidRPr="008C760D">
        <w:rPr>
          <w:sz w:val="16"/>
        </w:rPr>
        <w:t xml:space="preserve"> on which it relies — for instance, one of the 12 products in the hypothetical above. </w:t>
      </w:r>
      <w:r w:rsidRPr="008C760D">
        <w:rPr>
          <w:u w:val="single"/>
        </w:rPr>
        <w:t xml:space="preserve">Its </w:t>
      </w:r>
      <w:r w:rsidRPr="00EA3700">
        <w:rPr>
          <w:highlight w:val="green"/>
          <w:u w:val="single"/>
        </w:rPr>
        <w:t>regulatory burden</w:t>
      </w:r>
      <w:r w:rsidRPr="008C760D">
        <w:rPr>
          <w:u w:val="single"/>
        </w:rPr>
        <w:t xml:space="preserve"> is </w:t>
      </w:r>
      <w:r w:rsidRPr="00EA3700">
        <w:rPr>
          <w:highlight w:val="green"/>
          <w:u w:val="single"/>
        </w:rPr>
        <w:t>tied to</w:t>
      </w:r>
      <w:r w:rsidRPr="008C760D">
        <w:rPr>
          <w:u w:val="single"/>
        </w:rPr>
        <w:t xml:space="preserve"> that </w:t>
      </w:r>
      <w:r w:rsidRPr="00EA3700">
        <w:rPr>
          <w:rStyle w:val="Emphasis"/>
          <w:highlight w:val="green"/>
        </w:rPr>
        <w:t>specific</w:t>
      </w:r>
      <w:r w:rsidRPr="00EA3700">
        <w:rPr>
          <w:highlight w:val="green"/>
          <w:u w:val="single"/>
        </w:rPr>
        <w:t xml:space="preserve"> </w:t>
      </w:r>
      <w:r w:rsidRPr="00EA3700">
        <w:rPr>
          <w:rStyle w:val="Emphasis"/>
          <w:highlight w:val="green"/>
        </w:rPr>
        <w:t>product</w:t>
      </w:r>
      <w:r w:rsidRPr="008C760D">
        <w:rPr>
          <w:rStyle w:val="Emphasis"/>
        </w:rPr>
        <w:t xml:space="preserve"> alone</w:t>
      </w:r>
      <w:r w:rsidRPr="008C760D">
        <w:rPr>
          <w:u w:val="single"/>
        </w:rPr>
        <w:t>. The requirement to show sameness and bioequivalence</w:t>
      </w:r>
      <w:r w:rsidRPr="008C760D">
        <w:rPr>
          <w:sz w:val="16"/>
        </w:rPr>
        <w:t xml:space="preserve"> (for an ANDA) and, critically, the obligation to contend with patents and wait for statutory exclusivity to expire </w:t>
      </w:r>
      <w:r w:rsidRPr="008C760D">
        <w:rPr>
          <w:u w:val="single"/>
        </w:rPr>
        <w:t>are linked to the one specific product, alone</w:t>
      </w:r>
      <w:r w:rsidRPr="008C760D">
        <w:rPr>
          <w:sz w:val="16"/>
        </w:rPr>
        <w:t>. (In rare circumstances, when filing a hybrid application, a competitor might cite two innovative products, but the same point applies.)</w:t>
      </w:r>
    </w:p>
    <w:p w14:paraId="098070AB" w14:textId="77777777" w:rsidR="00F04D11" w:rsidRPr="008C760D" w:rsidRDefault="00F04D11" w:rsidP="00F04D11">
      <w:pPr>
        <w:rPr>
          <w:sz w:val="16"/>
        </w:rPr>
      </w:pPr>
      <w:r w:rsidRPr="008C760D">
        <w:rPr>
          <w:sz w:val="16"/>
        </w:rPr>
        <w:t>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w:t>
      </w:r>
    </w:p>
    <w:p w14:paraId="1F6F0BEB" w14:textId="77777777" w:rsidR="00F04D11" w:rsidRPr="008C760D" w:rsidRDefault="00F04D11" w:rsidP="00F04D11">
      <w:pPr>
        <w:rPr>
          <w:sz w:val="16"/>
        </w:rPr>
      </w:pPr>
      <w:r w:rsidRPr="008C760D">
        <w:rPr>
          <w:u w:val="single"/>
        </w:rPr>
        <w:t>Although a competitor using the abbreviated application pathway must contend with the innovator’s patents</w:t>
      </w:r>
      <w:r w:rsidRPr="008C760D">
        <w:rPr>
          <w:sz w:val="16"/>
        </w:rPr>
        <w:t xml:space="preserve"> and approval of its product may be delayed because of those patents, </w:t>
      </w:r>
      <w:r w:rsidRPr="008C760D">
        <w:rPr>
          <w:u w:val="single"/>
        </w:rPr>
        <w:t xml:space="preserve">this is </w:t>
      </w:r>
      <w:r w:rsidRPr="00EA3700">
        <w:rPr>
          <w:highlight w:val="green"/>
          <w:u w:val="single"/>
        </w:rPr>
        <w:t xml:space="preserve">true of </w:t>
      </w:r>
      <w:r w:rsidRPr="00EA3700">
        <w:rPr>
          <w:rStyle w:val="Emphasis"/>
          <w:highlight w:val="green"/>
        </w:rPr>
        <w:t>only</w:t>
      </w:r>
      <w:r w:rsidRPr="008C760D">
        <w:rPr>
          <w:rStyle w:val="Emphasis"/>
        </w:rPr>
        <w:t xml:space="preserve"> the </w:t>
      </w:r>
      <w:r w:rsidRPr="00EA3700">
        <w:rPr>
          <w:rStyle w:val="Emphasis"/>
          <w:highlight w:val="green"/>
        </w:rPr>
        <w:t>patents</w:t>
      </w:r>
      <w:r w:rsidRPr="008C760D">
        <w:rPr>
          <w:rStyle w:val="Emphasis"/>
        </w:rPr>
        <w:t xml:space="preserve"> associated </w:t>
      </w:r>
      <w:r w:rsidRPr="00EA3700">
        <w:rPr>
          <w:rStyle w:val="Emphasis"/>
          <w:highlight w:val="green"/>
        </w:rPr>
        <w:t>with</w:t>
      </w:r>
      <w:r w:rsidRPr="008C760D">
        <w:rPr>
          <w:rStyle w:val="Emphasis"/>
        </w:rPr>
        <w:t xml:space="preserve"> the </w:t>
      </w:r>
      <w:r w:rsidRPr="00EA3700">
        <w:rPr>
          <w:rStyle w:val="Emphasis"/>
          <w:highlight w:val="green"/>
        </w:rPr>
        <w:t>specific product</w:t>
      </w:r>
      <w:r w:rsidRPr="008C760D">
        <w:rPr>
          <w:rStyle w:val="Emphasis"/>
        </w:rPr>
        <w:t xml:space="preserve"> that it references</w:t>
      </w:r>
      <w:r w:rsidRPr="008C760D">
        <w:rPr>
          <w:u w:val="single"/>
        </w:rPr>
        <w:t xml:space="preserve">. The competitor does </w:t>
      </w:r>
      <w:r w:rsidRPr="00EA3700">
        <w:rPr>
          <w:highlight w:val="green"/>
          <w:u w:val="single"/>
        </w:rPr>
        <w:t>not</w:t>
      </w:r>
      <w:r w:rsidRPr="008C760D">
        <w:rPr>
          <w:u w:val="single"/>
        </w:rPr>
        <w:t xml:space="preserve"> have to contend with </w:t>
      </w:r>
      <w:r w:rsidRPr="008C760D">
        <w:rPr>
          <w:rStyle w:val="Emphasis"/>
        </w:rPr>
        <w:t xml:space="preserve">patents associated with </w:t>
      </w:r>
      <w:r w:rsidRPr="00EA3700">
        <w:rPr>
          <w:rStyle w:val="Emphasis"/>
          <w:highlight w:val="green"/>
        </w:rPr>
        <w:t>other products that</w:t>
      </w:r>
      <w:r w:rsidRPr="008C760D">
        <w:rPr>
          <w:rStyle w:val="Emphasis"/>
        </w:rPr>
        <w:t xml:space="preserve"> happen to </w:t>
      </w:r>
      <w:r w:rsidRPr="00EA3700">
        <w:rPr>
          <w:rStyle w:val="Emphasis"/>
          <w:highlight w:val="green"/>
        </w:rPr>
        <w:t>contain</w:t>
      </w:r>
      <w:r w:rsidRPr="008C760D">
        <w:rPr>
          <w:rStyle w:val="Emphasis"/>
        </w:rPr>
        <w:t xml:space="preserve"> the </w:t>
      </w:r>
      <w:r w:rsidRPr="00EA3700">
        <w:rPr>
          <w:rStyle w:val="Emphasis"/>
          <w:highlight w:val="green"/>
        </w:rPr>
        <w:t>same</w:t>
      </w:r>
      <w:r w:rsidRPr="008C760D">
        <w:rPr>
          <w:rStyle w:val="Emphasis"/>
        </w:rPr>
        <w:t xml:space="preserve"> active </w:t>
      </w:r>
      <w:r w:rsidRPr="00EA3700">
        <w:rPr>
          <w:rStyle w:val="Emphasis"/>
          <w:highlight w:val="green"/>
        </w:rPr>
        <w:t>ingredient</w:t>
      </w:r>
      <w:r w:rsidRPr="008C760D">
        <w:rPr>
          <w:sz w:val="16"/>
        </w:rPr>
        <w:t xml:space="preserve"> or bear the same brand name. Similarly, </w:t>
      </w:r>
      <w:r w:rsidRPr="008C760D">
        <w:rPr>
          <w:u w:val="single"/>
        </w:rPr>
        <w:t>the competing applicant grapples with only the statutory exclusivity associated with the product it references</w:t>
      </w:r>
      <w:r w:rsidRPr="008C760D">
        <w:rPr>
          <w:sz w:val="16"/>
        </w:rPr>
        <w:t>.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w:t>
      </w:r>
    </w:p>
    <w:p w14:paraId="0228E7E7" w14:textId="77777777" w:rsidR="00F04D11" w:rsidRPr="008C760D" w:rsidRDefault="00F04D11" w:rsidP="00F04D11">
      <w:pPr>
        <w:rPr>
          <w:rStyle w:val="Emphasis"/>
        </w:rPr>
      </w:pPr>
      <w:r w:rsidRPr="008C760D">
        <w:rPr>
          <w:u w:val="single"/>
        </w:rPr>
        <w:t xml:space="preserve">This </w:t>
      </w:r>
      <w:r w:rsidRPr="00EA3700">
        <w:rPr>
          <w:rStyle w:val="Emphasis"/>
          <w:highlight w:val="green"/>
        </w:rPr>
        <w:t>debunks the myth</w:t>
      </w:r>
      <w:r w:rsidRPr="008C760D">
        <w:rPr>
          <w:rStyle w:val="Emphasis"/>
        </w:rPr>
        <w:t xml:space="preserve"> that an innovator with later‐​expiring patents and an innovator that introduces newer products</w:t>
      </w:r>
      <w:r w:rsidRPr="008C760D">
        <w:rPr>
          <w:u w:val="single"/>
        </w:rPr>
        <w:t xml:space="preserve"> can </w:t>
      </w:r>
      <w:r w:rsidRPr="008C760D">
        <w:rPr>
          <w:rStyle w:val="Emphasis"/>
        </w:rPr>
        <w:t>prevent</w:t>
      </w:r>
      <w:r w:rsidRPr="008C760D">
        <w:rPr>
          <w:u w:val="single"/>
        </w:rPr>
        <w:t xml:space="preserve"> its competitors from bringing copies to market</w:t>
      </w:r>
      <w:r w:rsidRPr="008C760D">
        <w:rPr>
          <w:sz w:val="16"/>
        </w:rPr>
        <w:t xml:space="preserve">. Instead, competitors have several options. For instance, </w:t>
      </w:r>
      <w:r w:rsidRPr="008C760D">
        <w:rPr>
          <w:u w:val="single"/>
        </w:rPr>
        <w:t>empirical studies show that competitors file abbreviated applications as early as the law permits them to do so, arguing that the innovator’s patents are invalid or, if applicable, not infringed by the new drug</w:t>
      </w:r>
      <w:r w:rsidRPr="008C760D">
        <w:rPr>
          <w:sz w:val="16"/>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8C760D">
        <w:rPr>
          <w:sz w:val="16"/>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also </w:t>
      </w:r>
      <w:r w:rsidRPr="00EA3700">
        <w:rPr>
          <w:rStyle w:val="Emphasis"/>
          <w:highlight w:val="green"/>
        </w:rPr>
        <w:t>other options</w:t>
      </w:r>
      <w:r w:rsidRPr="008C760D">
        <w:rPr>
          <w:rStyle w:val="Emphasis"/>
        </w:rPr>
        <w:t>.</w:t>
      </w:r>
    </w:p>
    <w:p w14:paraId="76553EDD" w14:textId="77777777" w:rsidR="00F04D11" w:rsidRPr="008C760D" w:rsidRDefault="00F04D11" w:rsidP="00F04D11">
      <w:pPr>
        <w:rPr>
          <w:sz w:val="16"/>
        </w:rPr>
      </w:pPr>
      <w:r w:rsidRPr="008C760D">
        <w:rPr>
          <w:u w:val="single"/>
        </w:rPr>
        <w:t>Once the patent on the active ingredient expires, a competitor can use the ingredient in its own product and file an abbreviated application</w:t>
      </w:r>
      <w:r w:rsidRPr="008C760D">
        <w:rPr>
          <w:sz w:val="16"/>
        </w:rPr>
        <w:t xml:space="preserve">, relying on the research performed and submitted by the innovator. Even in an ANDA, a true generic application, only the active ingredient must be the same. </w:t>
      </w:r>
      <w:r w:rsidRPr="008C760D">
        <w:rPr>
          <w:u w:val="single"/>
        </w:rPr>
        <w:t xml:space="preserve">A </w:t>
      </w:r>
      <w:r w:rsidRPr="00EA3700">
        <w:rPr>
          <w:rStyle w:val="Emphasis"/>
          <w:highlight w:val="green"/>
        </w:rPr>
        <w:t>competitor</w:t>
      </w:r>
      <w:r w:rsidRPr="008C760D">
        <w:rPr>
          <w:rStyle w:val="Emphasis"/>
        </w:rPr>
        <w:t xml:space="preserve"> may be able to </w:t>
      </w:r>
      <w:r w:rsidRPr="00EA3700">
        <w:rPr>
          <w:rStyle w:val="Emphasis"/>
          <w:highlight w:val="green"/>
        </w:rPr>
        <w:t>design around</w:t>
      </w:r>
      <w:r w:rsidRPr="008C760D">
        <w:rPr>
          <w:rStyle w:val="Emphasis"/>
        </w:rPr>
        <w:t xml:space="preserve"> patents claiming other aspects of the </w:t>
      </w:r>
      <w:r w:rsidRPr="00EA3700">
        <w:rPr>
          <w:rStyle w:val="Emphasis"/>
          <w:highlight w:val="green"/>
        </w:rPr>
        <w:t>innovator’s product</w:t>
      </w:r>
      <w:r w:rsidRPr="008C760D">
        <w:rPr>
          <w:sz w:val="16"/>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research and it would similarly assert non‐​infringement in its application. In either case, the innovator might not sue if the competitor clearly avoided its patents.</w:t>
      </w:r>
    </w:p>
    <w:p w14:paraId="3F599C19" w14:textId="77777777" w:rsidR="00F04D11" w:rsidRPr="008C760D" w:rsidRDefault="00F04D11" w:rsidP="00F04D11">
      <w:pPr>
        <w:rPr>
          <w:sz w:val="16"/>
        </w:rPr>
      </w:pPr>
      <w:r w:rsidRPr="008C760D">
        <w:rPr>
          <w:sz w:val="16"/>
        </w:rPr>
        <w:lastRenderedPageBreak/>
        <w:t>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w:t>
      </w:r>
    </w:p>
    <w:p w14:paraId="6BC64691" w14:textId="77777777" w:rsidR="00F04D11" w:rsidRPr="008C760D" w:rsidRDefault="00F04D11" w:rsidP="00F04D11">
      <w:pPr>
        <w:rPr>
          <w:sz w:val="16"/>
        </w:rPr>
      </w:pPr>
      <w:r w:rsidRPr="008C760D">
        <w:rPr>
          <w:sz w:val="16"/>
        </w:rPr>
        <w:t xml:space="preserve">Myth that automatic substitution is critical / </w:t>
      </w:r>
      <w:r w:rsidRPr="008C760D">
        <w:rPr>
          <w:u w:val="single"/>
        </w:rPr>
        <w:t xml:space="preserve">The final myth of evergreening is that </w:t>
      </w:r>
      <w:r w:rsidRPr="008C760D">
        <w:rPr>
          <w:rStyle w:val="Emphasis"/>
        </w:rPr>
        <w:t>continuing innovation</w:t>
      </w:r>
      <w:r w:rsidRPr="008C760D">
        <w:rPr>
          <w:sz w:val="16"/>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w:t>
      </w:r>
    </w:p>
    <w:p w14:paraId="308E2090" w14:textId="77777777" w:rsidR="00F04D11" w:rsidRPr="008C760D" w:rsidRDefault="00F04D11" w:rsidP="00F04D11">
      <w:pPr>
        <w:rPr>
          <w:u w:val="single"/>
        </w:rPr>
      </w:pPr>
      <w:r w:rsidRPr="008C760D">
        <w:rPr>
          <w:rStyle w:val="Emphasis"/>
        </w:rPr>
        <w:t>Automatic pharmacy substitution</w:t>
      </w:r>
      <w:r w:rsidRPr="008C760D">
        <w:rPr>
          <w:sz w:val="16"/>
        </w:rPr>
        <w:t xml:space="preserve"> arises through a combination of longstanding FDA practices and state pharmacy law. Once the agency has approved two products with the same active ingredient, it </w:t>
      </w:r>
      <w:r w:rsidRPr="008C760D">
        <w:rPr>
          <w:u w:val="single"/>
        </w:rPr>
        <w:t xml:space="preserve">assesses whether they are “therapeutically equivalent.” </w:t>
      </w:r>
      <w:r w:rsidRPr="00EA3700">
        <w:rPr>
          <w:highlight w:val="green"/>
          <w:u w:val="single"/>
        </w:rPr>
        <w:t>Designating two as</w:t>
      </w:r>
      <w:r w:rsidRPr="008C760D">
        <w:rPr>
          <w:u w:val="single"/>
        </w:rPr>
        <w:t xml:space="preserve"> therapeutically </w:t>
      </w:r>
      <w:r w:rsidRPr="00EA3700">
        <w:rPr>
          <w:rStyle w:val="Emphasis"/>
          <w:highlight w:val="green"/>
        </w:rPr>
        <w:t xml:space="preserve">equivalent means </w:t>
      </w:r>
      <w:r w:rsidRPr="008C760D">
        <w:rPr>
          <w:rStyle w:val="Emphasis"/>
        </w:rPr>
        <w:t>that they have the same clinical profile</w:t>
      </w:r>
      <w:r w:rsidRPr="008C760D">
        <w:rPr>
          <w:sz w:val="16"/>
        </w:rPr>
        <w:t xml:space="preserve"> and that they can be “substituted”: either can be dispensed instead of the other. </w:t>
      </w:r>
      <w:r w:rsidRPr="008C760D">
        <w:rPr>
          <w:u w:val="single"/>
        </w:rPr>
        <w:t xml:space="preserve">A true generic drug, </w:t>
      </w:r>
      <w:r w:rsidRPr="00EA3700">
        <w:rPr>
          <w:highlight w:val="green"/>
          <w:u w:val="single"/>
        </w:rPr>
        <w:t xml:space="preserve">an </w:t>
      </w:r>
      <w:r w:rsidRPr="00EA3700">
        <w:rPr>
          <w:rStyle w:val="Emphasis"/>
          <w:highlight w:val="green"/>
        </w:rPr>
        <w:t>exact copy</w:t>
      </w:r>
      <w:r w:rsidRPr="008C760D">
        <w:rPr>
          <w:sz w:val="16"/>
        </w:rPr>
        <w:t xml:space="preserve"> of the innovator’s product approved based on an ANDA, </w:t>
      </w:r>
      <w:r w:rsidRPr="008C760D">
        <w:rPr>
          <w:u w:val="single"/>
        </w:rPr>
        <w:t>will be deemed therapeutically equivalent</w:t>
      </w:r>
      <w:r w:rsidRPr="008C760D">
        <w:rPr>
          <w:sz w:val="16"/>
        </w:rPr>
        <w:t xml:space="preserve">. Every state either permits or requires pharmacists to dispense a therapeutically equivalent generic drug when a doctor prescribes an innovator’s drug by its brand name, unless the doctor has said not to. </w:t>
      </w:r>
      <w:r w:rsidRPr="008C760D">
        <w:rPr>
          <w:u w:val="single"/>
        </w:rPr>
        <w:t xml:space="preserve">The </w:t>
      </w:r>
      <w:r w:rsidRPr="00EA3700">
        <w:rPr>
          <w:highlight w:val="green"/>
          <w:u w:val="single"/>
        </w:rPr>
        <w:t>notion</w:t>
      </w:r>
      <w:r w:rsidRPr="008C760D">
        <w:rPr>
          <w:u w:val="single"/>
        </w:rPr>
        <w:t xml:space="preserve"> advanced </w:t>
      </w:r>
      <w:r w:rsidRPr="00EA3700">
        <w:rPr>
          <w:highlight w:val="green"/>
          <w:u w:val="single"/>
        </w:rPr>
        <w:t xml:space="preserve">by </w:t>
      </w:r>
      <w:r w:rsidRPr="00EA3700">
        <w:rPr>
          <w:rStyle w:val="Emphasis"/>
          <w:highlight w:val="green"/>
        </w:rPr>
        <w:t>critics of</w:t>
      </w:r>
      <w:r w:rsidRPr="008C760D">
        <w:rPr>
          <w:rStyle w:val="Emphasis"/>
        </w:rPr>
        <w:t xml:space="preserve"> alleged </w:t>
      </w:r>
      <w:r w:rsidRPr="00EA3700">
        <w:rPr>
          <w:rStyle w:val="Emphasis"/>
          <w:highlight w:val="green"/>
        </w:rPr>
        <w:t>“evergreening” is</w:t>
      </w:r>
      <w:r w:rsidRPr="008C760D">
        <w:rPr>
          <w:rStyle w:val="Emphasis"/>
        </w:rPr>
        <w:t xml:space="preserve"> that once an innovator introduces a </w:t>
      </w:r>
      <w:r w:rsidRPr="00EA3700">
        <w:rPr>
          <w:rStyle w:val="Emphasis"/>
          <w:highlight w:val="green"/>
        </w:rPr>
        <w:t>newer version</w:t>
      </w:r>
      <w:r w:rsidRPr="008C760D">
        <w:rPr>
          <w:u w:val="single"/>
        </w:rPr>
        <w:t xml:space="preserve"> of its branded product, doctors will prescribe the newer version</w:t>
      </w:r>
      <w:r w:rsidRPr="008C760D">
        <w:rPr>
          <w:sz w:val="16"/>
        </w:rPr>
        <w:t xml:space="preserve">. And because the generic company instead copied the older version, </w:t>
      </w:r>
      <w:r w:rsidRPr="008C760D">
        <w:rPr>
          <w:u w:val="single"/>
        </w:rPr>
        <w:t>pharmacists will not — cannot under state law — substitute the generic product when the patient presents a prescription for the newer innovator product.</w:t>
      </w:r>
    </w:p>
    <w:p w14:paraId="5783FFC4" w14:textId="77777777" w:rsidR="00F04D11" w:rsidRPr="008C760D" w:rsidRDefault="00F04D11" w:rsidP="00F04D11">
      <w:pPr>
        <w:rPr>
          <w:sz w:val="16"/>
        </w:rPr>
      </w:pPr>
      <w:r w:rsidRPr="008C760D">
        <w:rPr>
          <w:u w:val="single"/>
        </w:rPr>
        <w:t xml:space="preserve">The problem with this argument is that actual dispensing </w:t>
      </w:r>
      <w:r w:rsidRPr="00EA3700">
        <w:rPr>
          <w:highlight w:val="green"/>
          <w:u w:val="single"/>
        </w:rPr>
        <w:t>decisions</w:t>
      </w:r>
      <w:r w:rsidRPr="008C760D">
        <w:rPr>
          <w:u w:val="single"/>
        </w:rPr>
        <w:t xml:space="preserve"> probably </w:t>
      </w:r>
      <w:r w:rsidRPr="00EA3700">
        <w:rPr>
          <w:highlight w:val="green"/>
          <w:u w:val="single"/>
        </w:rPr>
        <w:t>reflect</w:t>
      </w:r>
      <w:r w:rsidRPr="008C760D">
        <w:rPr>
          <w:u w:val="single"/>
        </w:rPr>
        <w:t xml:space="preserve"> a more </w:t>
      </w:r>
      <w:r w:rsidRPr="00EA3700">
        <w:rPr>
          <w:rStyle w:val="Emphasis"/>
          <w:highlight w:val="green"/>
        </w:rPr>
        <w:t>complex interaction</w:t>
      </w:r>
      <w:r w:rsidRPr="008C760D">
        <w:rPr>
          <w:rStyle w:val="Emphasis"/>
        </w:rPr>
        <w:t xml:space="preserve"> of prescriber decisions</w:t>
      </w:r>
      <w:r w:rsidRPr="008C760D">
        <w:rPr>
          <w:u w:val="single"/>
        </w:rPr>
        <w:t xml:space="preserve">, </w:t>
      </w:r>
      <w:r w:rsidRPr="008C760D">
        <w:rPr>
          <w:rStyle w:val="Emphasis"/>
        </w:rPr>
        <w:t>payer preferences</w:t>
      </w:r>
      <w:r w:rsidRPr="008C760D">
        <w:rPr>
          <w:u w:val="single"/>
        </w:rPr>
        <w:t xml:space="preserve">, and </w:t>
      </w:r>
      <w:r w:rsidRPr="008C760D">
        <w:rPr>
          <w:rStyle w:val="Emphasis"/>
        </w:rPr>
        <w:t>state law</w:t>
      </w:r>
      <w:r w:rsidRPr="008C760D">
        <w:rPr>
          <w:sz w:val="16"/>
        </w:rPr>
        <w:t>.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drugmakers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w:t>
      </w:r>
    </w:p>
    <w:p w14:paraId="7DF7D8AB" w14:textId="77777777" w:rsidR="00F04D11" w:rsidRPr="008C760D" w:rsidRDefault="00F04D11" w:rsidP="00F04D11">
      <w:pPr>
        <w:rPr>
          <w:sz w:val="16"/>
        </w:rPr>
      </w:pPr>
      <w:r w:rsidRPr="008C760D">
        <w:rPr>
          <w:sz w:val="16"/>
        </w:rPr>
        <w:t xml:space="preserve">In short, </w:t>
      </w:r>
      <w:r w:rsidRPr="008C760D">
        <w:rPr>
          <w:u w:val="single"/>
        </w:rPr>
        <w:t xml:space="preserve">an innovator’s newer </w:t>
      </w:r>
      <w:r w:rsidRPr="00EA3700">
        <w:rPr>
          <w:highlight w:val="green"/>
          <w:u w:val="single"/>
        </w:rPr>
        <w:t xml:space="preserve">product creates a </w:t>
      </w:r>
      <w:r w:rsidRPr="00EA3700">
        <w:rPr>
          <w:rStyle w:val="Emphasis"/>
          <w:highlight w:val="green"/>
        </w:rPr>
        <w:t>new choice</w:t>
      </w:r>
      <w:r w:rsidRPr="008C760D">
        <w:rPr>
          <w:rStyle w:val="Emphasis"/>
        </w:rPr>
        <w:t xml:space="preserve"> for doctors and payers</w:t>
      </w:r>
      <w:r w:rsidRPr="008C760D">
        <w:rPr>
          <w:sz w:val="16"/>
        </w:rPr>
        <w:t xml:space="preserve">. To be sure, if doctors select this product, </w:t>
      </w:r>
      <w:r w:rsidRPr="008C760D">
        <w:rPr>
          <w:u w:val="single"/>
        </w:rPr>
        <w:t>pharmacists will dispense it rather than generic copies of the innovator’s older product. Doctors might shift their prescribing to the newer product</w:t>
      </w:r>
      <w:r w:rsidRPr="008C760D">
        <w:rPr>
          <w:sz w:val="16"/>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8C760D">
        <w:rPr>
          <w:u w:val="single"/>
        </w:rPr>
        <w:t xml:space="preserve">But </w:t>
      </w:r>
      <w:r w:rsidRPr="00EA3700">
        <w:rPr>
          <w:highlight w:val="green"/>
          <w:u w:val="single"/>
        </w:rPr>
        <w:t>companies may</w:t>
      </w:r>
      <w:r w:rsidRPr="008C760D">
        <w:rPr>
          <w:u w:val="single"/>
        </w:rPr>
        <w:t xml:space="preserve"> </w:t>
      </w:r>
      <w:r w:rsidRPr="008C760D">
        <w:rPr>
          <w:rStyle w:val="Emphasis"/>
        </w:rPr>
        <w:t xml:space="preserve">advertise and </w:t>
      </w:r>
      <w:r w:rsidRPr="00EA3700">
        <w:rPr>
          <w:rStyle w:val="Emphasis"/>
          <w:highlight w:val="green"/>
        </w:rPr>
        <w:t>promote generic products</w:t>
      </w:r>
      <w:r w:rsidRPr="008C760D">
        <w:rPr>
          <w:rStyle w:val="Emphasis"/>
        </w:rPr>
        <w:t xml:space="preserve"> to doctors and patients as well</w:t>
      </w:r>
      <w:r w:rsidRPr="008C760D">
        <w:rPr>
          <w:sz w:val="16"/>
        </w:rPr>
        <w:t>, and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w:t>
      </w:r>
    </w:p>
    <w:p w14:paraId="2840097D" w14:textId="77777777" w:rsidR="00F04D11" w:rsidRPr="008C760D" w:rsidRDefault="00F04D11" w:rsidP="00F04D11">
      <w:pPr>
        <w:rPr>
          <w:sz w:val="16"/>
        </w:rPr>
      </w:pPr>
      <w:r w:rsidRPr="008C760D">
        <w:rPr>
          <w:u w:val="single"/>
        </w:rPr>
        <w:t xml:space="preserve">Generic companies will be able to </w:t>
      </w:r>
      <w:r w:rsidRPr="00EA3700">
        <w:rPr>
          <w:highlight w:val="green"/>
          <w:u w:val="single"/>
        </w:rPr>
        <w:t>introduce copies of</w:t>
      </w:r>
      <w:r w:rsidRPr="008C760D">
        <w:rPr>
          <w:u w:val="single"/>
        </w:rPr>
        <w:t xml:space="preserve"> the </w:t>
      </w:r>
      <w:r w:rsidRPr="00EA3700">
        <w:rPr>
          <w:rStyle w:val="Emphasis"/>
          <w:highlight w:val="green"/>
        </w:rPr>
        <w:t>innovator’s</w:t>
      </w:r>
      <w:r w:rsidRPr="008C760D">
        <w:rPr>
          <w:rStyle w:val="Emphasis"/>
        </w:rPr>
        <w:t xml:space="preserve"> first </w:t>
      </w:r>
      <w:r w:rsidRPr="00EA3700">
        <w:rPr>
          <w:rStyle w:val="Emphasis"/>
          <w:highlight w:val="green"/>
        </w:rPr>
        <w:t>product</w:t>
      </w:r>
      <w:r w:rsidRPr="008C760D">
        <w:rPr>
          <w:sz w:val="16"/>
        </w:rPr>
        <w:t xml:space="preserve"> and they may or may not enjoy sales depending on the choices they make and the choices made by others in the market.</w:t>
      </w:r>
    </w:p>
    <w:p w14:paraId="3BB8D382" w14:textId="77777777" w:rsidR="00F04D11" w:rsidRPr="008C760D" w:rsidRDefault="00F04D11" w:rsidP="00F04D11">
      <w:pPr>
        <w:rPr>
          <w:sz w:val="16"/>
        </w:rPr>
      </w:pPr>
      <w:r w:rsidRPr="008C760D">
        <w:rPr>
          <w:sz w:val="16"/>
        </w:rPr>
        <w:t xml:space="preserve">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w:t>
      </w:r>
      <w:r w:rsidRPr="008C760D">
        <w:rPr>
          <w:sz w:val="16"/>
        </w:rPr>
        <w:lastRenderedPageBreak/>
        <w:t>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w:t>
      </w:r>
    </w:p>
    <w:p w14:paraId="3C96E690" w14:textId="77777777" w:rsidR="00F04D11" w:rsidRDefault="00F04D11" w:rsidP="00F04D11">
      <w:pPr>
        <w:rPr>
          <w:sz w:val="16"/>
        </w:rPr>
      </w:pPr>
      <w:r w:rsidRPr="008C760D">
        <w:rPr>
          <w:sz w:val="16"/>
        </w:rPr>
        <w:t>In short, when an innovator introduces a new product into the market, generic companies will be able to introduce copies of the innovator’s first product and they may or may not enjoy sales depending on the choices they make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0417EEF8" w14:textId="77777777" w:rsidR="00F04D11" w:rsidRDefault="00F04D11" w:rsidP="00F04D11">
      <w:pPr>
        <w:rPr>
          <w:sz w:val="16"/>
        </w:rPr>
      </w:pPr>
    </w:p>
    <w:p w14:paraId="25374C9A" w14:textId="77777777" w:rsidR="00F04D11" w:rsidRDefault="00F04D11" w:rsidP="00F04D11">
      <w:pPr>
        <w:pStyle w:val="Heading4"/>
      </w:pPr>
      <w:r>
        <w:t xml:space="preserve">Prefer </w:t>
      </w:r>
      <w:r w:rsidRPr="0092683C">
        <w:rPr>
          <w:u w:val="single"/>
        </w:rPr>
        <w:t>legal studies</w:t>
      </w:r>
      <w:r>
        <w:t>.</w:t>
      </w:r>
    </w:p>
    <w:p w14:paraId="558285BD" w14:textId="77777777" w:rsidR="00F04D11" w:rsidRPr="00013845" w:rsidRDefault="00F04D11" w:rsidP="00F04D11">
      <w:r w:rsidRPr="00013845">
        <w:rPr>
          <w:rStyle w:val="Style13ptBold"/>
        </w:rPr>
        <w:t>Parker and Mooney 7</w:t>
      </w:r>
      <w:r>
        <w:t xml:space="preserve"> [Scott and Kevin; “</w:t>
      </w:r>
      <w:r w:rsidRPr="00013845">
        <w:t>Is ‘evergreening’ a cause for concern? A legal perspective</w:t>
      </w:r>
      <w:r>
        <w:t xml:space="preserve">,” Journal of Commercial Biotechnology; 2007; </w:t>
      </w:r>
      <w:hyperlink r:id="rId15" w:history="1">
        <w:r w:rsidRPr="0042271F">
          <w:rPr>
            <w:rStyle w:val="Hyperlink"/>
          </w:rPr>
          <w:t>https://link.springer.com/article/10.1057/palgrave.jcb.3050066</w:t>
        </w:r>
      </w:hyperlink>
      <w:r>
        <w:t>] Justin</w:t>
      </w:r>
    </w:p>
    <w:p w14:paraId="0B517CAE" w14:textId="77777777" w:rsidR="00F04D11" w:rsidRPr="00B7205E" w:rsidRDefault="00F04D11" w:rsidP="00F04D11">
      <w:pPr>
        <w:rPr>
          <w:rStyle w:val="Emphasis"/>
        </w:rPr>
      </w:pPr>
      <w:r w:rsidRPr="005F7328">
        <w:rPr>
          <w:u w:val="single"/>
        </w:rPr>
        <w:t>THE LEGAL BACKGROUND</w:t>
      </w:r>
      <w:r>
        <w:rPr>
          <w:sz w:val="16"/>
          <w:u w:val="single"/>
        </w:rPr>
        <w:t xml:space="preserve"> </w:t>
      </w:r>
      <w:r w:rsidRPr="00B7205E">
        <w:rPr>
          <w:sz w:val="8"/>
        </w:rPr>
        <w:t xml:space="preserve">The </w:t>
      </w:r>
      <w:r w:rsidRPr="00EA3700">
        <w:rPr>
          <w:highlight w:val="green"/>
          <w:u w:val="single"/>
        </w:rPr>
        <w:t>patent</w:t>
      </w:r>
      <w:r w:rsidRPr="005F7328">
        <w:rPr>
          <w:u w:val="single"/>
        </w:rPr>
        <w:t xml:space="preserve"> system </w:t>
      </w:r>
      <w:r w:rsidRPr="00EA3700">
        <w:rPr>
          <w:rStyle w:val="Emphasis"/>
          <w:highlight w:val="green"/>
        </w:rPr>
        <w:t>provides</w:t>
      </w:r>
      <w:r w:rsidRPr="00B7205E">
        <w:rPr>
          <w:rStyle w:val="Emphasis"/>
        </w:rPr>
        <w:t xml:space="preserve"> an </w:t>
      </w:r>
      <w:r w:rsidRPr="00EA3700">
        <w:rPr>
          <w:rStyle w:val="Emphasis"/>
          <w:highlight w:val="green"/>
        </w:rPr>
        <w:t>incentive</w:t>
      </w:r>
      <w:r w:rsidRPr="00B7205E">
        <w:rPr>
          <w:rStyle w:val="Emphasis"/>
        </w:rPr>
        <w:t xml:space="preserve"> for companies </w:t>
      </w:r>
      <w:r w:rsidRPr="00EA3700">
        <w:rPr>
          <w:rStyle w:val="Emphasis"/>
          <w:highlight w:val="green"/>
        </w:rPr>
        <w:t>to</w:t>
      </w:r>
      <w:r w:rsidRPr="00B7205E">
        <w:rPr>
          <w:rStyle w:val="Emphasis"/>
        </w:rPr>
        <w:t xml:space="preserve"> incur the cost and risk of </w:t>
      </w:r>
      <w:r w:rsidRPr="00EA3700">
        <w:rPr>
          <w:rStyle w:val="Emphasis"/>
          <w:highlight w:val="green"/>
        </w:rPr>
        <w:t>research</w:t>
      </w:r>
      <w:r w:rsidRPr="00B7205E">
        <w:rPr>
          <w:rStyle w:val="Emphasis"/>
        </w:rPr>
        <w:t xml:space="preserve"> by providing the time-limited exclusive right to commercialise a patented product</w:t>
      </w:r>
      <w:r w:rsidRPr="00B7205E">
        <w:rPr>
          <w:sz w:val="8"/>
        </w:rPr>
        <w:t xml:space="preserve">.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(ie it involves an inventive step) and capable of industrial application (‘utility’ or ‘usefulness’ in the US). </w:t>
      </w:r>
      <w:r w:rsidRPr="005F7328">
        <w:rPr>
          <w:u w:val="single"/>
        </w:rPr>
        <w:t xml:space="preserve">The </w:t>
      </w:r>
      <w:r w:rsidRPr="00B7205E">
        <w:rPr>
          <w:rStyle w:val="Emphasis"/>
        </w:rPr>
        <w:t>novelty and inventiveness</w:t>
      </w:r>
      <w:r w:rsidRPr="005F7328">
        <w:rPr>
          <w:u w:val="single"/>
        </w:rPr>
        <w:t xml:space="preserve"> of the patent is evaluated against the ‘state of the art’, which consists in general of every item of information which has ever been made available</w:t>
      </w:r>
      <w:r w:rsidRPr="00B7205E">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5F7328">
        <w:rPr>
          <w:u w:val="single"/>
        </w:rPr>
        <w:t>before assuming that any new development relating to a known compound can be patented, we have to ask:</w:t>
      </w:r>
      <w:r>
        <w:rPr>
          <w:u w:val="single"/>
        </w:rPr>
        <w:t xml:space="preserve"> </w:t>
      </w:r>
      <w:r w:rsidRPr="00B7205E">
        <w:rPr>
          <w:rStyle w:val="Emphasis"/>
        </w:rPr>
        <w:t>1 Is this new?</w:t>
      </w:r>
      <w:r w:rsidRPr="00B7205E">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B7205E">
        <w:rPr>
          <w:rStyle w:val="Emphasis"/>
        </w:rPr>
        <w:t>2 Is there an inventive step?</w:t>
      </w:r>
      <w:r w:rsidRPr="00B7205E">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B7205E">
        <w:rPr>
          <w:rStyle w:val="Emphasis"/>
        </w:rPr>
        <w:t>3 Is there a proposed industrial application</w:t>
      </w:r>
      <w:r w:rsidRPr="005F7328">
        <w:rPr>
          <w:u w:val="single"/>
        </w:rPr>
        <w:t xml:space="preserve"> for the invention (in the broad sense of having some useful purpose)? </w:t>
      </w:r>
      <w:r w:rsidRPr="00B7205E">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B7205E">
        <w:rPr>
          <w:rStyle w:val="Emphasis"/>
        </w:rPr>
        <w:t>4 Does the patent describe how to put the invention into effect</w:t>
      </w:r>
      <w:r w:rsidRPr="005F7328">
        <w:rPr>
          <w:u w:val="single"/>
        </w:rPr>
        <w:t>? The patent must be ‘enabling’</w:t>
      </w:r>
      <w:r w:rsidRPr="00B7205E">
        <w:rPr>
          <w:sz w:val="8"/>
        </w:rPr>
        <w:t xml:space="preserve">; it must add to public knowledge, and contribute in its own right to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5F7328">
        <w:rPr>
          <w:u w:val="single"/>
        </w:rPr>
        <w:t>THE PATENT SYSTEM DEALS WITH ‘EVERGREENING’</w:t>
      </w:r>
      <w:r>
        <w:rPr>
          <w:u w:val="single"/>
        </w:rPr>
        <w:t xml:space="preserve"> </w:t>
      </w:r>
      <w:r w:rsidRPr="005F7328">
        <w:rPr>
          <w:u w:val="single"/>
        </w:rPr>
        <w:t xml:space="preserve">The </w:t>
      </w:r>
      <w:r w:rsidRPr="00EA3700">
        <w:rPr>
          <w:rStyle w:val="Emphasis"/>
          <w:highlight w:val="green"/>
        </w:rPr>
        <w:t>criteria of patentability</w:t>
      </w:r>
      <w:r w:rsidRPr="00B7205E">
        <w:rPr>
          <w:rStyle w:val="Emphasis"/>
        </w:rPr>
        <w:t xml:space="preserve"> set out above apply equally to all inventions from the most basic mechanical patent </w:t>
      </w:r>
      <w:r w:rsidRPr="00EA3700">
        <w:rPr>
          <w:rStyle w:val="Emphasis"/>
          <w:highlight w:val="green"/>
        </w:rPr>
        <w:t>to</w:t>
      </w:r>
      <w:r w:rsidRPr="00B7205E">
        <w:rPr>
          <w:rStyle w:val="Emphasis"/>
        </w:rPr>
        <w:t xml:space="preserve"> the most </w:t>
      </w:r>
      <w:r w:rsidRPr="00EA3700">
        <w:rPr>
          <w:rStyle w:val="Emphasis"/>
          <w:highlight w:val="green"/>
        </w:rPr>
        <w:t>complex</w:t>
      </w:r>
      <w:r w:rsidRPr="00B7205E">
        <w:rPr>
          <w:rStyle w:val="Emphasis"/>
        </w:rPr>
        <w:t xml:space="preserve"> microelectronic</w:t>
      </w:r>
      <w:r w:rsidRPr="005F7328">
        <w:rPr>
          <w:u w:val="single"/>
        </w:rPr>
        <w:t xml:space="preserve"> or </w:t>
      </w:r>
      <w:r w:rsidRPr="00B7205E">
        <w:rPr>
          <w:rStyle w:val="Emphasis"/>
        </w:rPr>
        <w:t xml:space="preserve">biotechnological </w:t>
      </w:r>
      <w:r w:rsidRPr="00EA3700">
        <w:rPr>
          <w:rStyle w:val="Emphasis"/>
          <w:highlight w:val="green"/>
        </w:rPr>
        <w:t>invention</w:t>
      </w:r>
      <w:r w:rsidRPr="005F7328">
        <w:rPr>
          <w:u w:val="single"/>
        </w:rPr>
        <w:t>. Similarly patent law does not distinguish between the invention of a wholly new product and inventions relating to improvements upon an existing product. The same criteria for patentability apply.</w:t>
      </w:r>
      <w:r>
        <w:rPr>
          <w:u w:val="single"/>
        </w:rPr>
        <w:t xml:space="preserve"> </w:t>
      </w:r>
      <w:r w:rsidRPr="005F7328">
        <w:rPr>
          <w:u w:val="single"/>
        </w:rPr>
        <w:t>‘</w:t>
      </w:r>
      <w:r w:rsidRPr="00EA3700">
        <w:rPr>
          <w:rStyle w:val="Emphasis"/>
          <w:highlight w:val="green"/>
        </w:rPr>
        <w:t>Double patenting</w:t>
      </w:r>
      <w:r w:rsidRPr="00B7205E">
        <w:rPr>
          <w:rStyle w:val="Emphasis"/>
        </w:rPr>
        <w:t xml:space="preserve">’ </w:t>
      </w:r>
      <w:r w:rsidRPr="00EA3700">
        <w:rPr>
          <w:rStyle w:val="Emphasis"/>
          <w:highlight w:val="green"/>
        </w:rPr>
        <w:t>is prohibited</w:t>
      </w:r>
      <w:r w:rsidRPr="00B7205E">
        <w:rPr>
          <w:rStyle w:val="Emphasis"/>
        </w:rPr>
        <w:t xml:space="preserve">. That is to say the </w:t>
      </w:r>
      <w:r w:rsidRPr="00EA3700">
        <w:rPr>
          <w:rStyle w:val="Emphasis"/>
          <w:highlight w:val="green"/>
        </w:rPr>
        <w:t>same invention cannot be covered by more than one</w:t>
      </w:r>
      <w:r w:rsidRPr="00B7205E">
        <w:rPr>
          <w:rStyle w:val="Emphasis"/>
        </w:rPr>
        <w:t xml:space="preserve"> patent</w:t>
      </w:r>
      <w:r w:rsidRPr="00B7205E">
        <w:rPr>
          <w:sz w:val="8"/>
        </w:rPr>
        <w:t xml:space="preserve">. Thus </w:t>
      </w:r>
      <w:r w:rsidRPr="005F7328">
        <w:rPr>
          <w:u w:val="single"/>
        </w:rPr>
        <w:t>for an improvement upon an existing pharmaceutical product to be patentable</w:t>
      </w:r>
      <w:r w:rsidRPr="00B7205E">
        <w:rPr>
          <w:sz w:val="8"/>
        </w:rPr>
        <w:t xml:space="preserve"> in its own right </w:t>
      </w:r>
      <w:r w:rsidRPr="005F7328">
        <w:rPr>
          <w:u w:val="single"/>
        </w:rPr>
        <w:t xml:space="preserve">it will need to </w:t>
      </w:r>
      <w:r w:rsidRPr="00EA3700">
        <w:rPr>
          <w:rStyle w:val="Emphasis"/>
          <w:highlight w:val="green"/>
        </w:rPr>
        <w:t>satisfy</w:t>
      </w:r>
      <w:r w:rsidRPr="00B7205E">
        <w:rPr>
          <w:rStyle w:val="Emphasis"/>
        </w:rPr>
        <w:t xml:space="preserve"> the criteria of </w:t>
      </w:r>
      <w:r w:rsidRPr="00EA3700">
        <w:rPr>
          <w:rStyle w:val="Emphasis"/>
          <w:highlight w:val="green"/>
        </w:rPr>
        <w:t>novelty and non-obviousness</w:t>
      </w:r>
      <w:r w:rsidRPr="005F7328">
        <w:rPr>
          <w:u w:val="single"/>
        </w:rPr>
        <w:t xml:space="preserve"> taking into account the earlier product and all that is known about it in the </w:t>
      </w:r>
      <w:r w:rsidRPr="00B7205E">
        <w:rPr>
          <w:rStyle w:val="Emphasis"/>
        </w:rPr>
        <w:t>public domain at the time that the second patent is applied for</w:t>
      </w:r>
      <w:r w:rsidRPr="005F7328">
        <w:rPr>
          <w:u w:val="single"/>
        </w:rPr>
        <w:t>. If a patent is granted in respect of this improvement it will only cover the improvement to which it relates and will not extend to the originator product</w:t>
      </w:r>
      <w:r w:rsidRPr="00B7205E">
        <w:rPr>
          <w:sz w:val="8"/>
        </w:rPr>
        <w:t xml:space="preserve">. That is to say </w:t>
      </w:r>
      <w:r w:rsidRPr="005F7328">
        <w:rPr>
          <w:u w:val="single"/>
        </w:rPr>
        <w:t>a patent for a new product in a class will always be broader than any subsequent patent covering an improvement</w:t>
      </w:r>
      <w:r w:rsidRPr="00B7205E">
        <w:rPr>
          <w:sz w:val="8"/>
        </w:rPr>
        <w:t xml:space="preserve">, </w:t>
      </w:r>
      <w:r w:rsidRPr="005F7328">
        <w:rPr>
          <w:u w:val="single"/>
        </w:rPr>
        <w:t>modification or derivative of that product</w:t>
      </w:r>
      <w:r w:rsidRPr="00B7205E">
        <w:rPr>
          <w:sz w:val="8"/>
        </w:rPr>
        <w:t xml:space="preserve"> and so the exclusivity granted is in broad terms commensurate with the scope of the scientific advance that it reflects. An important corollary to the prohibition on ‘double patenting’ is that a </w:t>
      </w:r>
      <w:r w:rsidRPr="00EA3700">
        <w:rPr>
          <w:highlight w:val="green"/>
          <w:u w:val="single"/>
        </w:rPr>
        <w:t xml:space="preserve">patent </w:t>
      </w:r>
      <w:r w:rsidRPr="00EA3700">
        <w:rPr>
          <w:rStyle w:val="Emphasis"/>
          <w:highlight w:val="green"/>
        </w:rPr>
        <w:t>covering</w:t>
      </w:r>
      <w:r w:rsidRPr="00B7205E">
        <w:rPr>
          <w:rStyle w:val="Emphasis"/>
        </w:rPr>
        <w:t xml:space="preserve"> an </w:t>
      </w:r>
      <w:r w:rsidRPr="00EA3700">
        <w:rPr>
          <w:rStyle w:val="Emphasis"/>
          <w:highlight w:val="green"/>
        </w:rPr>
        <w:t>improved version</w:t>
      </w:r>
      <w:r w:rsidRPr="00B7205E">
        <w:rPr>
          <w:rStyle w:val="Emphasis"/>
        </w:rPr>
        <w:t xml:space="preserve"> of a pharmaceutical (or any other) product </w:t>
      </w:r>
      <w:r w:rsidRPr="00EA3700">
        <w:rPr>
          <w:rStyle w:val="Emphasis"/>
          <w:highlight w:val="green"/>
        </w:rPr>
        <w:t>does not preclude</w:t>
      </w:r>
      <w:r w:rsidRPr="00B7205E">
        <w:rPr>
          <w:rStyle w:val="Emphasis"/>
        </w:rPr>
        <w:t xml:space="preserve"> a generic company from </w:t>
      </w:r>
      <w:r w:rsidRPr="00EA3700">
        <w:rPr>
          <w:rStyle w:val="Emphasis"/>
          <w:highlight w:val="green"/>
        </w:rPr>
        <w:lastRenderedPageBreak/>
        <w:t>copying</w:t>
      </w:r>
      <w:r w:rsidRPr="00B7205E">
        <w:rPr>
          <w:rStyle w:val="Emphasis"/>
        </w:rPr>
        <w:t xml:space="preserve"> all forms of the </w:t>
      </w:r>
      <w:r w:rsidRPr="00EA3700">
        <w:rPr>
          <w:rStyle w:val="Emphasis"/>
          <w:highlight w:val="green"/>
        </w:rPr>
        <w:t>originator product</w:t>
      </w:r>
      <w:r w:rsidRPr="00931796">
        <w:rPr>
          <w:u w:val="single"/>
        </w:rPr>
        <w:t xml:space="preserve"> once the patents protecting these forms have </w:t>
      </w:r>
      <w:r w:rsidRPr="00B7205E">
        <w:rPr>
          <w:rStyle w:val="Emphasis"/>
        </w:rPr>
        <w:t>expired</w:t>
      </w:r>
      <w:r w:rsidRPr="00931796">
        <w:rPr>
          <w:u w:val="single"/>
        </w:rPr>
        <w:t xml:space="preserve">. For example, if a </w:t>
      </w:r>
      <w:r w:rsidRPr="00B7205E">
        <w:rPr>
          <w:rStyle w:val="Emphasis"/>
        </w:rPr>
        <w:t>company selling a patented pharmaceutical reformulates</w:t>
      </w:r>
      <w:r w:rsidRPr="00931796">
        <w:rPr>
          <w:u w:val="single"/>
        </w:rPr>
        <w:t xml:space="preserve"> that product as a syrup for paediatric administration and then patents the new formulation</w:t>
      </w:r>
      <w:r w:rsidRPr="00B7205E">
        <w:rPr>
          <w:sz w:val="8"/>
        </w:rPr>
        <w:t xml:space="preserve">, </w:t>
      </w:r>
      <w:r w:rsidRPr="00931796">
        <w:rPr>
          <w:u w:val="single"/>
        </w:rPr>
        <w:t>generic competition to the original adult formulation will be possible</w:t>
      </w:r>
      <w:r w:rsidRPr="00B7205E">
        <w:rPr>
          <w:sz w:val="8"/>
        </w:rPr>
        <w:t xml:space="preserve"> once the patents covering it expire or are invalidated. </w:t>
      </w:r>
      <w:r w:rsidRPr="00931796">
        <w:rPr>
          <w:u w:val="single"/>
        </w:rPr>
        <w:t>The existence of the patent on the paediatric formulation will not delay or prevent generic competition</w:t>
      </w:r>
      <w:r w:rsidRPr="00B7205E">
        <w:rPr>
          <w:sz w:val="8"/>
        </w:rPr>
        <w:t xml:space="preserve"> on the original formulation. </w:t>
      </w:r>
      <w:r w:rsidRPr="00931796">
        <w:rPr>
          <w:u w:val="single"/>
        </w:rPr>
        <w:t xml:space="preserve">The innovator company will, </w:t>
      </w:r>
      <w:r w:rsidRPr="00B7205E">
        <w:rPr>
          <w:rStyle w:val="Emphasis"/>
        </w:rPr>
        <w:t>however, continue to have the exclusive right to sell the paediatric formulation</w:t>
      </w:r>
      <w:r w:rsidRPr="00B7205E">
        <w:rPr>
          <w:sz w:val="8"/>
        </w:rPr>
        <w:t xml:space="preserve"> for the remainder of the life of the patent covering this specific improvement. </w:t>
      </w:r>
      <w:r w:rsidRPr="00931796">
        <w:rPr>
          <w:u w:val="single"/>
        </w:rPr>
        <w:t xml:space="preserve">If in the above example the improvement made is not a paediatric formulation but a slow release formulation that allows once daily dosing and so improves patient compliance as a result of increased convenience, doctors and patients will have a </w:t>
      </w:r>
      <w:r w:rsidRPr="00B7205E">
        <w:rPr>
          <w:rStyle w:val="Emphasis"/>
        </w:rPr>
        <w:t>choice between generic versions of the original formulation or the new once-daily product</w:t>
      </w:r>
      <w:r w:rsidRPr="00B7205E">
        <w:rPr>
          <w:sz w:val="8"/>
        </w:rPr>
        <w:t xml:space="preserve"> once any patent on the original formulation expires. The patents on the slow release formulation will not delay or prevent marketing of the original formulation. </w:t>
      </w:r>
      <w:r w:rsidRPr="00931796">
        <w:rPr>
          <w:u w:val="single"/>
        </w:rPr>
        <w:t xml:space="preserve">The </w:t>
      </w:r>
      <w:r w:rsidRPr="00EA3700">
        <w:rPr>
          <w:highlight w:val="green"/>
          <w:u w:val="single"/>
        </w:rPr>
        <w:t>market</w:t>
      </w:r>
      <w:r w:rsidRPr="00931796">
        <w:rPr>
          <w:u w:val="single"/>
        </w:rPr>
        <w:t xml:space="preserve"> will then </w:t>
      </w:r>
      <w:r w:rsidRPr="00EA3700">
        <w:rPr>
          <w:rStyle w:val="Emphasis"/>
          <w:highlight w:val="green"/>
        </w:rPr>
        <w:t>decide whether</w:t>
      </w:r>
      <w:r w:rsidRPr="00B7205E">
        <w:rPr>
          <w:rStyle w:val="Emphasis"/>
        </w:rPr>
        <w:t xml:space="preserve"> the </w:t>
      </w:r>
      <w:r w:rsidRPr="00EA3700">
        <w:rPr>
          <w:rStyle w:val="Emphasis"/>
          <w:highlight w:val="green"/>
        </w:rPr>
        <w:t>benefits</w:t>
      </w:r>
      <w:r w:rsidRPr="00B7205E">
        <w:rPr>
          <w:rStyle w:val="Emphasis"/>
        </w:rPr>
        <w:t xml:space="preserve"> offered</w:t>
      </w:r>
      <w:r w:rsidRPr="00931796">
        <w:rPr>
          <w:u w:val="single"/>
        </w:rPr>
        <w:t xml:space="preserve"> by the improved formulation make it </w:t>
      </w:r>
      <w:r w:rsidRPr="00EA3700">
        <w:rPr>
          <w:rStyle w:val="Emphasis"/>
          <w:highlight w:val="green"/>
        </w:rPr>
        <w:t>worth paying for</w:t>
      </w:r>
      <w:r w:rsidRPr="00B7205E">
        <w:rPr>
          <w:rStyle w:val="Emphasis"/>
        </w:rPr>
        <w:t xml:space="preserve"> in the face of cheaper versions of the original product</w:t>
      </w:r>
      <w:r w:rsidRPr="00B7205E">
        <w:rPr>
          <w:sz w:val="8"/>
        </w:rPr>
        <w:t xml:space="preserve">. The answer to this question will inevitably vary from market to market and between different patient populations. Either way the patient would appear to benefit from the increased choice available. </w:t>
      </w:r>
      <w:r w:rsidRPr="00931796">
        <w:rPr>
          <w:u w:val="single"/>
        </w:rPr>
        <w:t xml:space="preserve">A simple and further </w:t>
      </w:r>
      <w:r w:rsidRPr="00EA3700">
        <w:rPr>
          <w:rStyle w:val="Emphasis"/>
          <w:highlight w:val="green"/>
        </w:rPr>
        <w:t>example</w:t>
      </w:r>
      <w:r w:rsidRPr="00B7205E">
        <w:rPr>
          <w:rStyle w:val="Emphasis"/>
        </w:rPr>
        <w:t xml:space="preserve"> of this </w:t>
      </w:r>
      <w:r w:rsidRPr="00EA3700">
        <w:rPr>
          <w:rStyle w:val="Emphasis"/>
          <w:highlight w:val="green"/>
        </w:rPr>
        <w:t>is ibuprofen</w:t>
      </w:r>
      <w:r w:rsidRPr="00931796">
        <w:rPr>
          <w:u w:val="single"/>
        </w:rPr>
        <w:t xml:space="preserve">. The supermarket shelf carries premium-priced </w:t>
      </w:r>
      <w:r w:rsidRPr="00B7205E">
        <w:rPr>
          <w:rStyle w:val="Emphasis"/>
        </w:rPr>
        <w:t>ibuprofen formulations which typically are quicker acting or easier to take than the</w:t>
      </w:r>
      <w:r w:rsidRPr="00931796">
        <w:rPr>
          <w:u w:val="single"/>
        </w:rPr>
        <w:t xml:space="preserve"> traditional tablet</w:t>
      </w:r>
      <w:r w:rsidRPr="00B7205E">
        <w:rPr>
          <w:sz w:val="8"/>
        </w:rPr>
        <w:t xml:space="preserve">. These formulations may be patent protected. </w:t>
      </w:r>
      <w:r w:rsidRPr="00931796">
        <w:rPr>
          <w:u w:val="single"/>
        </w:rPr>
        <w:t>Customers can, however, decide for themselves whether the added benefit is worth the extra cost. The patents do not prevent anybody from buying the ordinary, cheapest kind of tablet.</w:t>
      </w:r>
      <w:r>
        <w:rPr>
          <w:u w:val="single"/>
        </w:rPr>
        <w:t xml:space="preserve"> </w:t>
      </w:r>
      <w:r w:rsidRPr="00EA3700">
        <w:rPr>
          <w:rStyle w:val="Emphasis"/>
          <w:highlight w:val="green"/>
        </w:rPr>
        <w:t>Reference to</w:t>
      </w:r>
      <w:r w:rsidRPr="00B7205E">
        <w:rPr>
          <w:rStyle w:val="Emphasis"/>
        </w:rPr>
        <w:t xml:space="preserve"> patents covering the </w:t>
      </w:r>
      <w:r w:rsidRPr="00EA3700">
        <w:rPr>
          <w:rStyle w:val="Emphasis"/>
          <w:highlight w:val="green"/>
        </w:rPr>
        <w:t>colour and scoring</w:t>
      </w:r>
      <w:r w:rsidRPr="00B7205E">
        <w:rPr>
          <w:rStyle w:val="Emphasis"/>
        </w:rPr>
        <w:t xml:space="preserve"> of tablets has been made in several articles criticising the pharmaceutical industry</w:t>
      </w:r>
      <w:r w:rsidRPr="00B7205E">
        <w:rPr>
          <w:sz w:val="8"/>
        </w:rPr>
        <w:t xml:space="preserve"> (without the specific patents that are complained of being identified).4 It is </w:t>
      </w:r>
      <w:r w:rsidRPr="00931796">
        <w:rPr>
          <w:u w:val="single"/>
        </w:rPr>
        <w:t>informative to consider how the patent system would apply to such ‘developments’</w:t>
      </w:r>
      <w:r w:rsidRPr="00B7205E">
        <w:rPr>
          <w:sz w:val="8"/>
        </w:rPr>
        <w:t xml:space="preserve">. To the best of the authors’ knowledge </w:t>
      </w:r>
      <w:r w:rsidRPr="00EA3700">
        <w:rPr>
          <w:rStyle w:val="Emphasis"/>
          <w:highlight w:val="green"/>
        </w:rPr>
        <w:t>no patents</w:t>
      </w:r>
      <w:r w:rsidRPr="00B7205E">
        <w:rPr>
          <w:rStyle w:val="Emphasis"/>
        </w:rPr>
        <w:t xml:space="preserve"> have </w:t>
      </w:r>
      <w:r w:rsidRPr="00EA3700">
        <w:rPr>
          <w:rStyle w:val="Emphasis"/>
          <w:highlight w:val="green"/>
        </w:rPr>
        <w:t>ever been granted</w:t>
      </w:r>
      <w:r w:rsidRPr="00B7205E">
        <w:rPr>
          <w:rStyle w:val="Emphasis"/>
        </w:rPr>
        <w:t xml:space="preserve"> for the colour of pharmaceutical products.</w:t>
      </w:r>
      <w:r w:rsidRPr="00B7205E">
        <w:rPr>
          <w:sz w:val="8"/>
        </w:rPr>
        <w:t xml:space="preserve"> In fact, since UK patent law (and most others) expressly excludes the patenting of ‘aesthetic creations’ the colour of a pharmaceutical product could only ever be patentable if either: (a) it could be established that the colour itself produces a technical effect, such as a therapeutic benefit caused by increased compliance, that is novel and not obvious; or (b) that the means of obtaining that colour, the manufacturing process of colouring the tablet, is itself novel and not obvious. It goes without saying that for a ‘pink pill’ patent application the technical effect, novelty and inventiveness would be scrutinised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(eg it could be that compliance among children would be improved if the tablet is more cleanly cut as a result of the means of scoring employed). There are plenty of examples of developments (reformulations, new salts, combinations and the like) that have real therapeutic benefit but which at first blush may seem trivial. Again, </w:t>
      </w:r>
      <w:r w:rsidRPr="00931796">
        <w:rPr>
          <w:u w:val="single"/>
        </w:rPr>
        <w:t xml:space="preserve">the </w:t>
      </w:r>
      <w:r w:rsidRPr="00EA3700">
        <w:rPr>
          <w:highlight w:val="green"/>
          <w:u w:val="single"/>
        </w:rPr>
        <w:t xml:space="preserve">more minor </w:t>
      </w:r>
      <w:r w:rsidRPr="00B7205E">
        <w:rPr>
          <w:u w:val="single"/>
        </w:rPr>
        <w:t>that</w:t>
      </w:r>
      <w:r w:rsidRPr="00931796">
        <w:rPr>
          <w:u w:val="single"/>
        </w:rPr>
        <w:t xml:space="preserve"> a </w:t>
      </w:r>
      <w:r w:rsidRPr="00EA3700">
        <w:rPr>
          <w:highlight w:val="green"/>
          <w:u w:val="single"/>
        </w:rPr>
        <w:t>variation</w:t>
      </w:r>
      <w:r w:rsidRPr="00931796">
        <w:rPr>
          <w:u w:val="single"/>
        </w:rPr>
        <w:t xml:space="preserve"> is (eg a </w:t>
      </w:r>
      <w:r w:rsidRPr="00B7205E">
        <w:rPr>
          <w:rStyle w:val="Emphasis"/>
        </w:rPr>
        <w:t>pink tablet or means of scoring the tablet</w:t>
      </w:r>
      <w:r w:rsidRPr="00931796">
        <w:rPr>
          <w:u w:val="single"/>
        </w:rPr>
        <w:t xml:space="preserve">) </w:t>
      </w:r>
      <w:r w:rsidRPr="00B7205E">
        <w:rPr>
          <w:u w:val="single"/>
        </w:rPr>
        <w:t>the</w:t>
      </w:r>
      <w:r w:rsidRPr="00931796">
        <w:rPr>
          <w:u w:val="single"/>
        </w:rPr>
        <w:t xml:space="preserve"> </w:t>
      </w:r>
      <w:r w:rsidRPr="00EA3700">
        <w:rPr>
          <w:highlight w:val="green"/>
          <w:u w:val="single"/>
        </w:rPr>
        <w:t xml:space="preserve">more </w:t>
      </w:r>
      <w:r w:rsidRPr="00EA3700">
        <w:rPr>
          <w:rStyle w:val="Emphasis"/>
          <w:highlight w:val="green"/>
        </w:rPr>
        <w:t>narrow the</w:t>
      </w:r>
      <w:r w:rsidRPr="00B7205E">
        <w:rPr>
          <w:rStyle w:val="Emphasis"/>
        </w:rPr>
        <w:t xml:space="preserve"> relevant </w:t>
      </w:r>
      <w:r w:rsidRPr="00EA3700">
        <w:rPr>
          <w:rStyle w:val="Emphasis"/>
          <w:highlight w:val="green"/>
        </w:rPr>
        <w:t>patent</w:t>
      </w:r>
      <w:r w:rsidRPr="00B7205E">
        <w:rPr>
          <w:rStyle w:val="Emphasis"/>
        </w:rPr>
        <w:t xml:space="preserve"> protection will be and the easier it should be for a competitor to design around the patent without needing to seek to invalidate</w:t>
      </w:r>
      <w:r w:rsidRPr="00931796">
        <w:rPr>
          <w:u w:val="single"/>
        </w:rPr>
        <w:t xml:space="preserve"> it.</w:t>
      </w:r>
      <w:r w:rsidRPr="00B7205E">
        <w:rPr>
          <w:sz w:val="8"/>
        </w:rPr>
        <w:t xml:space="preserve"> For example, </w:t>
      </w:r>
      <w:r w:rsidRPr="00931796">
        <w:rPr>
          <w:u w:val="single"/>
        </w:rPr>
        <w:t xml:space="preserve">if a patent is (or has been) granted that </w:t>
      </w:r>
      <w:r w:rsidRPr="00B7205E">
        <w:rPr>
          <w:rStyle w:val="Emphasis"/>
        </w:rPr>
        <w:t>covers a particular colour of tablet or a particular means</w:t>
      </w:r>
      <w:r w:rsidRPr="00931796">
        <w:rPr>
          <w:u w:val="single"/>
        </w:rPr>
        <w:t xml:space="preserve"> of scoring such tablet then such a patent would not stop a competitor from </w:t>
      </w:r>
      <w:r w:rsidRPr="00B7205E">
        <w:rPr>
          <w:rStyle w:val="Emphasis"/>
        </w:rPr>
        <w:t>marketing (respectively) a different colour tablet or a tablet that is not scored</w:t>
      </w:r>
      <w:r w:rsidRPr="00931796">
        <w:rPr>
          <w:u w:val="single"/>
        </w:rPr>
        <w:t xml:space="preserve"> or that is scored in a different way.</w:t>
      </w:r>
      <w:r>
        <w:rPr>
          <w:u w:val="single"/>
        </w:rPr>
        <w:t xml:space="preserve"> </w:t>
      </w:r>
      <w:r w:rsidRPr="00B7205E">
        <w:rPr>
          <w:sz w:val="8"/>
        </w:rPr>
        <w:t xml:space="preserve">In summary, therefore, </w:t>
      </w:r>
      <w:r w:rsidRPr="00931796">
        <w:rPr>
          <w:u w:val="single"/>
        </w:rPr>
        <w:t xml:space="preserve">the </w:t>
      </w:r>
      <w:r w:rsidRPr="00EA3700">
        <w:rPr>
          <w:highlight w:val="green"/>
          <w:u w:val="single"/>
        </w:rPr>
        <w:t>patent system is</w:t>
      </w:r>
      <w:r w:rsidRPr="00931796">
        <w:rPr>
          <w:u w:val="single"/>
        </w:rPr>
        <w:t xml:space="preserve"> inherently </w:t>
      </w:r>
      <w:r w:rsidRPr="00EA3700">
        <w:rPr>
          <w:highlight w:val="green"/>
          <w:u w:val="single"/>
        </w:rPr>
        <w:t>adapted</w:t>
      </w:r>
      <w:r w:rsidRPr="00931796">
        <w:rPr>
          <w:u w:val="single"/>
        </w:rPr>
        <w:t xml:space="preserve"> to reflect </w:t>
      </w:r>
      <w:r w:rsidRPr="00B7205E">
        <w:rPr>
          <w:rStyle w:val="Emphasis"/>
        </w:rPr>
        <w:t>how much innovation in fact takes place</w:t>
      </w:r>
      <w:r w:rsidRPr="00B7205E">
        <w:rPr>
          <w:sz w:val="8"/>
        </w:rPr>
        <w:t xml:space="preserve"> (by way of improvements to existing technology) </w:t>
      </w:r>
      <w:r w:rsidRPr="00931796">
        <w:rPr>
          <w:u w:val="single"/>
        </w:rPr>
        <w:t>and to prevent ‘evergreening’. It allows the use of ‘old’ technology while protecting (and thus providing incentives for) improvements to that technology.</w:t>
      </w:r>
      <w:r>
        <w:rPr>
          <w:u w:val="single"/>
        </w:rPr>
        <w:t xml:space="preserve"> </w:t>
      </w:r>
      <w:r w:rsidRPr="00931796">
        <w:rPr>
          <w:u w:val="single"/>
        </w:rPr>
        <w:t>Another factor to be taken into account in any debate on the patenting of ‘minor variations’ is that it is not only the company that owns the patents covering the originator product that can patent improvements thereto</w:t>
      </w:r>
      <w:r w:rsidRPr="00B7205E">
        <w:rPr>
          <w:sz w:val="8"/>
        </w:rPr>
        <w:t xml:space="preserve">. Other companies (including generics) can (and do) do this, with the consequence that there may be a number of companies having similar products (some of which may for a variety of reasons be better suited to particular patients) and healthy competition in the marketplace. ‘STRATEGIC PATENTING’ </w:t>
      </w:r>
      <w:r w:rsidRPr="00931796">
        <w:rPr>
          <w:u w:val="single"/>
        </w:rPr>
        <w:t xml:space="preserve">A related charge that is sometimes made against innovator companies is that </w:t>
      </w:r>
      <w:r w:rsidRPr="00B7205E">
        <w:rPr>
          <w:rStyle w:val="Emphasis"/>
        </w:rPr>
        <w:t>they file numerous patents on multiple attributes of a single product so as to create a ‘</w:t>
      </w:r>
      <w:r w:rsidRPr="00EA3700">
        <w:rPr>
          <w:rStyle w:val="Emphasis"/>
          <w:highlight w:val="green"/>
        </w:rPr>
        <w:t>patent thicket</w:t>
      </w:r>
      <w:r w:rsidRPr="00B7205E">
        <w:rPr>
          <w:rStyle w:val="Emphasis"/>
        </w:rPr>
        <w:t>’</w:t>
      </w:r>
      <w:r w:rsidRPr="00B7205E">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Mr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EB6CF4">
        <w:rPr>
          <w:u w:val="single"/>
        </w:rPr>
        <w:t xml:space="preserve">If one accepts that the nature of pharmaceutical and </w:t>
      </w:r>
      <w:r w:rsidRPr="00B7205E">
        <w:rPr>
          <w:rStyle w:val="Emphasis"/>
        </w:rPr>
        <w:t xml:space="preserve">biotechnological </w:t>
      </w:r>
      <w:r w:rsidRPr="00EA3700">
        <w:rPr>
          <w:rStyle w:val="Emphasis"/>
          <w:highlight w:val="green"/>
        </w:rPr>
        <w:t>innovation</w:t>
      </w:r>
      <w:r w:rsidRPr="00B7205E">
        <w:rPr>
          <w:rStyle w:val="Emphasis"/>
        </w:rPr>
        <w:t xml:space="preserve"> (as with other R&amp;D based industries) </w:t>
      </w:r>
      <w:r w:rsidRPr="00EA3700">
        <w:rPr>
          <w:rStyle w:val="Emphasis"/>
          <w:highlight w:val="green"/>
        </w:rPr>
        <w:t>is</w:t>
      </w:r>
      <w:r w:rsidRPr="00B7205E">
        <w:rPr>
          <w:rStyle w:val="Emphasis"/>
        </w:rPr>
        <w:t xml:space="preserve"> most often </w:t>
      </w:r>
      <w:r w:rsidRPr="00EA3700">
        <w:rPr>
          <w:rStyle w:val="Emphasis"/>
          <w:highlight w:val="green"/>
        </w:rPr>
        <w:t>incremental</w:t>
      </w:r>
      <w:r w:rsidRPr="00B7205E">
        <w:rPr>
          <w:rStyle w:val="Emphasis"/>
        </w:rPr>
        <w:t xml:space="preserve"> and cumulative then it follows that the patent system </w:t>
      </w:r>
      <w:r w:rsidRPr="00B7205E">
        <w:rPr>
          <w:rStyle w:val="Emphasis"/>
        </w:rPr>
        <w:lastRenderedPageBreak/>
        <w:t>should reflect this reality</w:t>
      </w:r>
      <w:r w:rsidRPr="00B7205E">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ground breaking research than for inventions directed at solving further technical hurdles and optimisation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(ie that inventions are made in overcoming the various technical challenges faced during drug development). Nevertheless, some innovations are made at a later stage. For example, it may be that it is only after the product has been prescribed to a population of patients post-launch that it will become evident that further improvements need to be made to improve efficacy, deal with a compliance (or other) problem or expand the target patient population or disease indications. Such </w:t>
      </w:r>
      <w:r w:rsidRPr="00B7205E">
        <w:rPr>
          <w:rStyle w:val="Emphasis"/>
        </w:rPr>
        <w:t>improvements</w:t>
      </w:r>
      <w:r w:rsidRPr="00EB6CF4">
        <w:rPr>
          <w:u w:val="single"/>
        </w:rPr>
        <w:t xml:space="preserve"> may </w:t>
      </w:r>
      <w:r w:rsidRPr="00B7205E">
        <w:rPr>
          <w:rStyle w:val="Emphasis"/>
        </w:rPr>
        <w:t>stem from greater experience of the product</w:t>
      </w:r>
      <w:r w:rsidRPr="00EB6CF4">
        <w:rPr>
          <w:u w:val="single"/>
        </w:rPr>
        <w:t xml:space="preserve">, problems unexpectedly encountered in particular patient populations or other advances made in the field. Given that the purpose of the patent system is to encourage innovation and (in the pharmaceutical sector) to lead to better medicines, it would be </w:t>
      </w:r>
      <w:r w:rsidRPr="00B7205E">
        <w:rPr>
          <w:rStyle w:val="Emphasis"/>
        </w:rPr>
        <w:t>strange indeed if this incentive was removed or diminished once the first product of a particular type has been launched.</w:t>
      </w:r>
    </w:p>
    <w:p w14:paraId="5028CA98" w14:textId="77777777" w:rsidR="00F04D11" w:rsidRPr="00AE30B1" w:rsidRDefault="00F04D11" w:rsidP="00F04D11"/>
    <w:p w14:paraId="47F10994" w14:textId="77777777" w:rsidR="00F04D11" w:rsidRDefault="00F04D11" w:rsidP="00F04D11">
      <w:pPr>
        <w:pStyle w:val="Heading4"/>
      </w:pPr>
      <w:r>
        <w:t xml:space="preserve">Evergreening is </w:t>
      </w:r>
      <w:r w:rsidRPr="0092683C">
        <w:rPr>
          <w:u w:val="single"/>
        </w:rPr>
        <w:t>good</w:t>
      </w:r>
      <w:r>
        <w:t xml:space="preserve">---your authors </w:t>
      </w:r>
      <w:r w:rsidRPr="0092683C">
        <w:rPr>
          <w:u w:val="single"/>
        </w:rPr>
        <w:t>misunderstand it</w:t>
      </w:r>
      <w:r>
        <w:t>.</w:t>
      </w:r>
    </w:p>
    <w:p w14:paraId="05093CE0" w14:textId="77777777" w:rsidR="00F04D11" w:rsidRPr="0092683C" w:rsidRDefault="00F04D11" w:rsidP="00F04D11">
      <w:r w:rsidRPr="0092683C">
        <w:rPr>
          <w:rStyle w:val="Style13ptBold"/>
        </w:rPr>
        <w:t>Banana 19</w:t>
      </w:r>
      <w:r>
        <w:t xml:space="preserve"> [BananaIP; “</w:t>
      </w:r>
      <w:r w:rsidRPr="0092683C">
        <w:t>DEMYSTIFYING THE EVERGREEN MYTH</w:t>
      </w:r>
      <w:r>
        <w:t xml:space="preserve">,” Executive Office of the President of the United States; 7/19/19—originally appeared 5/19/14; </w:t>
      </w:r>
      <w:hyperlink r:id="rId16" w:history="1">
        <w:r w:rsidRPr="0042271F">
          <w:rPr>
            <w:rStyle w:val="Hyperlink"/>
          </w:rPr>
          <w:t>https://www.bananaip.com/ip-news-center/chapter-iii-demystifying-evergreen-myth-comprehending-apprehension-apprehending-comprehension/]</w:t>
        </w:r>
      </w:hyperlink>
      <w:r>
        <w:t xml:space="preserve"> Justin</w:t>
      </w:r>
    </w:p>
    <w:p w14:paraId="4E710323" w14:textId="77777777" w:rsidR="00F04D11" w:rsidRPr="00B33446" w:rsidRDefault="00F04D11" w:rsidP="00F04D11">
      <w:pPr>
        <w:rPr>
          <w:sz w:val="16"/>
        </w:rPr>
      </w:pPr>
      <w:r w:rsidRPr="00EA3700">
        <w:rPr>
          <w:highlight w:val="green"/>
          <w:u w:val="single"/>
        </w:rPr>
        <w:t>Evergreening</w:t>
      </w:r>
      <w:r w:rsidRPr="0092683C">
        <w:rPr>
          <w:u w:val="single"/>
        </w:rPr>
        <w:t xml:space="preserve"> is like any other business strategy that market players would adopt to seek a competitive edge</w:t>
      </w:r>
      <w:r w:rsidRPr="00B33446">
        <w:rPr>
          <w:sz w:val="16"/>
        </w:rPr>
        <w:t xml:space="preserve"> in the market. </w:t>
      </w:r>
      <w:r w:rsidRPr="0092683C">
        <w:rPr>
          <w:u w:val="single"/>
        </w:rPr>
        <w:t xml:space="preserve">It </w:t>
      </w:r>
      <w:r w:rsidRPr="00EA3700">
        <w:rPr>
          <w:highlight w:val="green"/>
          <w:u w:val="single"/>
        </w:rPr>
        <w:t xml:space="preserve">doesn’t stop </w:t>
      </w:r>
      <w:r w:rsidRPr="00B33446">
        <w:rPr>
          <w:u w:val="single"/>
        </w:rPr>
        <w:t>anyone from</w:t>
      </w:r>
      <w:r w:rsidRPr="0092683C">
        <w:rPr>
          <w:u w:val="single"/>
        </w:rPr>
        <w:t xml:space="preserve"> making the </w:t>
      </w:r>
      <w:r w:rsidRPr="00EA3700">
        <w:rPr>
          <w:highlight w:val="green"/>
          <w:u w:val="single"/>
        </w:rPr>
        <w:t>product</w:t>
      </w:r>
      <w:r w:rsidRPr="0092683C">
        <w:rPr>
          <w:u w:val="single"/>
        </w:rPr>
        <w:t xml:space="preserve"> claimed </w:t>
      </w:r>
      <w:r w:rsidRPr="00EA3700">
        <w:rPr>
          <w:highlight w:val="green"/>
          <w:u w:val="single"/>
        </w:rPr>
        <w:t>in</w:t>
      </w:r>
      <w:r w:rsidRPr="0092683C">
        <w:rPr>
          <w:u w:val="single"/>
        </w:rPr>
        <w:t xml:space="preserve"> the </w:t>
      </w:r>
      <w:r w:rsidRPr="00EA3700">
        <w:rPr>
          <w:highlight w:val="green"/>
          <w:u w:val="single"/>
        </w:rPr>
        <w:t>expired patent</w:t>
      </w:r>
      <w:r w:rsidRPr="0092683C">
        <w:rPr>
          <w:u w:val="single"/>
        </w:rPr>
        <w:t xml:space="preserve">, but only </w:t>
      </w:r>
      <w:r w:rsidRPr="00EA3700">
        <w:rPr>
          <w:highlight w:val="green"/>
          <w:u w:val="single"/>
        </w:rPr>
        <w:t>makes sure</w:t>
      </w:r>
      <w:r w:rsidRPr="0092683C">
        <w:rPr>
          <w:u w:val="single"/>
        </w:rPr>
        <w:t xml:space="preserve"> that </w:t>
      </w:r>
      <w:r w:rsidRPr="00EA3700">
        <w:rPr>
          <w:highlight w:val="green"/>
          <w:u w:val="single"/>
        </w:rPr>
        <w:t>they</w:t>
      </w:r>
      <w:r w:rsidRPr="0092683C">
        <w:rPr>
          <w:u w:val="single"/>
        </w:rPr>
        <w:t xml:space="preserve"> can </w:t>
      </w:r>
      <w:r w:rsidRPr="00EA3700">
        <w:rPr>
          <w:highlight w:val="green"/>
          <w:u w:val="single"/>
        </w:rPr>
        <w:t>differentiate themselves</w:t>
      </w:r>
      <w:r w:rsidRPr="00B33446">
        <w:rPr>
          <w:sz w:val="16"/>
        </w:rPr>
        <w:t xml:space="preserve"> from the other generic products through incremental inventions. More often than not, </w:t>
      </w:r>
      <w:r w:rsidRPr="0092683C">
        <w:rPr>
          <w:u w:val="single"/>
        </w:rPr>
        <w:t xml:space="preserve">the </w:t>
      </w:r>
      <w:r w:rsidRPr="00EA3700">
        <w:rPr>
          <w:highlight w:val="green"/>
          <w:u w:val="single"/>
        </w:rPr>
        <w:t>R&amp;D</w:t>
      </w:r>
      <w:r w:rsidRPr="00B33446">
        <w:rPr>
          <w:u w:val="single"/>
        </w:rPr>
        <w:t xml:space="preserve"> </w:t>
      </w:r>
      <w:r w:rsidRPr="00EA3700">
        <w:rPr>
          <w:highlight w:val="green"/>
          <w:u w:val="single"/>
        </w:rPr>
        <w:t>efforts and investments</w:t>
      </w:r>
      <w:r w:rsidRPr="0092683C">
        <w:rPr>
          <w:u w:val="single"/>
        </w:rPr>
        <w:t xml:space="preserve"> that go into the making of these incremental inventions can be </w:t>
      </w:r>
      <w:r w:rsidRPr="00EA3700">
        <w:rPr>
          <w:highlight w:val="green"/>
          <w:u w:val="single"/>
        </w:rPr>
        <w:t>very high</w:t>
      </w:r>
      <w:r w:rsidRPr="00B33446">
        <w:rPr>
          <w:sz w:val="16"/>
        </w:rPr>
        <w:t xml:space="preserve"> and their results invaluable for treatment.</w:t>
      </w:r>
    </w:p>
    <w:p w14:paraId="60924488" w14:textId="77777777" w:rsidR="00F04D11" w:rsidRPr="0092683C" w:rsidRDefault="00F04D11" w:rsidP="00F04D11">
      <w:pPr>
        <w:rPr>
          <w:u w:val="single"/>
        </w:rPr>
      </w:pPr>
      <w:r w:rsidRPr="00B33446">
        <w:rPr>
          <w:sz w:val="16"/>
        </w:rPr>
        <w:t xml:space="preserve">One of the rationales of the patent system is to </w:t>
      </w:r>
      <w:r w:rsidRPr="00EA3700">
        <w:rPr>
          <w:highlight w:val="green"/>
          <w:u w:val="single"/>
        </w:rPr>
        <w:t>incentivize innovation</w:t>
      </w:r>
      <w:r w:rsidRPr="0092683C">
        <w:rPr>
          <w:u w:val="single"/>
        </w:rPr>
        <w:t xml:space="preserve"> which is believed to </w:t>
      </w:r>
      <w:r w:rsidRPr="00EA3700">
        <w:rPr>
          <w:highlight w:val="green"/>
          <w:u w:val="single"/>
        </w:rPr>
        <w:t>lead to</w:t>
      </w:r>
      <w:r w:rsidRPr="0092683C">
        <w:rPr>
          <w:u w:val="single"/>
        </w:rPr>
        <w:t xml:space="preserve"> the </w:t>
      </w:r>
      <w:r w:rsidRPr="00EA3700">
        <w:rPr>
          <w:highlight w:val="green"/>
          <w:u w:val="single"/>
        </w:rPr>
        <w:t>progress</w:t>
      </w:r>
      <w:r w:rsidRPr="0092683C">
        <w:rPr>
          <w:u w:val="single"/>
        </w:rPr>
        <w:t xml:space="preserve"> in technology</w:t>
      </w:r>
      <w:r w:rsidRPr="00B33446">
        <w:rPr>
          <w:sz w:val="16"/>
        </w:rPr>
        <w:t xml:space="preserve">. A patent application is published 18 months after it is filed so as to ensure that the knowledge in the patent is made public for aspiring inventors to design around and build on it. Anyone, including the owner of an existing patent and their competitors, is free to invest in research in this direction as early as 18 months from the filing of such a patent. </w:t>
      </w:r>
      <w:r w:rsidRPr="0092683C">
        <w:rPr>
          <w:u w:val="single"/>
        </w:rPr>
        <w:t>If a competitor files for an incremental patent, it is branded as innovation, but when a patent holder files for an incremental patent, it is looked upon as innovation leading to life cycle management or Evergreening.</w:t>
      </w:r>
    </w:p>
    <w:p w14:paraId="665C080B" w14:textId="77777777" w:rsidR="00F04D11" w:rsidRPr="0092683C" w:rsidRDefault="00F04D11" w:rsidP="00F04D11">
      <w:pPr>
        <w:rPr>
          <w:u w:val="single"/>
        </w:rPr>
      </w:pPr>
      <w:r w:rsidRPr="00B33446">
        <w:rPr>
          <w:sz w:val="16"/>
        </w:rPr>
        <w:t xml:space="preserve">In most parts of the world, </w:t>
      </w:r>
      <w:r w:rsidRPr="00EA3700">
        <w:rPr>
          <w:highlight w:val="green"/>
          <w:u w:val="single"/>
        </w:rPr>
        <w:t>life cycle management is</w:t>
      </w:r>
      <w:r w:rsidRPr="0092683C">
        <w:rPr>
          <w:u w:val="single"/>
        </w:rPr>
        <w:t xml:space="preserve"> considered as </w:t>
      </w:r>
      <w:r w:rsidRPr="00EA3700">
        <w:rPr>
          <w:highlight w:val="green"/>
          <w:u w:val="single"/>
        </w:rPr>
        <w:t>positive</w:t>
      </w:r>
      <w:r w:rsidRPr="0092683C">
        <w:rPr>
          <w:u w:val="single"/>
        </w:rPr>
        <w:t xml:space="preserve"> development</w:t>
      </w:r>
      <w:r w:rsidRPr="00B33446">
        <w:rPr>
          <w:sz w:val="16"/>
        </w:rPr>
        <w:t xml:space="preserve">. However, to the frustration of many pharmaceutical companies, symbolically represented by Bayer, life cycle management is quite a tricky business in India, thanks to the infamous Section 3(d) of the Indian Patent Act, often alluded to as the anti-evergreening law, which bears the burden of keeping a check on incremental pharmaceutical inventions that add no therapeutic value. Section 3(d) states that </w:t>
      </w:r>
      <w:r w:rsidRPr="0092683C">
        <w:rPr>
          <w:u w:val="single"/>
        </w:rPr>
        <w:t xml:space="preserve">“the </w:t>
      </w:r>
      <w:r w:rsidRPr="00B33446">
        <w:rPr>
          <w:u w:val="single"/>
        </w:rPr>
        <w:t xml:space="preserve">mere </w:t>
      </w:r>
      <w:r w:rsidRPr="00EA3700">
        <w:rPr>
          <w:highlight w:val="green"/>
          <w:u w:val="single"/>
        </w:rPr>
        <w:t>discovery</w:t>
      </w:r>
      <w:r w:rsidRPr="0092683C">
        <w:rPr>
          <w:u w:val="single"/>
        </w:rPr>
        <w:t xml:space="preserve"> of a new form of a known substance </w:t>
      </w:r>
      <w:r w:rsidRPr="00EA3700">
        <w:rPr>
          <w:highlight w:val="green"/>
          <w:u w:val="single"/>
        </w:rPr>
        <w:t>which does not result in</w:t>
      </w:r>
      <w:r w:rsidRPr="0092683C">
        <w:rPr>
          <w:u w:val="single"/>
        </w:rPr>
        <w:t xml:space="preserve"> the </w:t>
      </w:r>
      <w:r w:rsidRPr="00EA3700">
        <w:rPr>
          <w:highlight w:val="green"/>
          <w:u w:val="single"/>
        </w:rPr>
        <w:t>enhancement</w:t>
      </w:r>
      <w:r w:rsidRPr="0092683C">
        <w:rPr>
          <w:u w:val="single"/>
        </w:rPr>
        <w:t xml:space="preserve"> of the known efficacy of that substance, or the mere discovery of any new property or new use for a known substance or of the mere use of a known process, machine or apparatus, unless such known process results in a new product or employs at least one new reactant” </w:t>
      </w:r>
      <w:r w:rsidRPr="00EA3700">
        <w:rPr>
          <w:highlight w:val="green"/>
          <w:u w:val="single"/>
        </w:rPr>
        <w:t>is not patentable</w:t>
      </w:r>
      <w:r w:rsidRPr="0092683C">
        <w:rPr>
          <w:u w:val="single"/>
        </w:rPr>
        <w:t>.</w:t>
      </w:r>
    </w:p>
    <w:p w14:paraId="6B80534C" w14:textId="77777777" w:rsidR="0099686A" w:rsidRPr="0099686A" w:rsidRDefault="0099686A" w:rsidP="0099686A"/>
    <w:sectPr w:rsidR="0099686A" w:rsidRPr="009968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68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7B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262"/>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86A"/>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634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11"/>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C8BC89"/>
  <w14:defaultImageDpi w14:val="300"/>
  <w15:docId w15:val="{B86F34CF-B5E4-2E4E-9400-6F543BA5B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68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968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68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68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9968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68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686A"/>
  </w:style>
  <w:style w:type="character" w:customStyle="1" w:styleId="Heading1Char">
    <w:name w:val="Heading 1 Char"/>
    <w:aliases w:val="Pocket Char"/>
    <w:basedOn w:val="DefaultParagraphFont"/>
    <w:link w:val="Heading1"/>
    <w:uiPriority w:val="9"/>
    <w:rsid w:val="009968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68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9686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968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9686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99686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9968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686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TA"/>
    <w:basedOn w:val="DefaultParagraphFont"/>
    <w:link w:val="Card"/>
    <w:uiPriority w:val="99"/>
    <w:unhideWhenUsed/>
    <w:rsid w:val="0099686A"/>
    <w:rPr>
      <w:color w:val="auto"/>
      <w:u w:val="none"/>
    </w:rPr>
  </w:style>
  <w:style w:type="paragraph" w:styleId="DocumentMap">
    <w:name w:val="Document Map"/>
    <w:basedOn w:val="Normal"/>
    <w:link w:val="DocumentMapChar"/>
    <w:uiPriority w:val="99"/>
    <w:semiHidden/>
    <w:unhideWhenUsed/>
    <w:rsid w:val="009968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686A"/>
    <w:rPr>
      <w:rFonts w:ascii="Lucida Grande" w:hAnsi="Lucida Grande" w:cs="Lucida Grand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99686A"/>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99686A"/>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character" w:customStyle="1" w:styleId="verdana">
    <w:name w:val="verdana"/>
    <w:rsid w:val="0099686A"/>
  </w:style>
  <w:style w:type="character" w:customStyle="1" w:styleId="italic">
    <w:name w:val="italic"/>
    <w:rsid w:val="0099686A"/>
  </w:style>
  <w:style w:type="paragraph" w:styleId="Revision">
    <w:name w:val="Revision"/>
    <w:hidden/>
    <w:uiPriority w:val="99"/>
    <w:semiHidden/>
    <w:rsid w:val="002E4262"/>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mericanmilitarynews.com/2019/10/strengthen-us-industry-to-counter-national-security-challeng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353787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ananaip.com/ip-news-center/chapter-iii-demystifying-evergreen-myth-comprehending-apprehension-apprehending-comprehension/%5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rrons.com/articles/drawn-out-negotiations-over-covid-ip-will-blow-back-on-biden-51621973675" TargetMode="External"/><Relationship Id="rId5" Type="http://schemas.openxmlformats.org/officeDocument/2006/relationships/numbering" Target="numbering.xml"/><Relationship Id="rId15" Type="http://schemas.openxmlformats.org/officeDocument/2006/relationships/hyperlink" Target="https://link.springer.com/article/10.1057/palgrave.jcb.3050066" TargetMode="External"/><Relationship Id="rId10" Type="http://schemas.openxmlformats.org/officeDocument/2006/relationships/hyperlink" Target="https://www.law360.com/competition/articles/1418789/interest-groups-back-big-tech-antitrust-bills-in-house"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hyperlink" Target="https://www.cato.org/regulation/fall-2020/evergreening-my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20</Pages>
  <Words>13520</Words>
  <Characters>77070</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3</cp:revision>
  <dcterms:created xsi:type="dcterms:W3CDTF">2021-09-11T14:19:00Z</dcterms:created>
  <dcterms:modified xsi:type="dcterms:W3CDTF">2021-09-11T15:10:00Z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