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2A618" w14:textId="791B64FB" w:rsidR="00E42E4C" w:rsidRDefault="009E20E2" w:rsidP="009E20E2">
      <w:pPr>
        <w:pStyle w:val="Heading2"/>
      </w:pPr>
      <w:r>
        <w:t>1</w:t>
      </w:r>
    </w:p>
    <w:p w14:paraId="57B2E542" w14:textId="7DE44DDA" w:rsidR="00591915" w:rsidRDefault="00591915" w:rsidP="00591915">
      <w:pPr>
        <w:pStyle w:val="Heading4"/>
      </w:pPr>
      <w:r>
        <w:t>Interpretation: affirmative debaters m</w:t>
      </w:r>
      <w:r w:rsidR="0023146B">
        <w:t xml:space="preserve">ay </w:t>
      </w:r>
      <w:proofErr w:type="spellStart"/>
      <w:r w:rsidR="0023146B">
        <w:t>no</w:t>
      </w:r>
      <w:proofErr w:type="spellEnd"/>
      <w:r w:rsidR="0023146B">
        <w:t xml:space="preserve"> read all neg </w:t>
      </w:r>
      <w:proofErr w:type="spellStart"/>
      <w:r w:rsidR="0023146B">
        <w:t>interps</w:t>
      </w:r>
      <w:proofErr w:type="spellEnd"/>
      <w:r w:rsidR="0023146B">
        <w:t xml:space="preserve"> are counter </w:t>
      </w:r>
      <w:proofErr w:type="spellStart"/>
      <w:r w:rsidR="0023146B">
        <w:t>interps</w:t>
      </w:r>
      <w:proofErr w:type="spellEnd"/>
      <w:r w:rsidR="0023146B">
        <w:t xml:space="preserve">, </w:t>
      </w:r>
      <w:proofErr w:type="spellStart"/>
      <w:r w:rsidR="0023146B">
        <w:t>aff</w:t>
      </w:r>
      <w:proofErr w:type="spellEnd"/>
      <w:r w:rsidR="0023146B">
        <w:t xml:space="preserve"> gets 1ar theory, </w:t>
      </w:r>
      <w:proofErr w:type="spellStart"/>
      <w:r w:rsidR="0023146B">
        <w:t>aff</w:t>
      </w:r>
      <w:proofErr w:type="spellEnd"/>
      <w:r w:rsidR="0023146B">
        <w:t xml:space="preserve"> theory prior to neg theory, </w:t>
      </w:r>
      <w:proofErr w:type="spellStart"/>
      <w:r w:rsidR="0023146B">
        <w:t>aff</w:t>
      </w:r>
      <w:proofErr w:type="spellEnd"/>
      <w:r w:rsidR="0023146B">
        <w:t xml:space="preserve"> gets </w:t>
      </w:r>
      <w:proofErr w:type="spellStart"/>
      <w:r w:rsidR="0023146B">
        <w:t>rvi</w:t>
      </w:r>
      <w:proofErr w:type="spellEnd"/>
      <w:r w:rsidR="0023146B">
        <w:t xml:space="preserve">, and neg doesn’t get </w:t>
      </w:r>
      <w:proofErr w:type="spellStart"/>
      <w:r w:rsidR="0023146B">
        <w:t>rvi</w:t>
      </w:r>
      <w:proofErr w:type="spellEnd"/>
    </w:p>
    <w:p w14:paraId="3A8BB029" w14:textId="734890B8" w:rsidR="0023146B" w:rsidRDefault="0023146B" w:rsidP="0023146B"/>
    <w:p w14:paraId="41E4E153" w14:textId="44399B9F" w:rsidR="0023146B" w:rsidRDefault="0023146B" w:rsidP="0023146B">
      <w:proofErr w:type="spellStart"/>
      <w:r>
        <w:t>Infinte</w:t>
      </w:r>
      <w:proofErr w:type="spellEnd"/>
      <w:r>
        <w:t xml:space="preserve"> abuse</w:t>
      </w:r>
    </w:p>
    <w:p w14:paraId="71140178" w14:textId="19E896F3" w:rsidR="0023146B" w:rsidRPr="0023146B" w:rsidRDefault="0023146B" w:rsidP="0023146B">
      <w:r>
        <w:t>norming</w:t>
      </w:r>
    </w:p>
    <w:p w14:paraId="0511F843" w14:textId="77777777" w:rsidR="00591915" w:rsidRPr="0023146B" w:rsidRDefault="00591915" w:rsidP="0023146B">
      <w:pPr>
        <w:pStyle w:val="Heading4"/>
      </w:pPr>
    </w:p>
    <w:p w14:paraId="26911F8D" w14:textId="77777777" w:rsidR="0023146B" w:rsidRPr="0023146B" w:rsidRDefault="0023146B" w:rsidP="0023146B">
      <w:pPr>
        <w:pStyle w:val="Heading4"/>
      </w:pPr>
      <w:r w:rsidRPr="0023146B">
        <w:t xml:space="preserve">Fairness and education are voters – debate’s a game that needs rules to evaluate it and education gives us portable skills for life like research and thinking. Drop the debater—the abuse has already </w:t>
      </w:r>
      <w:proofErr w:type="gramStart"/>
      <w:r w:rsidRPr="0023146B">
        <w:t>occurred</w:t>
      </w:r>
      <w:proofErr w:type="gramEnd"/>
      <w:r w:rsidRPr="0023146B">
        <w:t xml:space="preserve"> and my time allocation has shifted b) to deter future abuse, big punishment incentivizes people to stop bad practices especially true with bad spikes </w:t>
      </w:r>
      <w:proofErr w:type="spellStart"/>
      <w:r w:rsidRPr="0023146B">
        <w:t>cuz</w:t>
      </w:r>
      <w:proofErr w:type="spellEnd"/>
      <w:r w:rsidRPr="0023146B">
        <w:t xml:space="preserve"> otherwise they just load them up like pics </w:t>
      </w:r>
      <w:proofErr w:type="spellStart"/>
      <w:r w:rsidRPr="0023146B">
        <w:t>dont</w:t>
      </w:r>
      <w:proofErr w:type="spellEnd"/>
      <w:r w:rsidRPr="0023146B">
        <w:t xml:space="preserve"> negate stuff Competing </w:t>
      </w:r>
      <w:proofErr w:type="spellStart"/>
      <w:r w:rsidRPr="0023146B">
        <w:t>interps</w:t>
      </w:r>
      <w:proofErr w:type="spellEnd"/>
      <w:r w:rsidRPr="0023146B">
        <w:t xml:space="preserve"> – a] reasonability is arbitrary and encourages judge intervention since there’s no clear norm b] it creates a race to the top where we create the best possible norms for debate. No RVIs – a) illogical – you shouldn’t win for being fair – it’s a litmus test for engaging in substance b) norming – I can’t concede the </w:t>
      </w:r>
      <w:proofErr w:type="spellStart"/>
      <w:r w:rsidRPr="0023146B">
        <w:t>counterinterp</w:t>
      </w:r>
      <w:proofErr w:type="spellEnd"/>
      <w:r w:rsidRPr="0023146B">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d) Double Bind – either 1) my Theory shell is unwarranted in which case you shouldn’t have any problem answering it or 2) you’re actually abusive in which case the whole shell stands and outweighs. 1NC theory first a] If I was </w:t>
      </w:r>
      <w:proofErr w:type="gramStart"/>
      <w:r w:rsidRPr="0023146B">
        <w:t>abusive</w:t>
      </w:r>
      <w:proofErr w:type="gramEnd"/>
      <w:r w:rsidRPr="0023146B">
        <w:t xml:space="preserve"> it was because the 1AC was b] We have more speeches to norm over whether it’s a good idea c] 2AR answers to the 2NR counter-</w:t>
      </w:r>
      <w:proofErr w:type="spellStart"/>
      <w:r w:rsidRPr="0023146B">
        <w:t>interp</w:t>
      </w:r>
      <w:proofErr w:type="spellEnd"/>
      <w:r w:rsidRPr="0023146B">
        <w:t xml:space="preserve"> are always new, which means their </w:t>
      </w:r>
      <w:proofErr w:type="spellStart"/>
      <w:r w:rsidRPr="0023146B">
        <w:t>interp</w:t>
      </w:r>
      <w:proofErr w:type="spellEnd"/>
      <w:r w:rsidRPr="0023146B">
        <w:t xml:space="preserve"> is easier to win.</w:t>
      </w:r>
    </w:p>
    <w:p w14:paraId="2AFDE1E1" w14:textId="7CA0DAEE" w:rsidR="00702670" w:rsidRPr="00702670" w:rsidRDefault="00591915" w:rsidP="00591915">
      <w:pPr>
        <w:pStyle w:val="Heading4"/>
      </w:pPr>
      <w:r w:rsidRPr="00591915">
        <w:t xml:space="preserve">1NC theory first a] If I was </w:t>
      </w:r>
      <w:proofErr w:type="gramStart"/>
      <w:r w:rsidRPr="00591915">
        <w:t>abusive</w:t>
      </w:r>
      <w:proofErr w:type="gramEnd"/>
      <w:r w:rsidRPr="00591915">
        <w:t xml:space="preserve"> it was because the 1AC was b] We have more speeches to norm over whether it’s a good idea c] 2AR answers to the 2NR counter-</w:t>
      </w:r>
      <w:proofErr w:type="spellStart"/>
      <w:r w:rsidRPr="00591915">
        <w:t>interp</w:t>
      </w:r>
      <w:proofErr w:type="spellEnd"/>
      <w:r w:rsidRPr="00591915">
        <w:t xml:space="preserve"> are always new, which means their </w:t>
      </w:r>
      <w:proofErr w:type="spellStart"/>
      <w:r w:rsidRPr="00591915">
        <w:t>interp</w:t>
      </w:r>
      <w:proofErr w:type="spellEnd"/>
      <w:r w:rsidRPr="00591915">
        <w:t xml:space="preserve"> is easier to win.</w:t>
      </w:r>
    </w:p>
    <w:p w14:paraId="1E240B38" w14:textId="60AA0CE4" w:rsidR="009E20E2" w:rsidRDefault="009E20E2" w:rsidP="009E20E2">
      <w:pPr>
        <w:pStyle w:val="Heading2"/>
      </w:pPr>
      <w:r>
        <w:lastRenderedPageBreak/>
        <w:t>2</w:t>
      </w:r>
    </w:p>
    <w:p w14:paraId="5F179968" w14:textId="77777777" w:rsidR="009E20E2" w:rsidRDefault="009E20E2" w:rsidP="009E20E2">
      <w:pPr>
        <w:pStyle w:val="Heading4"/>
        <w:rPr>
          <w:rFonts w:cs="Calibri"/>
        </w:rPr>
      </w:pPr>
      <w:r w:rsidRPr="00C4573E">
        <w:rPr>
          <w:rFonts w:cs="Calibri"/>
        </w:rPr>
        <w:t xml:space="preserve">Permissibility and presumption negate – a.  </w:t>
      </w:r>
      <w:r>
        <w:rPr>
          <w:rFonts w:cs="Calibri"/>
        </w:rPr>
        <w:t xml:space="preserve">if </w:t>
      </w:r>
      <w:r w:rsidRPr="00C4573E">
        <w:rPr>
          <w:rFonts w:cs="Calibri"/>
        </w:rPr>
        <w:t xml:space="preserve">the resolution indicates the affirmative has to prove an obligation, permissibility </w:t>
      </w:r>
      <w:proofErr w:type="gramStart"/>
      <w:r w:rsidRPr="00C4573E">
        <w:rPr>
          <w:rFonts w:cs="Calibri"/>
        </w:rPr>
        <w:t>would</w:t>
      </w:r>
      <w:proofErr w:type="gramEnd"/>
      <w:r w:rsidRPr="00C4573E">
        <w:rPr>
          <w:rFonts w:cs="Calibri"/>
        </w:rPr>
        <w:t xml:space="preserve">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27650A9E" w14:textId="77777777" w:rsidR="009E20E2" w:rsidRPr="00F829FF" w:rsidRDefault="009E20E2" w:rsidP="009E20E2"/>
    <w:p w14:paraId="6A550F16" w14:textId="77777777" w:rsidR="009E20E2" w:rsidRPr="00F829FF" w:rsidRDefault="009E20E2" w:rsidP="009E20E2">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5C30A7F7" w14:textId="77777777" w:rsidR="009E20E2" w:rsidRPr="00C4573E" w:rsidRDefault="009E20E2" w:rsidP="009E20E2">
      <w:pPr>
        <w:pStyle w:val="Heading4"/>
        <w:rPr>
          <w:rFonts w:cs="Calibri"/>
        </w:rPr>
      </w:pPr>
      <w:r w:rsidRPr="00C4573E">
        <w:rPr>
          <w:rFonts w:cs="Calibri"/>
        </w:rPr>
        <w:t>Prefer:</w:t>
      </w:r>
    </w:p>
    <w:p w14:paraId="51A89AED" w14:textId="77777777" w:rsidR="009E20E2" w:rsidRPr="00C4573E" w:rsidRDefault="009E20E2" w:rsidP="009E20E2">
      <w:pPr>
        <w:pStyle w:val="Heading4"/>
        <w:rPr>
          <w:rFonts w:cs="Calibri"/>
        </w:rPr>
      </w:pPr>
      <w:r w:rsidRPr="00C4573E">
        <w:rPr>
          <w:rFonts w:cs="Calibri"/>
        </w:rPr>
        <w:t>1] Text –</w:t>
      </w:r>
    </w:p>
    <w:p w14:paraId="4C4C5B07" w14:textId="77777777" w:rsidR="009E20E2" w:rsidRPr="00C4573E" w:rsidRDefault="009E20E2" w:rsidP="009E20E2">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284CE8B9" w14:textId="77777777" w:rsidR="009E20E2" w:rsidRPr="00C4573E" w:rsidRDefault="009E20E2" w:rsidP="009E20E2">
      <w:pPr>
        <w:rPr>
          <w:szCs w:val="16"/>
        </w:rPr>
      </w:pPr>
      <w:r w:rsidRPr="00C4573E">
        <w:rPr>
          <w:szCs w:val="16"/>
        </w:rPr>
        <w:t>(</w:t>
      </w:r>
      <w:hyperlink r:id="rId9" w:history="1">
        <w:r w:rsidRPr="00C4573E">
          <w:rPr>
            <w:rStyle w:val="Hyperlink"/>
            <w:szCs w:val="16"/>
          </w:rPr>
          <w:t>http://www.merriam-webster.com/dictionary/ought</w:t>
        </w:r>
      </w:hyperlink>
      <w:r w:rsidRPr="00C4573E">
        <w:rPr>
          <w:szCs w:val="16"/>
        </w:rPr>
        <w:t>) //Massa</w:t>
      </w:r>
    </w:p>
    <w:p w14:paraId="2988B822" w14:textId="77777777" w:rsidR="009E20E2" w:rsidRPr="00C4573E" w:rsidRDefault="009E20E2" w:rsidP="009E20E2">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7D0CA94B" w14:textId="77777777" w:rsidR="009E20E2" w:rsidRPr="00C4573E" w:rsidRDefault="009E20E2" w:rsidP="009E20E2">
      <w:pPr>
        <w:rPr>
          <w:szCs w:val="16"/>
        </w:rPr>
      </w:pPr>
      <w:hyperlink r:id="rId10" w:history="1">
        <w:r w:rsidRPr="00C4573E">
          <w:rPr>
            <w:rStyle w:val="Hyperlink"/>
            <w:szCs w:val="16"/>
          </w:rPr>
          <w:t>https://en.oxforddictionaries.com/definition/ought</w:t>
        </w:r>
      </w:hyperlink>
      <w:r w:rsidRPr="00C4573E">
        <w:rPr>
          <w:szCs w:val="16"/>
        </w:rPr>
        <w:t xml:space="preserve"> //Massa</w:t>
      </w:r>
    </w:p>
    <w:p w14:paraId="69C7A43F" w14:textId="77777777" w:rsidR="009E20E2" w:rsidRPr="00D05B4F" w:rsidRDefault="009E20E2" w:rsidP="009E20E2">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w:t>
      </w:r>
      <w:proofErr w:type="spellStart"/>
      <w:r w:rsidRPr="0078173A">
        <w:rPr>
          <w:rFonts w:eastAsia="Times New Roman"/>
          <w:color w:val="000000"/>
        </w:rPr>
        <w:t>cuz</w:t>
      </w:r>
      <w:proofErr w:type="spellEnd"/>
      <w:r w:rsidRPr="0078173A">
        <w:rPr>
          <w:rFonts w:eastAsia="Times New Roman"/>
          <w:color w:val="000000"/>
        </w:rPr>
        <w:t xml:space="preserve"> otherwise the judge can’t </w:t>
      </w:r>
      <w:proofErr w:type="gramStart"/>
      <w:r w:rsidRPr="0078173A">
        <w:rPr>
          <w:rFonts w:eastAsia="Times New Roman"/>
          <w:color w:val="000000"/>
        </w:rPr>
        <w:t>make a decision</w:t>
      </w:r>
      <w:proofErr w:type="gramEnd"/>
      <w:r w:rsidRPr="0078173A">
        <w:rPr>
          <w:rFonts w:eastAsia="Times New Roman"/>
          <w:color w:val="000000"/>
        </w:rPr>
        <w:t xml:space="preserve">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2AF4E46C" w14:textId="77777777" w:rsidR="009E20E2" w:rsidRPr="00D05B4F" w:rsidRDefault="009E20E2" w:rsidP="009E20E2">
      <w:r w:rsidRPr="00D05B4F">
        <w:rPr>
          <w:rStyle w:val="Style13ptBold"/>
        </w:rPr>
        <w:t xml:space="preserve">Joyce 02 </w:t>
      </w:r>
      <w:r w:rsidRPr="00D05B4F">
        <w:t>Joyce, Richard. Myth of Morality. Port Chester, NY, USA: Cambridge University Press, 2002. p 45-47.</w:t>
      </w:r>
    </w:p>
    <w:p w14:paraId="0FEBCD6B" w14:textId="77777777" w:rsidR="009E20E2" w:rsidRPr="00D05B4F" w:rsidRDefault="009E20E2" w:rsidP="009E20E2">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w:t>
      </w:r>
      <w:r w:rsidRPr="00D05B4F">
        <w:rPr>
          <w:rFonts w:eastAsia="MS Mincho"/>
          <w:sz w:val="12"/>
        </w:rPr>
        <w:lastRenderedPageBreak/>
        <w:t xml:space="preserve">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64342E9A" w14:textId="77777777" w:rsidR="009E20E2" w:rsidRPr="00C4573E" w:rsidRDefault="009E20E2" w:rsidP="009E20E2">
      <w:pPr>
        <w:spacing w:after="0" w:line="240" w:lineRule="auto"/>
        <w:rPr>
          <w:sz w:val="14"/>
        </w:rPr>
      </w:pPr>
    </w:p>
    <w:p w14:paraId="40ECB4A5" w14:textId="77777777" w:rsidR="009E20E2" w:rsidRPr="00C4573E" w:rsidRDefault="009E20E2" w:rsidP="009E20E2">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53DAEA98" w14:textId="77777777" w:rsidR="009E20E2" w:rsidRPr="00C4573E" w:rsidRDefault="009E20E2" w:rsidP="009E20E2">
      <w:pPr>
        <w:pStyle w:val="Heading4"/>
        <w:rPr>
          <w:rFonts w:cs="Calibri"/>
        </w:rPr>
      </w:pPr>
      <w:r w:rsidRPr="00C4573E">
        <w:rPr>
          <w:rFonts w:cs="Calibri"/>
        </w:rPr>
        <w:t>Now negate:</w:t>
      </w:r>
    </w:p>
    <w:p w14:paraId="10669C18" w14:textId="77777777" w:rsidR="009E20E2" w:rsidRPr="00C4573E" w:rsidRDefault="009E20E2" w:rsidP="009E20E2">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is non-inherent and you vote neg on presumption or b) it </w:t>
      </w:r>
      <w:proofErr w:type="gramStart"/>
      <w:r w:rsidRPr="00C4573E">
        <w:rPr>
          <w:rFonts w:cs="Calibri"/>
        </w:rPr>
        <w:t>is</w:t>
      </w:r>
      <w:proofErr w:type="gramEnd"/>
      <w:r w:rsidRPr="00C4573E">
        <w:rPr>
          <w:rFonts w:cs="Calibri"/>
        </w:rPr>
        <w:t xml:space="preserve"> and it isn’t going to happen since there are structural barriers that preclude. </w:t>
      </w:r>
      <w:proofErr w:type="gramStart"/>
      <w:r w:rsidRPr="00C4573E">
        <w:rPr>
          <w:rFonts w:cs="Calibri"/>
        </w:rPr>
        <w:t>Also</w:t>
      </w:r>
      <w:proofErr w:type="gramEnd"/>
      <w:r w:rsidRPr="00C4573E">
        <w:rPr>
          <w:rFonts w:cs="Calibri"/>
        </w:rPr>
        <w:t xml:space="preserve"> you don’t get to say in the 1ar that the </w:t>
      </w:r>
      <w:proofErr w:type="spellStart"/>
      <w:r w:rsidRPr="00C4573E">
        <w:rPr>
          <w:rFonts w:cs="Calibri"/>
        </w:rPr>
        <w:t>aff</w:t>
      </w:r>
      <w:proofErr w:type="spellEnd"/>
      <w:r w:rsidRPr="00C4573E">
        <w:rPr>
          <w:rFonts w:cs="Calibri"/>
        </w:rPr>
        <w:t xml:space="preserve"> is non inherent because you took a stance in the </w:t>
      </w:r>
      <w:proofErr w:type="spellStart"/>
      <w:r w:rsidRPr="00C4573E">
        <w:rPr>
          <w:rFonts w:cs="Calibri"/>
        </w:rPr>
        <w:t>aff</w:t>
      </w:r>
      <w:proofErr w:type="spellEnd"/>
      <w:r w:rsidRPr="00C4573E">
        <w:rPr>
          <w:rFonts w:cs="Calibri"/>
        </w:rPr>
        <w:t xml:space="preserve"> that it was which is an academic integrity issue.</w:t>
      </w:r>
    </w:p>
    <w:p w14:paraId="76BD8155" w14:textId="0CF9209D" w:rsidR="009E20E2" w:rsidRDefault="009E20E2" w:rsidP="009E20E2">
      <w:pPr>
        <w:pStyle w:val="Heading2"/>
      </w:pPr>
      <w:r>
        <w:lastRenderedPageBreak/>
        <w:t>Case</w:t>
      </w:r>
    </w:p>
    <w:p w14:paraId="4C64D26B" w14:textId="2D2E78A4" w:rsidR="00702670" w:rsidRDefault="00702670" w:rsidP="00702670">
      <w:pPr>
        <w:pStyle w:val="Heading3"/>
      </w:pPr>
      <w:proofErr w:type="spellStart"/>
      <w:r>
        <w:lastRenderedPageBreak/>
        <w:t>Underview</w:t>
      </w:r>
      <w:proofErr w:type="spellEnd"/>
    </w:p>
    <w:p w14:paraId="6AD6F8C1" w14:textId="77777777" w:rsidR="00702670" w:rsidRDefault="00702670" w:rsidP="00702670">
      <w:pPr>
        <w:pStyle w:val="Heading4"/>
      </w:pPr>
      <w:r>
        <w:t xml:space="preserve">New 2nr responses – 1. their arguments are </w:t>
      </w:r>
      <w:proofErr w:type="gramStart"/>
      <w:r>
        <w:t>incomplete</w:t>
      </w:r>
      <w:proofErr w:type="gramEnd"/>
      <w:r>
        <w:t xml:space="preserve"> and I can’t know the implications until the 1ar 2. Clash – their model allows debaters to just extend one argument and ignore the rests of the flow</w:t>
      </w:r>
    </w:p>
    <w:p w14:paraId="7D8186B7" w14:textId="32D6970B" w:rsidR="00702670" w:rsidRDefault="00702670" w:rsidP="00702670">
      <w:pPr>
        <w:pStyle w:val="Heading4"/>
      </w:pPr>
      <w:r w:rsidRPr="00702670">
        <w:t xml:space="preserve">Paradigm issues for 1AR shells if the neg concedes the framework, and </w:t>
      </w:r>
      <w:r>
        <w:t>defends the status quo</w:t>
      </w:r>
    </w:p>
    <w:p w14:paraId="1D228176" w14:textId="77777777" w:rsidR="00702670" w:rsidRDefault="00702670" w:rsidP="00702670">
      <w:pPr>
        <w:pStyle w:val="Heading4"/>
      </w:pPr>
      <w:r w:rsidRPr="00702670">
        <w:t xml:space="preserve">[1] DTA – A] they can blow up a </w:t>
      </w:r>
      <w:proofErr w:type="spellStart"/>
      <w:r w:rsidRPr="00702670">
        <w:t>blippy</w:t>
      </w:r>
      <w:proofErr w:type="spellEnd"/>
      <w:r w:rsidRPr="00702670">
        <w:t xml:space="preserve"> 20 second shell to 3 min of the 2AR while I have to split my time and can’t preempt 2AR spin which necessitates judge intervention and means 1AR theory is irresolvable so you shouldn’t stake the round on </w:t>
      </w:r>
      <w:proofErr w:type="gramStart"/>
      <w:r w:rsidRPr="00702670">
        <w:t>it</w:t>
      </w:r>
      <w:proofErr w:type="gramEnd"/>
      <w:r w:rsidRPr="00702670">
        <w:t xml:space="preserve"> B] proves terminal defense to 1AR shells since the 1NC is directly engaging under the </w:t>
      </w:r>
      <w:proofErr w:type="spellStart"/>
      <w:r w:rsidRPr="00702670">
        <w:t>aff’s</w:t>
      </w:r>
      <w:proofErr w:type="spellEnd"/>
      <w:r w:rsidRPr="00702670">
        <w:t xml:space="preserve"> framework of choice, with the most predictable advocacy </w:t>
      </w:r>
    </w:p>
    <w:p w14:paraId="1384BC4B" w14:textId="77777777" w:rsidR="00702670" w:rsidRDefault="00702670" w:rsidP="00702670">
      <w:pPr>
        <w:pStyle w:val="Heading4"/>
      </w:pPr>
      <w:r w:rsidRPr="00702670">
        <w:t xml:space="preserve">[2] Reasonability – 1AR theory is super </w:t>
      </w:r>
      <w:proofErr w:type="spellStart"/>
      <w:r w:rsidRPr="00702670">
        <w:t>aff</w:t>
      </w:r>
      <w:proofErr w:type="spellEnd"/>
      <w:r w:rsidRPr="00702670">
        <w:t>-biased because the 2AR gets to line-by-line every 2NR standard with new answers that never get responded to which means either A] the 2AR always wins since they just need a single response to each argument which flips infinite abuse or B] means it’s irresolvable because the judge has to intervene to determine whether or not it’s warranted enough to vote on which collapses to reasonability – reasonability checks 2AR sandbagging by preventing super abusive 1NCs while still giving the 2N a chance.</w:t>
      </w:r>
    </w:p>
    <w:p w14:paraId="1935F796" w14:textId="77777777" w:rsidR="00702670" w:rsidRDefault="00702670" w:rsidP="00702670">
      <w:pPr>
        <w:pStyle w:val="Heading4"/>
      </w:pPr>
      <w:r w:rsidRPr="00702670">
        <w:t xml:space="preserve"> [3] We get RVIs –1AR being able to spend 20 seconds on a shell and still win forces the 2N to allocate at least 2:30 on the shell which means RVIs check back time skew – outweighs on </w:t>
      </w:r>
      <w:proofErr w:type="spellStart"/>
      <w:r w:rsidRPr="00702670">
        <w:t>quantifiaiblity</w:t>
      </w:r>
      <w:proofErr w:type="spellEnd"/>
      <w:r w:rsidRPr="00702670">
        <w:t xml:space="preserve"> </w:t>
      </w:r>
    </w:p>
    <w:p w14:paraId="1B55C449" w14:textId="77777777" w:rsidR="00702670" w:rsidRDefault="00702670" w:rsidP="00702670">
      <w:pPr>
        <w:pStyle w:val="Heading4"/>
      </w:pPr>
      <w:r w:rsidRPr="00702670">
        <w:t xml:space="preserve">[4] No new 1ar paradigm issues - A] the 1NC has already occurred with current paradigm issues in mind so new 1ar paradigms moot any theoretical offense B] introducing them in the </w:t>
      </w:r>
      <w:proofErr w:type="spellStart"/>
      <w:r w:rsidRPr="00702670">
        <w:t>aff</w:t>
      </w:r>
      <w:proofErr w:type="spellEnd"/>
      <w:r w:rsidRPr="00702670">
        <w:t xml:space="preserve"> allows for them to be more rigorously tested which o/w’s on time frame since we can set higher quality norms. C] anything else screws over NC strategy because your lack of justification determines my 1nc </w:t>
      </w:r>
      <w:proofErr w:type="spellStart"/>
      <w:r w:rsidRPr="00702670">
        <w:t>strat</w:t>
      </w:r>
      <w:proofErr w:type="spellEnd"/>
      <w:r w:rsidRPr="00702670">
        <w:t xml:space="preserve"> D] Infinite abuse is solved by preemptive shells empirically proven by reading ACC</w:t>
      </w:r>
    </w:p>
    <w:p w14:paraId="36DA2EE7" w14:textId="612A5CB7" w:rsidR="00702670" w:rsidRPr="00702670" w:rsidRDefault="00702670" w:rsidP="00702670">
      <w:pPr>
        <w:pStyle w:val="Heading4"/>
      </w:pPr>
      <w:r w:rsidRPr="00702670">
        <w:t xml:space="preserve"> [5] Reject 1AR Theory: a] Resolvability: Either you auto accept all responses to 2NR </w:t>
      </w:r>
      <w:proofErr w:type="gramStart"/>
      <w:r w:rsidRPr="00702670">
        <w:t>standards</w:t>
      </w:r>
      <w:proofErr w:type="gramEnd"/>
      <w:r w:rsidRPr="00702670">
        <w:t xml:space="preserve"> and they auto win since I can't respond, or you intervene to give 2AR credence b] Structural skew: 7-6 time 2-1 speech skew for offense favors the </w:t>
      </w:r>
      <w:proofErr w:type="spellStart"/>
      <w:r w:rsidRPr="00702670">
        <w:t>Aff</w:t>
      </w:r>
      <w:proofErr w:type="spellEnd"/>
      <w:r w:rsidRPr="00702670">
        <w:t xml:space="preserve"> who speaks first and last and set the stage with a persuasive advantage</w:t>
      </w:r>
      <w:r>
        <w:t xml:space="preserve"> </w:t>
      </w:r>
      <w:r w:rsidRPr="00702670">
        <w:t>c] No infinite abuse: 1NC is 7 minutes and 1AC spikes check</w:t>
      </w:r>
    </w:p>
    <w:p w14:paraId="5F94598C" w14:textId="77777777" w:rsidR="00702670" w:rsidRPr="00702670" w:rsidRDefault="00702670" w:rsidP="00702670"/>
    <w:p w14:paraId="274F632D" w14:textId="34F8387C" w:rsidR="00702670" w:rsidRPr="00702670" w:rsidRDefault="00702670" w:rsidP="00702670">
      <w:pPr>
        <w:pStyle w:val="Heading3"/>
      </w:pPr>
      <w:r>
        <w:lastRenderedPageBreak/>
        <w:t>offense</w:t>
      </w:r>
    </w:p>
    <w:p w14:paraId="52AC0CA3" w14:textId="77777777" w:rsidR="009E20E2" w:rsidRDefault="009E20E2" w:rsidP="009E20E2">
      <w:pPr>
        <w:pStyle w:val="Heading4"/>
      </w:pPr>
      <w:r>
        <w:t xml:space="preserve">[1] Coercion - Reducing IPP is a form of the government coercing medicine companies into giving away rights to their products – that’s is a contradiction in </w:t>
      </w:r>
      <w:proofErr w:type="gramStart"/>
      <w:r>
        <w:t>conception</w:t>
      </w:r>
      <w:proofErr w:type="gramEnd"/>
      <w:r>
        <w:t xml:space="preserve"> and this also takes out </w:t>
      </w:r>
      <w:proofErr w:type="spellStart"/>
      <w:r>
        <w:t>aff</w:t>
      </w:r>
      <w:proofErr w:type="spellEnd"/>
      <w:r>
        <w:t xml:space="preserve"> offense because companies can’t be coerced into doing something even if it might be a good under the framework – for example, you can’t coerce someone into donating to charity </w:t>
      </w:r>
    </w:p>
    <w:p w14:paraId="2D6D9F03" w14:textId="77777777" w:rsidR="009E20E2" w:rsidRPr="00C75194" w:rsidRDefault="009E20E2" w:rsidP="009E20E2"/>
    <w:p w14:paraId="6179F434" w14:textId="77777777" w:rsidR="009E20E2" w:rsidRPr="006D32A4" w:rsidRDefault="009E20E2" w:rsidP="009E20E2">
      <w:pPr>
        <w:spacing w:after="0" w:line="240" w:lineRule="auto"/>
        <w:outlineLvl w:val="3"/>
        <w:rPr>
          <w:rFonts w:ascii="Times New Roman" w:eastAsia="Times New Roman" w:hAnsi="Times New Roman" w:cs="Times New Roman"/>
          <w:b/>
          <w:bCs/>
          <w:sz w:val="24"/>
        </w:rPr>
      </w:pPr>
      <w:r>
        <w:rPr>
          <w:rFonts w:eastAsia="Times New Roman"/>
          <w:b/>
          <w:bCs/>
          <w:sz w:val="26"/>
          <w:szCs w:val="26"/>
        </w:rPr>
        <w:t xml:space="preserve">[2] Freeriding - </w:t>
      </w:r>
      <w:r w:rsidRPr="006D32A4">
        <w:rPr>
          <w:rFonts w:eastAsia="Times New Roman"/>
          <w:b/>
          <w:bCs/>
          <w:sz w:val="26"/>
          <w:szCs w:val="26"/>
        </w:rPr>
        <w:t>I</w:t>
      </w:r>
      <w:r>
        <w:rPr>
          <w:rFonts w:eastAsia="Times New Roman"/>
          <w:b/>
          <w:bCs/>
          <w:sz w:val="26"/>
          <w:szCs w:val="26"/>
        </w:rPr>
        <w:t xml:space="preserve">PP </w:t>
      </w:r>
      <w:r w:rsidRPr="006D32A4">
        <w:rPr>
          <w:rFonts w:eastAsia="Times New Roman"/>
          <w:b/>
          <w:bCs/>
          <w:sz w:val="26"/>
          <w:szCs w:val="26"/>
        </w:rPr>
        <w:t xml:space="preserve">is intrinsically good because </w:t>
      </w:r>
      <w:r>
        <w:rPr>
          <w:rFonts w:eastAsia="Times New Roman"/>
          <w:b/>
          <w:bCs/>
          <w:sz w:val="26"/>
          <w:szCs w:val="26"/>
        </w:rPr>
        <w:t xml:space="preserve">its intention is to oppose </w:t>
      </w:r>
      <w:proofErr w:type="spellStart"/>
      <w:r>
        <w:rPr>
          <w:rFonts w:eastAsia="Times New Roman"/>
          <w:b/>
          <w:bCs/>
          <w:sz w:val="26"/>
          <w:szCs w:val="26"/>
        </w:rPr>
        <w:t>nonuniversalizable</w:t>
      </w:r>
      <w:proofErr w:type="spellEnd"/>
      <w:r>
        <w:rPr>
          <w:rFonts w:eastAsia="Times New Roman"/>
          <w:b/>
          <w:bCs/>
          <w:sz w:val="26"/>
          <w:szCs w:val="26"/>
        </w:rPr>
        <w:t xml:space="preserve"> actions like freeriding and theft</w:t>
      </w:r>
    </w:p>
    <w:p w14:paraId="1E9A5EFC" w14:textId="77777777" w:rsidR="009E20E2" w:rsidRPr="00BC3C66" w:rsidRDefault="009E20E2" w:rsidP="009E20E2">
      <w:pPr>
        <w:spacing w:before="15" w:after="180" w:line="240" w:lineRule="auto"/>
        <w:rPr>
          <w:rFonts w:ascii="Times New Roman" w:eastAsia="Times New Roman" w:hAnsi="Times New Roman" w:cs="Times New Roman"/>
          <w:sz w:val="24"/>
        </w:rPr>
      </w:pPr>
      <w:r w:rsidRPr="006D32A4">
        <w:rPr>
          <w:rFonts w:eastAsia="Times New Roman"/>
          <w:b/>
          <w:bCs/>
          <w:sz w:val="26"/>
          <w:szCs w:val="26"/>
        </w:rPr>
        <w:t xml:space="preserve">Van Dyke </w:t>
      </w:r>
      <w:r>
        <w:rPr>
          <w:rFonts w:eastAsia="Times New Roman"/>
          <w:b/>
          <w:bCs/>
          <w:sz w:val="26"/>
          <w:szCs w:val="26"/>
        </w:rPr>
        <w:t xml:space="preserve">18 </w:t>
      </w:r>
      <w:r w:rsidRPr="006D32A4">
        <w:rPr>
          <w:rFonts w:ascii="Arial" w:eastAsia="Times New Roman" w:hAnsi="Arial" w:cs="Arial"/>
          <w:szCs w:val="22"/>
        </w:rPr>
        <w:t xml:space="preserve">(Raymond Van Dyke </w:t>
      </w:r>
      <w:proofErr w:type="gramStart"/>
      <w:r w:rsidRPr="006D32A4">
        <w:rPr>
          <w:rFonts w:ascii="Arial" w:eastAsia="Times New Roman" w:hAnsi="Arial" w:cs="Arial"/>
          <w:szCs w:val="22"/>
        </w:rPr>
        <w:t>and ,</w:t>
      </w:r>
      <w:proofErr w:type="gramEnd"/>
      <w:r w:rsidRPr="006D32A4">
        <w:rPr>
          <w:rFonts w:ascii="Arial" w:eastAsia="Times New Roman" w:hAnsi="Arial" w:cs="Arial"/>
          <w:szCs w:val="22"/>
        </w:rPr>
        <w:t xml:space="preserve"> </w:t>
      </w:r>
      <w:r>
        <w:rPr>
          <w:rFonts w:ascii="Arial" w:eastAsia="Times New Roman" w:hAnsi="Arial" w:cs="Arial"/>
          <w:szCs w:val="22"/>
        </w:rPr>
        <w:t>7-17-2018</w:t>
      </w:r>
      <w:r w:rsidRPr="006D32A4">
        <w:rPr>
          <w:rFonts w:ascii="Arial" w:eastAsia="Times New Roman" w:hAnsi="Arial" w:cs="Arial"/>
          <w:szCs w:val="22"/>
        </w:rPr>
        <w:t>, "The Categorical Imperative for Innovation and Patenting", https://www.ipwatchdog.com/2018/07/17/categorical-imperative-innovation-patenting/id=99178/ )</w:t>
      </w:r>
      <w:r>
        <w:t xml:space="preserve"> BHHS AK</w:t>
      </w:r>
    </w:p>
    <w:p w14:paraId="233AB933" w14:textId="77777777" w:rsidR="009E20E2" w:rsidRPr="006D32A4" w:rsidRDefault="009E20E2" w:rsidP="009E20E2">
      <w:pPr>
        <w:rPr>
          <w:rStyle w:val="StyleUnderline"/>
        </w:rPr>
      </w:pPr>
      <w:r w:rsidRPr="00F6633D">
        <w:rPr>
          <w:sz w:val="16"/>
        </w:rPr>
        <w:t xml:space="preserve">As we shall see, applying Kantian logic entails first acknowledging some basic principles; </w:t>
      </w:r>
      <w:r w:rsidRPr="006D32A4">
        <w:rPr>
          <w:rStyle w:val="StyleUnderline"/>
        </w:rPr>
        <w:t xml:space="preserve">that the </w:t>
      </w:r>
      <w:r w:rsidRPr="006D32A4">
        <w:rPr>
          <w:rStyle w:val="StyleUnderline"/>
          <w:highlight w:val="green"/>
        </w:rPr>
        <w:t>people have a right to express themselves</w:t>
      </w:r>
      <w:r w:rsidRPr="006D32A4">
        <w:rPr>
          <w:rStyle w:val="StyleUnderline"/>
        </w:rPr>
        <w:t xml:space="preserve">, that </w:t>
      </w:r>
      <w:r w:rsidRPr="006D32A4">
        <w:rPr>
          <w:rStyle w:val="StyleUnderline"/>
          <w:highlight w:val="green"/>
        </w:rPr>
        <w:t>that expression</w:t>
      </w:r>
      <w:r w:rsidRPr="006D32A4">
        <w:rPr>
          <w:rStyle w:val="StyleUnderline"/>
        </w:rPr>
        <w:t xml:space="preserve"> (the fruits of their labor) </w:t>
      </w:r>
      <w:r w:rsidRPr="006D32A4">
        <w:rPr>
          <w:rStyle w:val="StyleUnderline"/>
          <w:highlight w:val="green"/>
        </w:rPr>
        <w:t>has value and is theirs</w:t>
      </w:r>
      <w:r w:rsidRPr="006D32A4">
        <w:rPr>
          <w:rStyle w:val="StyleUnderline"/>
        </w:rPr>
        <w:t xml:space="preserve"> (unless consent is given otherwise), </w:t>
      </w:r>
      <w:r w:rsidRPr="006D32A4">
        <w:rPr>
          <w:rStyle w:val="StyleUnderline"/>
          <w:highlight w:val="green"/>
        </w:rPr>
        <w:t>and that government is obligated to protect</w:t>
      </w:r>
      <w:r w:rsidRPr="006D32A4">
        <w:rPr>
          <w:rStyle w:val="StyleUnderline"/>
        </w:rPr>
        <w:t xml:space="preserve"> people and their property.</w:t>
      </w:r>
      <w:r>
        <w:rPr>
          <w:rStyle w:val="StyleUnderline"/>
        </w:rPr>
        <w:t xml:space="preserve"> </w:t>
      </w:r>
      <w:r w:rsidRPr="006D32A4">
        <w:rPr>
          <w:rStyle w:val="StyleUnderline"/>
        </w:rPr>
        <w:t>Thus, an inventor or creator has a right in their own creation, which cannot be taken from them without their consent.</w:t>
      </w:r>
      <w:r>
        <w:rPr>
          <w:rStyle w:val="StyleUnderline"/>
        </w:rPr>
        <w:t xml:space="preserve"> </w:t>
      </w:r>
      <w:r w:rsidRPr="00F6633D">
        <w:rPr>
          <w:sz w:val="1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t>
      </w:r>
      <w:r w:rsidRPr="006D32A4">
        <w:rPr>
          <w:rStyle w:val="StyleUnderline"/>
        </w:rPr>
        <w:t xml:space="preserve">Whether a child, a book or a prototype, </w:t>
      </w:r>
      <w:r w:rsidRPr="006D32A4">
        <w:rPr>
          <w:rStyle w:val="StyleUnderline"/>
          <w:highlight w:val="green"/>
        </w:rPr>
        <w:t>creations of all sorts should be protected</w:t>
      </w:r>
      <w:r w:rsidRPr="006D32A4">
        <w:rPr>
          <w:rStyle w:val="StyleUnderline"/>
        </w:rPr>
        <w:t>, and this CI stands.</w:t>
      </w:r>
      <w:r>
        <w:rPr>
          <w:rStyle w:val="StyleUnderline"/>
        </w:rPr>
        <w:t xml:space="preserve"> </w:t>
      </w:r>
      <w:r w:rsidRPr="006D32A4">
        <w:rPr>
          <w:rStyle w:val="StyleUnderline"/>
        </w:rPr>
        <w:t>This result also dovetails with the purpose of government: to protect the people and their possessions by providing laws to that effect, whether for the protection of tangible or intangible things.</w:t>
      </w:r>
      <w:r>
        <w:rPr>
          <w:rStyle w:val="StyleUnderline"/>
        </w:rPr>
        <w:t xml:space="preserve"> </w:t>
      </w:r>
      <w:r w:rsidRPr="00F6633D">
        <w:rPr>
          <w:sz w:val="16"/>
        </w:rPr>
        <w:t xml:space="preserve">However, </w:t>
      </w:r>
      <w:r w:rsidRPr="006D32A4">
        <w:rPr>
          <w:rStyle w:val="StyleUnderline"/>
          <w:highlight w:val="green"/>
        </w:rPr>
        <w:t>a contrary proposal</w:t>
      </w:r>
      <w:r w:rsidRPr="00F6633D">
        <w:rPr>
          <w:sz w:val="16"/>
        </w:rPr>
        <w:t xml:space="preserve"> can be postulated: everyone should be able to use the creations of another without charge. Can this Statement rise to the level of a CI? This proposal, upon analysis </w:t>
      </w:r>
      <w:r w:rsidRPr="0069028B">
        <w:rPr>
          <w:rStyle w:val="StyleUnderline"/>
          <w:szCs w:val="22"/>
          <w:highlight w:val="green"/>
        </w:rPr>
        <w:t>would</w:t>
      </w:r>
      <w:r w:rsidRPr="0069028B">
        <w:rPr>
          <w:rStyle w:val="StyleUnderline"/>
          <w:sz w:val="12"/>
          <w:szCs w:val="12"/>
          <w:u w:val="none"/>
        </w:rPr>
        <w:t xml:space="preserve"> also lead to chaos</w:t>
      </w:r>
      <w:r w:rsidRPr="0069028B">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w:t>
      </w:r>
      <w:r w:rsidRPr="0069028B">
        <w:rPr>
          <w:rStyle w:val="StyleUnderline"/>
        </w:rPr>
        <w:t>and</w:t>
      </w:r>
      <w:r w:rsidRPr="0069028B">
        <w:rPr>
          <w:sz w:val="16"/>
        </w:rPr>
        <w:t xml:space="preserve"> copyright</w:t>
      </w:r>
      <w:r w:rsidRPr="00F6633D">
        <w:rPr>
          <w:sz w:val="16"/>
        </w:rPr>
        <w:t xml:space="preserve"> systems, which promotes dissemination. By </w:t>
      </w:r>
      <w:r w:rsidRPr="006D32A4">
        <w:rPr>
          <w:rStyle w:val="StyleUnderline"/>
          <w:highlight w:val="green"/>
        </w:rPr>
        <w:t>allow</w:t>
      </w:r>
      <w:r w:rsidRPr="006D32A4">
        <w:rPr>
          <w:rStyle w:val="StyleUnderline"/>
        </w:rPr>
        <w:t xml:space="preserve">ing </w:t>
      </w:r>
      <w:r w:rsidRPr="00F6633D">
        <w:rPr>
          <w:rStyle w:val="StyleUnderline"/>
          <w:highlight w:val="green"/>
        </w:rPr>
        <w:t>f</w:t>
      </w:r>
      <w:r w:rsidRPr="006D32A4">
        <w:rPr>
          <w:rStyle w:val="StyleUnderline"/>
          <w:highlight w:val="green"/>
        </w:rPr>
        <w:t>reeriding</w:t>
      </w:r>
      <w:r w:rsidRPr="00F6633D">
        <w:rPr>
          <w:sz w:val="16"/>
        </w:rPr>
        <w:t xml:space="preserve">, innovation and creativity would be thwarted (or at least not encouraged) and trade secret protection would become the mainstay for society with the heightened distrust. Also, allowing the free taking of ideas, </w:t>
      </w:r>
      <w:proofErr w:type="gramStart"/>
      <w:r w:rsidRPr="00F6633D">
        <w:rPr>
          <w:sz w:val="16"/>
        </w:rPr>
        <w:t>content</w:t>
      </w:r>
      <w:proofErr w:type="gramEnd"/>
      <w:r w:rsidRPr="00F6633D">
        <w:rPr>
          <w:sz w:val="16"/>
        </w:rPr>
        <w:t xml:space="preserve">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w:t>
      </w:r>
      <w:r w:rsidRPr="006D32A4">
        <w:rPr>
          <w:rStyle w:val="StyleUnderline"/>
        </w:rPr>
        <w:t xml:space="preserve">It is, accordingly, manifestly clear that </w:t>
      </w:r>
      <w:r w:rsidRPr="006D32A4">
        <w:rPr>
          <w:rStyle w:val="StyleUnderline"/>
          <w:highlight w:val="green"/>
        </w:rPr>
        <w:t>no reasonable</w:t>
      </w:r>
      <w:r w:rsidRPr="006D32A4">
        <w:rPr>
          <w:rStyle w:val="StyleUnderline"/>
        </w:rPr>
        <w:t xml:space="preserve"> and supportable Categorical </w:t>
      </w:r>
      <w:r w:rsidRPr="006D32A4">
        <w:rPr>
          <w:rStyle w:val="StyleUnderline"/>
          <w:highlight w:val="green"/>
        </w:rPr>
        <w:t>Imperative can be made for</w:t>
      </w:r>
      <w:r w:rsidRPr="006D32A4">
        <w:rPr>
          <w:rStyle w:val="StyleUnderline"/>
        </w:rPr>
        <w:t xml:space="preserve"> the unwarranted </w:t>
      </w:r>
      <w:r w:rsidRPr="006D32A4">
        <w:rPr>
          <w:rStyle w:val="StyleUnderline"/>
          <w:highlight w:val="green"/>
        </w:rPr>
        <w:t>theft</w:t>
      </w:r>
      <w:r w:rsidRPr="006D32A4">
        <w:rPr>
          <w:rStyle w:val="StyleUnderline"/>
        </w:rPr>
        <w:t xml:space="preserve"> of property, </w:t>
      </w:r>
      <w:r w:rsidRPr="006D32A4">
        <w:rPr>
          <w:rStyle w:val="StyleUnderline"/>
          <w:highlight w:val="green"/>
        </w:rPr>
        <w:t>whether tangible or intangible</w:t>
      </w:r>
      <w:r w:rsidRPr="006D32A4">
        <w:rPr>
          <w:rStyle w:val="StyleUnderline"/>
        </w:rPr>
        <w:t>, apart from legitimate exigencies.</w:t>
      </w:r>
    </w:p>
    <w:p w14:paraId="1EDF903A" w14:textId="77777777" w:rsidR="009E20E2" w:rsidRDefault="009E20E2" w:rsidP="009E20E2"/>
    <w:p w14:paraId="01ACCB7A" w14:textId="77777777" w:rsidR="009E20E2" w:rsidRDefault="009E20E2" w:rsidP="009E20E2"/>
    <w:p w14:paraId="5D06C8F5" w14:textId="77777777" w:rsidR="009E20E2" w:rsidRDefault="009E20E2" w:rsidP="009E20E2">
      <w:pPr>
        <w:pStyle w:val="Heading4"/>
      </w:pPr>
      <w:r>
        <w:t xml:space="preserve">[3] No </w:t>
      </w:r>
      <w:proofErr w:type="spellStart"/>
      <w:r>
        <w:t>aff</w:t>
      </w:r>
      <w:proofErr w:type="spellEnd"/>
      <w:r>
        <w:t xml:space="preserve"> offense IP is considered a form of property under the </w:t>
      </w:r>
      <w:proofErr w:type="spellStart"/>
      <w:r>
        <w:t>fw</w:t>
      </w:r>
      <w:proofErr w:type="spellEnd"/>
    </w:p>
    <w:p w14:paraId="68583D57" w14:textId="77777777" w:rsidR="009E20E2" w:rsidRPr="00BB2836" w:rsidRDefault="009E20E2" w:rsidP="009E20E2">
      <w:pPr>
        <w:rPr>
          <w:b/>
          <w:sz w:val="26"/>
        </w:rPr>
      </w:pPr>
      <w:r w:rsidRPr="00995529">
        <w:rPr>
          <w:rStyle w:val="Style13ptBold"/>
        </w:rPr>
        <w:t>Pozzo 06</w:t>
      </w:r>
      <w:r>
        <w:rPr>
          <w:rStyle w:val="Style13ptBold"/>
        </w:rPr>
        <w:t xml:space="preserve"> (</w:t>
      </w:r>
      <w:r w:rsidRPr="00995529">
        <w:t xml:space="preserve">POZZO, R. Immanuel Kant </w:t>
      </w:r>
      <w:proofErr w:type="spellStart"/>
      <w:r w:rsidRPr="00995529">
        <w:t>sobre</w:t>
      </w:r>
      <w:proofErr w:type="spellEnd"/>
      <w:r w:rsidRPr="00995529">
        <w:t xml:space="preserve"> </w:t>
      </w:r>
      <w:proofErr w:type="spellStart"/>
      <w:r w:rsidRPr="00995529">
        <w:t>propriedade</w:t>
      </w:r>
      <w:proofErr w:type="spellEnd"/>
      <w:r w:rsidRPr="00995529">
        <w:t xml:space="preserve"> </w:t>
      </w:r>
      <w:proofErr w:type="spellStart"/>
      <w:r w:rsidRPr="00995529">
        <w:t>intelectual</w:t>
      </w:r>
      <w:proofErr w:type="spellEnd"/>
      <w:r w:rsidRPr="00995529">
        <w:t>. Trans/Form/</w:t>
      </w:r>
      <w:proofErr w:type="spellStart"/>
      <w:r w:rsidRPr="00995529">
        <w:t>Ação</w:t>
      </w:r>
      <w:proofErr w:type="spellEnd"/>
      <w:r w:rsidRPr="00995529">
        <w:t>, (São</w:t>
      </w:r>
      <w:r>
        <w:t xml:space="preserve"> </w:t>
      </w:r>
      <w:r w:rsidRPr="00995529">
        <w:t>Paulo), v.29(2), 2006, p.11-18.</w:t>
      </w:r>
      <w:r>
        <w:t>)</w:t>
      </w:r>
    </w:p>
    <w:p w14:paraId="1C361763" w14:textId="77777777" w:rsidR="009E20E2" w:rsidRPr="00995529" w:rsidRDefault="009E20E2" w:rsidP="009E20E2">
      <w:pPr>
        <w:rPr>
          <w:sz w:val="14"/>
        </w:rPr>
      </w:pPr>
      <w:r w:rsidRPr="00995529">
        <w:rPr>
          <w:sz w:val="14"/>
        </w:rPr>
        <w:lastRenderedPageBreak/>
        <w:t xml:space="preserve">The peculiarity of </w:t>
      </w:r>
      <w:r w:rsidRPr="00995529">
        <w:rPr>
          <w:b/>
          <w:bCs/>
          <w:highlight w:val="green"/>
          <w:u w:val="single"/>
        </w:rPr>
        <w:t>intellectual property</w:t>
      </w:r>
      <w:r w:rsidRPr="00995529">
        <w:rPr>
          <w:sz w:val="14"/>
          <w:highlight w:val="green"/>
        </w:rPr>
        <w:t xml:space="preserve"> </w:t>
      </w:r>
      <w:r w:rsidRPr="00995529">
        <w:rPr>
          <w:sz w:val="14"/>
        </w:rPr>
        <w:t>cons</w:t>
      </w:r>
      <w:r w:rsidRPr="00995529">
        <w:rPr>
          <w:b/>
          <w:bCs/>
          <w:highlight w:val="green"/>
          <w:u w:val="single"/>
        </w:rPr>
        <w:t>is</w:t>
      </w:r>
      <w:r w:rsidRPr="00995529">
        <w:rPr>
          <w:sz w:val="14"/>
        </w:rPr>
        <w:t xml:space="preserve">ts thus first in being indeed a property, but </w:t>
      </w:r>
      <w:r w:rsidRPr="00995529">
        <w:rPr>
          <w:b/>
          <w:bCs/>
          <w:highlight w:val="green"/>
          <w:u w:val="single"/>
        </w:rPr>
        <w:t>property of an action</w:t>
      </w:r>
      <w:r w:rsidRPr="00995529">
        <w:rPr>
          <w:sz w:val="14"/>
        </w:rPr>
        <w:t xml:space="preserve">; and second in being indeed </w:t>
      </w:r>
      <w:r w:rsidRPr="00995529">
        <w:rPr>
          <w:b/>
          <w:bCs/>
          <w:highlight w:val="green"/>
          <w:u w:val="single"/>
        </w:rPr>
        <w:t>inalienable</w:t>
      </w:r>
      <w:r w:rsidRPr="00995529">
        <w:rPr>
          <w:sz w:val="14"/>
        </w:rPr>
        <w:t xml:space="preserve">, but also transferable in commission and license to a publisher. </w:t>
      </w:r>
      <w:r w:rsidRPr="00995529">
        <w:rPr>
          <w:b/>
          <w:bCs/>
          <w:highlight w:val="green"/>
          <w:u w:val="single"/>
        </w:rPr>
        <w:t>The bond</w:t>
      </w:r>
      <w:r w:rsidRPr="00995529">
        <w:rPr>
          <w:sz w:val="14"/>
          <w:highlight w:val="green"/>
        </w:rPr>
        <w:t xml:space="preserve"> </w:t>
      </w:r>
      <w:r w:rsidRPr="00995529">
        <w:rPr>
          <w:b/>
          <w:bCs/>
          <w:highlight w:val="green"/>
          <w:u w:val="single"/>
        </w:rPr>
        <w:t>the author has</w:t>
      </w:r>
      <w:r w:rsidRPr="00995529">
        <w:rPr>
          <w:sz w:val="14"/>
          <w:highlight w:val="green"/>
        </w:rPr>
        <w:t xml:space="preserve"> </w:t>
      </w:r>
      <w:r w:rsidRPr="00995529">
        <w:rPr>
          <w:b/>
          <w:bCs/>
          <w:highlight w:val="green"/>
          <w:u w:val="single"/>
        </w:rPr>
        <w:t>on</w:t>
      </w:r>
      <w:r w:rsidRPr="00995529">
        <w:rPr>
          <w:sz w:val="14"/>
        </w:rPr>
        <w:t xml:space="preserve"> his </w:t>
      </w:r>
      <w:r w:rsidRPr="00995529">
        <w:rPr>
          <w:b/>
          <w:bCs/>
          <w:highlight w:val="green"/>
          <w:u w:val="single"/>
        </w:rPr>
        <w:t>work confers</w:t>
      </w:r>
      <w:r w:rsidRPr="00995529">
        <w:rPr>
          <w:sz w:val="14"/>
          <w:highlight w:val="green"/>
        </w:rPr>
        <w:t xml:space="preserve"> </w:t>
      </w:r>
      <w:r w:rsidRPr="00995529">
        <w:rPr>
          <w:sz w:val="14"/>
        </w:rPr>
        <w:t xml:space="preserve">him </w:t>
      </w:r>
      <w:r w:rsidRPr="00995529">
        <w:rPr>
          <w:b/>
          <w:bCs/>
          <w:highlight w:val="green"/>
          <w:u w:val="single"/>
        </w:rPr>
        <w:t>a moral</w:t>
      </w:r>
      <w:r w:rsidRPr="00995529">
        <w:rPr>
          <w:sz w:val="14"/>
          <w:highlight w:val="green"/>
        </w:rPr>
        <w:t xml:space="preserve"> </w:t>
      </w:r>
      <w:r w:rsidRPr="00995529">
        <w:rPr>
          <w:sz w:val="14"/>
        </w:rPr>
        <w:t xml:space="preserve">right that is indeed a </w:t>
      </w:r>
      <w:r w:rsidRPr="00995529">
        <w:rPr>
          <w:b/>
          <w:bCs/>
          <w:highlight w:val="green"/>
          <w:u w:val="single"/>
        </w:rPr>
        <w:t>personal right</w:t>
      </w:r>
      <w:r w:rsidRPr="00995529">
        <w:rPr>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sidRPr="00995529">
        <w:rPr>
          <w:sz w:val="14"/>
        </w:rPr>
        <w:t>Reimarus</w:t>
      </w:r>
      <w:proofErr w:type="spellEnd"/>
      <w:r w:rsidRPr="00995529">
        <w:rPr>
          <w:sz w:val="14"/>
        </w:rPr>
        <w:t xml:space="preserve"> asked writers “instead of writing for the aristocracy, to write for the tiers </w:t>
      </w:r>
      <w:proofErr w:type="spellStart"/>
      <w:r w:rsidRPr="00995529">
        <w:rPr>
          <w:sz w:val="14"/>
        </w:rPr>
        <w:t>état</w:t>
      </w:r>
      <w:proofErr w:type="spellEnd"/>
      <w:r w:rsidRPr="00995529">
        <w:rPr>
          <w:sz w:val="14"/>
        </w:rPr>
        <w:t xml:space="preserve"> of the reader’s world.” (</w:t>
      </w:r>
      <w:proofErr w:type="spellStart"/>
      <w:r w:rsidRPr="00995529">
        <w:rPr>
          <w:sz w:val="14"/>
        </w:rPr>
        <w:t>Reimarus</w:t>
      </w:r>
      <w:proofErr w:type="spellEnd"/>
      <w:r w:rsidRPr="00995529">
        <w:rPr>
          <w:sz w:val="14"/>
        </w:rPr>
        <w:t xml:space="preserve">, 1791b, p.595). He saluted with enthusiasm the claim of disenfranchising from the monopoly of English publishers expressed in the American Act for the Encouragement of Learning of May 31, 1790. </w:t>
      </w:r>
      <w:r w:rsidRPr="00995529">
        <w:rPr>
          <w:b/>
          <w:bCs/>
          <w:highlight w:val="green"/>
          <w:u w:val="single"/>
        </w:rPr>
        <w:t>Kant</w:t>
      </w:r>
      <w:r w:rsidRPr="00995529">
        <w:rPr>
          <w:sz w:val="14"/>
        </w:rPr>
        <w:t xml:space="preserve">, however, </w:t>
      </w:r>
      <w:r w:rsidRPr="00995529">
        <w:rPr>
          <w:b/>
          <w:bCs/>
          <w:highlight w:val="green"/>
          <w:u w:val="single"/>
        </w:rPr>
        <w:t>was firm in embracing intellectual property</w:t>
      </w:r>
      <w:r w:rsidRPr="00995529">
        <w:rPr>
          <w:sz w:val="14"/>
        </w:rPr>
        <w:t xml:space="preserve">. Referring himself to Roman Law, he asked for its legislative formulation not only as patrimonial right, but also as a personal right. In Of the </w:t>
      </w:r>
      <w:proofErr w:type="spellStart"/>
      <w:r w:rsidRPr="00995529">
        <w:rPr>
          <w:sz w:val="14"/>
        </w:rPr>
        <w:t>Illegitimity</w:t>
      </w:r>
      <w:proofErr w:type="spellEnd"/>
      <w:r w:rsidRPr="00995529">
        <w:rPr>
          <w:sz w:val="14"/>
        </w:rPr>
        <w:t xml:space="preserve"> of Pirate Publishing, he considered the moral faculties related to </w:t>
      </w:r>
      <w:r w:rsidRPr="00995529">
        <w:rPr>
          <w:b/>
          <w:bCs/>
          <w:highlight w:val="green"/>
          <w:u w:val="single"/>
        </w:rPr>
        <w:t xml:space="preserve">intellectual property as </w:t>
      </w:r>
      <w:r w:rsidRPr="00995529">
        <w:rPr>
          <w:sz w:val="14"/>
        </w:rPr>
        <w:t>an “</w:t>
      </w:r>
      <w:r w:rsidRPr="00995529">
        <w:rPr>
          <w:b/>
          <w:bCs/>
          <w:highlight w:val="green"/>
          <w:u w:val="single"/>
        </w:rPr>
        <w:t xml:space="preserve">inalienable right </w:t>
      </w:r>
      <w:r w:rsidRPr="00995529">
        <w:rPr>
          <w:sz w:val="14"/>
        </w:rPr>
        <w:t>(</w:t>
      </w:r>
      <w:proofErr w:type="spellStart"/>
      <w:r w:rsidRPr="00995529">
        <w:rPr>
          <w:sz w:val="14"/>
        </w:rPr>
        <w:t>ius</w:t>
      </w:r>
      <w:proofErr w:type="spellEnd"/>
      <w:r w:rsidRPr="00995529">
        <w:rPr>
          <w:sz w:val="14"/>
        </w:rPr>
        <w:t xml:space="preserve"> </w:t>
      </w:r>
      <w:proofErr w:type="spellStart"/>
      <w:r w:rsidRPr="00995529">
        <w:rPr>
          <w:sz w:val="14"/>
        </w:rPr>
        <w:t>personalissimum</w:t>
      </w:r>
      <w:proofErr w:type="spellEnd"/>
      <w:r w:rsidRPr="00995529">
        <w:rPr>
          <w:sz w:val="14"/>
        </w:rPr>
        <w:t xml:space="preserve">) always himself to speak through anyone else, the right, that is, that </w:t>
      </w:r>
      <w:r w:rsidRPr="00995529">
        <w:rPr>
          <w:b/>
          <w:bCs/>
          <w:highlight w:val="green"/>
          <w:u w:val="single"/>
        </w:rPr>
        <w:t xml:space="preserve">no one may deliver the same speech to the public other than in his </w:t>
      </w:r>
      <w:r w:rsidRPr="00995529">
        <w:rPr>
          <w:sz w:val="14"/>
        </w:rPr>
        <w:t xml:space="preserve">(the author’s) </w:t>
      </w:r>
      <w:r w:rsidRPr="00995529">
        <w:rPr>
          <w:b/>
          <w:bCs/>
          <w:highlight w:val="green"/>
          <w:u w:val="single"/>
        </w:rPr>
        <w:t>name</w:t>
      </w:r>
      <w:r w:rsidRPr="00995529">
        <w:rPr>
          <w:sz w:val="14"/>
        </w:rPr>
        <w:t xml:space="preserve">” (Kant, 1902, t.8, p.85). Fichte went farther in the Demonstration of the </w:t>
      </w:r>
      <w:proofErr w:type="spellStart"/>
      <w:r w:rsidRPr="00995529">
        <w:rPr>
          <w:sz w:val="14"/>
        </w:rPr>
        <w:t>Illegitimity</w:t>
      </w:r>
      <w:proofErr w:type="spellEnd"/>
      <w:r w:rsidRPr="00995529">
        <w:rPr>
          <w:sz w:val="14"/>
        </w:rPr>
        <w:t xml:space="preserve"> of Pirate Publishing. He saw </w:t>
      </w:r>
      <w:r w:rsidRPr="00995529">
        <w:rPr>
          <w:b/>
          <w:bCs/>
          <w:highlight w:val="green"/>
          <w:u w:val="single"/>
        </w:rPr>
        <w:t>intellectual property</w:t>
      </w:r>
      <w:r w:rsidRPr="00995529">
        <w:rPr>
          <w:sz w:val="14"/>
        </w:rPr>
        <w:t xml:space="preserve"> as a </w:t>
      </w:r>
      <w:r w:rsidRPr="00995529">
        <w:rPr>
          <w:b/>
          <w:bCs/>
          <w:highlight w:val="green"/>
          <w:u w:val="single"/>
        </w:rPr>
        <w:t>part of</w:t>
      </w:r>
      <w:r w:rsidRPr="00995529">
        <w:rPr>
          <w:sz w:val="14"/>
          <w:highlight w:val="green"/>
        </w:rPr>
        <w:t xml:space="preserve"> </w:t>
      </w:r>
      <w:r w:rsidRPr="00995529">
        <w:rPr>
          <w:sz w:val="14"/>
        </w:rPr>
        <w:t xml:space="preserve">his </w:t>
      </w:r>
      <w:r w:rsidRPr="00995529">
        <w:rPr>
          <w:b/>
          <w:bCs/>
          <w:highlight w:val="green"/>
          <w:u w:val="single"/>
        </w:rPr>
        <w:t>metaphysical construction of intellectual activity</w:t>
      </w:r>
      <w:r w:rsidRPr="00995529">
        <w:rPr>
          <w:sz w:val="14"/>
        </w:rPr>
        <w:t xml:space="preserve">,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w:t>
      </w:r>
      <w:proofErr w:type="gramStart"/>
      <w:r w:rsidRPr="00995529">
        <w:rPr>
          <w:sz w:val="14"/>
        </w:rPr>
        <w:t>missing:</w:t>
      </w:r>
      <w:proofErr w:type="gramEnd"/>
      <w:r w:rsidRPr="00995529">
        <w:rPr>
          <w:sz w:val="14"/>
        </w:rPr>
        <w:t xml:space="preserve"> we must read the book, meditate – provided it is not completely trivial – on its content, consider it under different aspects and eventually accept it within our connections of ideas” (Fichte, 1964, </w:t>
      </w:r>
      <w:proofErr w:type="spellStart"/>
      <w:r w:rsidRPr="00995529">
        <w:rPr>
          <w:sz w:val="14"/>
        </w:rPr>
        <w:t>t.I</w:t>
      </w:r>
      <w:proofErr w:type="spellEnd"/>
      <w:r w:rsidRPr="00995529">
        <w:rPr>
          <w:sz w:val="14"/>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w:t>
      </w:r>
      <w:proofErr w:type="gramStart"/>
      <w:r w:rsidRPr="00995529">
        <w:rPr>
          <w:sz w:val="14"/>
        </w:rPr>
        <w:t>In particular, Fichte</w:t>
      </w:r>
      <w:proofErr w:type="gramEnd"/>
      <w:r w:rsidRPr="00995529">
        <w:rPr>
          <w:sz w:val="14"/>
        </w:rPr>
        <w:t xml:space="preserve"> declared the absolute primacy of the moral faculties within the corpus </w:t>
      </w:r>
      <w:proofErr w:type="spellStart"/>
      <w:r w:rsidRPr="00995529">
        <w:rPr>
          <w:sz w:val="14"/>
        </w:rPr>
        <w:t>mysticum</w:t>
      </w:r>
      <w:proofErr w:type="spellEnd"/>
      <w:r w:rsidRPr="00995529">
        <w:rPr>
          <w:sz w:val="14"/>
        </w:rPr>
        <w:t>. He divided the latter into a formal and a material part. “</w:t>
      </w:r>
      <w:r w:rsidRPr="00995529">
        <w:rPr>
          <w:b/>
          <w:bCs/>
          <w:highlight w:val="green"/>
          <w:u w:val="single"/>
        </w:rPr>
        <w:t>This intellectual element</w:t>
      </w:r>
      <w:r w:rsidRPr="00995529">
        <w:rPr>
          <w:sz w:val="14"/>
          <w:highlight w:val="green"/>
        </w:rPr>
        <w:t xml:space="preserve"> </w:t>
      </w:r>
      <w:r w:rsidRPr="00995529">
        <w:rPr>
          <w:sz w:val="14"/>
        </w:rPr>
        <w:t xml:space="preserve">must be divided anew into what is material, the content of the book, the thoughts it presents; and the form of these thoughts, the manner in which, the connection </w:t>
      </w:r>
      <w:r w:rsidRPr="00995529">
        <w:rPr>
          <w:b/>
          <w:bCs/>
          <w:highlight w:val="green"/>
          <w:u w:val="single"/>
        </w:rPr>
        <w:t>in which</w:t>
      </w:r>
      <w:r w:rsidRPr="00995529">
        <w:rPr>
          <w:sz w:val="14"/>
        </w:rPr>
        <w:t xml:space="preserve">, the formulations and the words by means of which the book presents them” (Fichte, 1964, </w:t>
      </w:r>
      <w:proofErr w:type="spellStart"/>
      <w:r w:rsidRPr="00995529">
        <w:rPr>
          <w:sz w:val="14"/>
        </w:rPr>
        <w:t>t.I</w:t>
      </w:r>
      <w:proofErr w:type="spellEnd"/>
      <w:r w:rsidRPr="00995529">
        <w:rPr>
          <w:sz w:val="14"/>
        </w:rPr>
        <w:t xml:space="preserve">/1, p.411). Fichte’s underlining the </w:t>
      </w:r>
      <w:r w:rsidRPr="00995529">
        <w:rPr>
          <w:b/>
          <w:bCs/>
          <w:highlight w:val="green"/>
          <w:u w:val="single"/>
        </w:rPr>
        <w:t>author’s exclusive right</w:t>
      </w:r>
      <w:r w:rsidRPr="00995529">
        <w:rPr>
          <w:sz w:val="14"/>
          <w:highlight w:val="green"/>
        </w:rPr>
        <w:t xml:space="preserve"> </w:t>
      </w:r>
      <w:r w:rsidRPr="00995529">
        <w:rPr>
          <w:sz w:val="14"/>
        </w:rPr>
        <w:t xml:space="preserve">to the intellectual content of his book – “the appropriation of which </w:t>
      </w:r>
      <w:r w:rsidRPr="00995529">
        <w:rPr>
          <w:b/>
          <w:bCs/>
          <w:highlight w:val="green"/>
          <w:u w:val="single"/>
        </w:rPr>
        <w:t>through another is physically impossible</w:t>
      </w:r>
      <w:r w:rsidRPr="00995529">
        <w:rPr>
          <w:sz w:val="14"/>
        </w:rPr>
        <w:t>” (ibid.) – brought him to the extreme of prohibiting any form of copy that is not meant for personal use.</w:t>
      </w:r>
    </w:p>
    <w:p w14:paraId="413C2514" w14:textId="77777777" w:rsidR="009E20E2" w:rsidRPr="009E20E2" w:rsidRDefault="009E20E2" w:rsidP="009E20E2"/>
    <w:sectPr w:rsidR="009E20E2" w:rsidRPr="009E20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20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46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91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67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0E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5E6AD"/>
  <w14:defaultImageDpi w14:val="300"/>
  <w15:docId w15:val="{576B2582-23F7-5345-9845-0B983B49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20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20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20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20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E20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20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0E2"/>
  </w:style>
  <w:style w:type="character" w:customStyle="1" w:styleId="Heading1Char">
    <w:name w:val="Heading 1 Char"/>
    <w:aliases w:val="Pocket Char"/>
    <w:basedOn w:val="DefaultParagraphFont"/>
    <w:link w:val="Heading1"/>
    <w:uiPriority w:val="9"/>
    <w:rsid w:val="009E20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20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20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9E20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20E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9E20E2"/>
    <w:rPr>
      <w:b w:val="0"/>
      <w:sz w:val="22"/>
      <w:u w:val="single"/>
    </w:rPr>
  </w:style>
  <w:style w:type="character" w:styleId="Emphasis">
    <w:name w:val="Emphasis"/>
    <w:basedOn w:val="DefaultParagraphFont"/>
    <w:uiPriority w:val="7"/>
    <w:qFormat/>
    <w:rsid w:val="009E20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20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E20E2"/>
    <w:rPr>
      <w:color w:val="auto"/>
      <w:u w:val="none"/>
    </w:rPr>
  </w:style>
  <w:style w:type="paragraph" w:styleId="DocumentMap">
    <w:name w:val="Document Map"/>
    <w:basedOn w:val="Normal"/>
    <w:link w:val="DocumentMapChar"/>
    <w:uiPriority w:val="99"/>
    <w:semiHidden/>
    <w:unhideWhenUsed/>
    <w:rsid w:val="009E20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20E2"/>
    <w:rPr>
      <w:rFonts w:ascii="Lucida Grande" w:hAnsi="Lucida Grande" w:cs="Lucida Grand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9E20E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12978">
      <w:bodyDiv w:val="1"/>
      <w:marLeft w:val="0"/>
      <w:marRight w:val="0"/>
      <w:marTop w:val="0"/>
      <w:marBottom w:val="0"/>
      <w:divBdr>
        <w:top w:val="none" w:sz="0" w:space="0" w:color="auto"/>
        <w:left w:val="none" w:sz="0" w:space="0" w:color="auto"/>
        <w:bottom w:val="none" w:sz="0" w:space="0" w:color="auto"/>
        <w:right w:val="none" w:sz="0" w:space="0" w:color="auto"/>
      </w:divBdr>
    </w:div>
    <w:div w:id="1210993475">
      <w:bodyDiv w:val="1"/>
      <w:marLeft w:val="0"/>
      <w:marRight w:val="0"/>
      <w:marTop w:val="0"/>
      <w:marBottom w:val="0"/>
      <w:divBdr>
        <w:top w:val="none" w:sz="0" w:space="0" w:color="auto"/>
        <w:left w:val="none" w:sz="0" w:space="0" w:color="auto"/>
        <w:bottom w:val="none" w:sz="0" w:space="0" w:color="auto"/>
        <w:right w:val="none" w:sz="0" w:space="0" w:color="auto"/>
      </w:divBdr>
    </w:div>
    <w:div w:id="20841342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7</Pages>
  <Words>2552</Words>
  <Characters>14548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2021-09-12T03:14:00Z</dcterms:created>
  <dcterms:modified xsi:type="dcterms:W3CDTF">2021-09-12T04:06:00Z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