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BDCF" w14:textId="77777777" w:rsidR="008E4CFF" w:rsidRPr="008E4CFF" w:rsidRDefault="008E4CFF" w:rsidP="008E4CFF"/>
    <w:p w14:paraId="411B6051" w14:textId="29ED6253" w:rsidR="008E4CFF" w:rsidRDefault="001463BD" w:rsidP="008E4CFF">
      <w:pPr>
        <w:pStyle w:val="Heading3"/>
      </w:pPr>
      <w:r>
        <w:lastRenderedPageBreak/>
        <w:t>1</w:t>
      </w:r>
    </w:p>
    <w:p w14:paraId="524AC909" w14:textId="77777777" w:rsidR="008E4CFF" w:rsidRDefault="008E4CFF" w:rsidP="008E4CFF">
      <w:pPr>
        <w:pStyle w:val="Heading4"/>
      </w:pPr>
      <w:r w:rsidRPr="00B622C5">
        <w:t>The starting point of morality is practical reason. 3 warrants:</w:t>
      </w:r>
    </w:p>
    <w:p w14:paraId="1A0F2E4C" w14:textId="77777777" w:rsidR="008E4CFF" w:rsidRDefault="008E4CFF" w:rsidP="008E4CFF">
      <w:pPr>
        <w:pStyle w:val="Heading4"/>
      </w:pPr>
      <w:r>
        <w:t>Ethics must begin a priori:</w:t>
      </w:r>
    </w:p>
    <w:p w14:paraId="536FCCC9" w14:textId="77777777" w:rsidR="008E4CFF" w:rsidRDefault="008E4CFF" w:rsidP="008E4CF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310172F" w14:textId="77777777" w:rsidR="008E4CFF" w:rsidRDefault="008E4CFF" w:rsidP="008E4CF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1B562996" w14:textId="77777777" w:rsidR="008E4CFF" w:rsidRPr="00EB1F63" w:rsidRDefault="008E4CFF" w:rsidP="008E4CFF">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53862C38" w14:textId="77777777" w:rsidR="008E4CFF" w:rsidRDefault="008E4CFF" w:rsidP="008E4CFF">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5D5B512F" w14:textId="77777777" w:rsidR="008E4CFF" w:rsidRPr="00EB1F63" w:rsidRDefault="008E4CFF" w:rsidP="008E4CFF">
      <w:pPr>
        <w:pStyle w:val="Heading4"/>
      </w:pPr>
      <w:r w:rsidRPr="000A5608">
        <w:t>any non-universalizable norm justifies someone’s ability to impede on your ends</w:t>
      </w:r>
      <w:r>
        <w:t>.</w:t>
      </w:r>
      <w:r w:rsidRPr="000A5608">
        <w:t xml:space="preserve">  </w:t>
      </w:r>
    </w:p>
    <w:p w14:paraId="1346670C" w14:textId="77777777" w:rsidR="008E4CFF" w:rsidRDefault="008E4CFF" w:rsidP="008E4CFF">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w:t>
      </w:r>
    </w:p>
    <w:p w14:paraId="0EEBEB37" w14:textId="77777777" w:rsidR="008E4CFF" w:rsidRPr="00F060EA" w:rsidRDefault="008E4CFF" w:rsidP="008E4CFF">
      <w:pPr>
        <w:pStyle w:val="Heading4"/>
      </w:pPr>
      <w:proofErr w:type="spellStart"/>
      <w:proofErr w:type="gramStart"/>
      <w:r>
        <w:t>Prefer:</w:t>
      </w:r>
      <w:r w:rsidRPr="000049C5">
        <w:t>Performativity</w:t>
      </w:r>
      <w:proofErr w:type="spellEnd"/>
      <w:proofErr w:type="gramEnd"/>
      <w:r w:rsidRPr="000049C5">
        <w:t>:</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0BAB44C5" w14:textId="77777777" w:rsidR="008E4CFF" w:rsidRPr="000049C5" w:rsidRDefault="008E4CFF" w:rsidP="008E4CFF">
      <w:pPr>
        <w:pStyle w:val="Heading4"/>
      </w:pPr>
      <w:r>
        <w:t>Negate:</w:t>
      </w:r>
    </w:p>
    <w:p w14:paraId="4479FE5A" w14:textId="77777777" w:rsidR="008E4CFF" w:rsidRDefault="008E4CFF" w:rsidP="008E4CFF">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proofErr w:type="gramStart"/>
      <w:r w:rsidRPr="00AF0AC7">
        <w:rPr>
          <w:shd w:val="clear" w:color="auto" w:fill="FFFFFF"/>
        </w:rPr>
        <w:t xml:space="preserve">a </w:t>
      </w:r>
      <w:r>
        <w:rPr>
          <w:shd w:val="clear" w:color="auto" w:fill="FFFFFF"/>
        </w:rPr>
        <w:t>your</w:t>
      </w:r>
      <w:proofErr w:type="gramEnd"/>
      <w:r w:rsidRPr="00AF0AC7">
        <w:rPr>
          <w:shd w:val="clear" w:color="auto" w:fill="FFFFFF"/>
        </w:rPr>
        <w:t xml:space="preserve"> method – it requires unconditional respect for humanity as an end in itself.</w:t>
      </w:r>
    </w:p>
    <w:p w14:paraId="171F92CC" w14:textId="77777777" w:rsidR="008E4CFF" w:rsidRPr="00104DB2" w:rsidRDefault="008E4CFF" w:rsidP="008E4CFF">
      <w:pPr>
        <w:rPr>
          <w:rStyle w:val="Heading4Char"/>
          <w:color w:val="000000" w:themeColor="text1"/>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314F5641" w14:textId="77777777" w:rsidR="008E4CFF" w:rsidRDefault="008E4CFF" w:rsidP="008E4CFF">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w:t>
      </w:r>
      <w:proofErr w:type="gramStart"/>
      <w:r w:rsidRPr="0094019E">
        <w:rPr>
          <w:sz w:val="14"/>
        </w:rPr>
        <w:t>In order for</w:t>
      </w:r>
      <w:proofErr w:type="gramEnd"/>
      <w:r w:rsidRPr="0094019E">
        <w:rPr>
          <w:sz w:val="14"/>
        </w:rPr>
        <w:t xml:space="preserve">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w:t>
      </w:r>
      <w:r w:rsidRPr="0094019E">
        <w:rPr>
          <w:sz w:val="14"/>
        </w:rPr>
        <w:lastRenderedPageBreak/>
        <w:t xml:space="preserve">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w:t>
      </w:r>
      <w:proofErr w:type="gramStart"/>
      <w:r w:rsidRPr="0094019E">
        <w:rPr>
          <w:sz w:val="14"/>
        </w:rPr>
        <w:t>in itself is</w:t>
      </w:r>
      <w:proofErr w:type="gramEnd"/>
      <w:r w:rsidRPr="0094019E">
        <w:rPr>
          <w:sz w:val="14"/>
        </w:rPr>
        <w:t xml:space="preserve">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w:t>
      </w:r>
      <w:proofErr w:type="gramStart"/>
      <w:r w:rsidRPr="0094019E">
        <w:rPr>
          <w:sz w:val="14"/>
        </w:rPr>
        <w:t>in itself thus</w:t>
      </w:r>
      <w:proofErr w:type="gramEnd"/>
      <w:r w:rsidRPr="0094019E">
        <w:rPr>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4BACD3A7" w14:textId="77777777" w:rsidR="008E4CFF" w:rsidRPr="00B622C5" w:rsidRDefault="008E4CFF" w:rsidP="008E4CFF">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404097EB" w14:textId="77777777" w:rsidR="008E4CFF" w:rsidRPr="00B622C5" w:rsidRDefault="008E4CFF" w:rsidP="008E4CFF">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0910DB94" w14:textId="77777777" w:rsidR="008E4CFF" w:rsidRPr="00B622C5" w:rsidRDefault="008E4CFF" w:rsidP="008E4CFF">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w:t>
      </w:r>
      <w:r w:rsidRPr="00B622C5">
        <w:rPr>
          <w:sz w:val="16"/>
        </w:rPr>
        <w:lastRenderedPageBreak/>
        <w:t xml:space="preserve">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18607BA5" w14:textId="20D42CB8" w:rsidR="008E4CFF" w:rsidRDefault="008E4CFF" w:rsidP="008E4CFF">
      <w:pPr>
        <w:pStyle w:val="Heading4"/>
      </w:pPr>
      <w:r>
        <w:t xml:space="preserve">[3] </w:t>
      </w:r>
      <w:r w:rsidRPr="000049C5">
        <w:t>Independently not defending the topic is non-universalizable b/c if nobody defended the topic than a topic wouldn’t have even been created in the first place which is a contradiction in conception.</w:t>
      </w:r>
    </w:p>
    <w:p w14:paraId="06C44E9D" w14:textId="7CD23184" w:rsidR="008E4CFF" w:rsidRDefault="001463BD" w:rsidP="008E4CFF">
      <w:pPr>
        <w:pStyle w:val="Heading3"/>
      </w:pPr>
      <w:r>
        <w:lastRenderedPageBreak/>
        <w:t>2</w:t>
      </w:r>
    </w:p>
    <w:p w14:paraId="50B530C9" w14:textId="77777777" w:rsidR="008E4CFF" w:rsidRDefault="008E4CFF" w:rsidP="008E4CFF">
      <w:pPr>
        <w:pStyle w:val="Heading4"/>
      </w:pPr>
      <w:r>
        <w:t xml:space="preserve">PIC: We endorse the </w:t>
      </w:r>
      <w:proofErr w:type="spellStart"/>
      <w:r>
        <w:t>aff</w:t>
      </w:r>
      <w:proofErr w:type="spellEnd"/>
      <w:r>
        <w:t xml:space="preserve"> besides reading it against another Asian debater in debate</w:t>
      </w:r>
    </w:p>
    <w:p w14:paraId="521D7D50" w14:textId="77777777" w:rsidR="008E4CFF" w:rsidRDefault="008E4CFF" w:rsidP="008E4CFF">
      <w:pPr>
        <w:pStyle w:val="Heading4"/>
      </w:pPr>
      <w:r>
        <w:t xml:space="preserve">Solves </w:t>
      </w:r>
      <w:proofErr w:type="gramStart"/>
      <w:r>
        <w:t>all of</w:t>
      </w:r>
      <w:proofErr w:type="gramEnd"/>
      <w:r>
        <w:t xml:space="preserve"> your offense—allows you to engage in poetry against other debaters besides Asians</w:t>
      </w:r>
    </w:p>
    <w:p w14:paraId="505D4E49" w14:textId="77777777" w:rsidR="008E4CFF" w:rsidRPr="00B34798" w:rsidRDefault="008E4CFF" w:rsidP="008E4CFF">
      <w:pPr>
        <w:pStyle w:val="Heading4"/>
      </w:pPr>
      <w:r>
        <w:t>DAs:</w:t>
      </w:r>
    </w:p>
    <w:p w14:paraId="269139C3" w14:textId="77777777" w:rsidR="008E4CFF" w:rsidRDefault="008E4CFF" w:rsidP="008E4CFF">
      <w:pPr>
        <w:pStyle w:val="Heading4"/>
      </w:pPr>
      <w:r>
        <w:t xml:space="preserve">1] Negation---if your </w:t>
      </w:r>
      <w:proofErr w:type="spellStart"/>
      <w:r>
        <w:t>aff</w:t>
      </w:r>
      <w:proofErr w:type="spellEnd"/>
      <w:r>
        <w:t xml:space="preserve"> is true, you force us to negate our own identity by defending the model minority as good or that there is no impact </w:t>
      </w:r>
      <w:proofErr w:type="spellStart"/>
      <w:r>
        <w:t>etc</w:t>
      </w:r>
      <w:proofErr w:type="spellEnd"/>
      <w:r>
        <w:t xml:space="preserve"> which is psychologically violent. Two impacts:</w:t>
      </w:r>
    </w:p>
    <w:p w14:paraId="2C61AF41" w14:textId="77777777" w:rsidR="008E4CFF" w:rsidRDefault="008E4CFF" w:rsidP="008E4CFF">
      <w:pPr>
        <w:pStyle w:val="Heading4"/>
      </w:pPr>
      <w:r>
        <w:t>A] That fractures collectivity for your movement and destroys coalitions by pitting Asians against each other which is a tool of the white man.</w:t>
      </w:r>
    </w:p>
    <w:p w14:paraId="1013117A" w14:textId="275F3F2F" w:rsidR="00D075F7" w:rsidRDefault="008E4CFF" w:rsidP="000F52A2">
      <w:pPr>
        <w:pStyle w:val="Heading4"/>
      </w:pPr>
      <w:r>
        <w:t>B] Causes psychological violence for Asian debaters which outweighs by making the debate space non-inclusive</w:t>
      </w:r>
      <w:r w:rsidR="00D075F7" w:rsidRPr="004D4F96">
        <w:rPr>
          <w:rFonts w:cs="Calibri"/>
        </w:rPr>
        <w:t xml:space="preserve"> </w:t>
      </w:r>
    </w:p>
    <w:p w14:paraId="3899913F" w14:textId="77777777" w:rsidR="008E4CFF" w:rsidRPr="000F40F7" w:rsidRDefault="008E4CFF" w:rsidP="008E4CFF"/>
    <w:p w14:paraId="7665E1D8" w14:textId="77777777" w:rsidR="008E4CFF" w:rsidRDefault="008E4CFF" w:rsidP="008E4CFF"/>
    <w:p w14:paraId="128A8F19" w14:textId="77777777" w:rsidR="008E4CFF" w:rsidRPr="008E4CFF" w:rsidRDefault="008E4CFF" w:rsidP="008E4CFF"/>
    <w:p w14:paraId="115F880A" w14:textId="462D0609" w:rsidR="00E42E4C" w:rsidRPr="00F601E6" w:rsidRDefault="00E42E4C" w:rsidP="008E4CFF">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4C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2A2"/>
    <w:rsid w:val="00100B28"/>
    <w:rsid w:val="00117316"/>
    <w:rsid w:val="001209B4"/>
    <w:rsid w:val="001463B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9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CFF"/>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5F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1F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E53E1"/>
  <w14:defaultImageDpi w14:val="300"/>
  <w15:docId w15:val="{CBE8B2E2-9F6A-C14D-984C-961069242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4C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4C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4C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4C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E4C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4C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4CFF"/>
  </w:style>
  <w:style w:type="character" w:customStyle="1" w:styleId="Heading1Char">
    <w:name w:val="Heading 1 Char"/>
    <w:aliases w:val="Pocket Char"/>
    <w:basedOn w:val="DefaultParagraphFont"/>
    <w:link w:val="Heading1"/>
    <w:uiPriority w:val="9"/>
    <w:rsid w:val="008E4C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4C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4CF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E4C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8E4CF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E4CFF"/>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20"/>
    <w:qFormat/>
    <w:rsid w:val="008E4C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4CFF"/>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8E4CFF"/>
    <w:rPr>
      <w:color w:val="auto"/>
      <w:u w:val="none"/>
    </w:rPr>
  </w:style>
  <w:style w:type="paragraph" w:styleId="DocumentMap">
    <w:name w:val="Document Map"/>
    <w:basedOn w:val="Normal"/>
    <w:link w:val="DocumentMapChar"/>
    <w:uiPriority w:val="99"/>
    <w:semiHidden/>
    <w:unhideWhenUsed/>
    <w:rsid w:val="008E4C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4CFF"/>
    <w:rPr>
      <w:rFonts w:ascii="Lucida Grande" w:hAnsi="Lucida Grande" w:cs="Lucida Grande"/>
    </w:rPr>
  </w:style>
  <w:style w:type="paragraph" w:customStyle="1" w:styleId="textbold">
    <w:name w:val="text bold"/>
    <w:basedOn w:val="Normal"/>
    <w:link w:val="Emphasis"/>
    <w:uiPriority w:val="20"/>
    <w:qFormat/>
    <w:rsid w:val="008E4CFF"/>
    <w:pPr>
      <w:ind w:left="720"/>
      <w:jc w:val="both"/>
    </w:pPr>
    <w:rPr>
      <w:b/>
      <w:iCs/>
      <w:u w:val="singl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uiPriority w:val="1"/>
    <w:qFormat/>
    <w:rsid w:val="008E4CFF"/>
    <w:pPr>
      <w:ind w:left="288" w:right="288"/>
    </w:pPr>
    <w:rPr>
      <w:rFonts w:asciiTheme="minorHAnsi" w:eastAsiaTheme="minorHAnsi" w:hAnsiTheme="minorHAnsi"/>
      <w:szCs w:val="22"/>
      <w:u w:val="single"/>
    </w:rPr>
  </w:style>
  <w:style w:type="paragraph" w:styleId="NoSpacing">
    <w:name w:val="No Spacing"/>
    <w:aliases w:val="Card Format,ClearFormatting,Clear,DDI Tag,Tag Title,No Spacing51,Tag and Cite,CD - Cite,Very Small Text,Dont u,No Spacing311,No Spacing6,No Spacin,No Spacing8,No Spacing41,Note Level 21,tag,Dont use"/>
    <w:basedOn w:val="Heading1"/>
    <w:link w:val="Hyperlink"/>
    <w:autoRedefine/>
    <w:uiPriority w:val="99"/>
    <w:qFormat/>
    <w:rsid w:val="008E4C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6</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2021-11-06T16:35:00Z</dcterms:created>
  <dcterms:modified xsi:type="dcterms:W3CDTF">2021-11-06T18:23:00Z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