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65BD1" w14:textId="77777777" w:rsidR="00677BC2" w:rsidRDefault="00677BC2" w:rsidP="00677BC2">
      <w:pPr>
        <w:rPr>
          <w:rFonts w:asciiTheme="majorHAnsi" w:eastAsia="Calibri" w:hAnsiTheme="majorHAnsi" w:cstheme="majorHAnsi"/>
          <w:sz w:val="16"/>
        </w:rPr>
      </w:pPr>
    </w:p>
    <w:p w14:paraId="5D2D35E5" w14:textId="77777777" w:rsidR="00677BC2" w:rsidRPr="00CE11B7" w:rsidRDefault="00677BC2" w:rsidP="00677BC2">
      <w:pPr>
        <w:rPr>
          <w:rFonts w:asciiTheme="majorHAnsi" w:eastAsia="Calibri" w:hAnsiTheme="majorHAnsi" w:cstheme="majorHAnsi"/>
          <w:sz w:val="16"/>
        </w:rPr>
      </w:pPr>
    </w:p>
    <w:p w14:paraId="7C901DE5" w14:textId="77777777" w:rsidR="008533ED" w:rsidRDefault="008533ED" w:rsidP="008533ED">
      <w:pPr>
        <w:rPr>
          <w:sz w:val="12"/>
        </w:rPr>
      </w:pPr>
    </w:p>
    <w:p w14:paraId="4357F85C" w14:textId="77777777" w:rsidR="008533ED" w:rsidRDefault="008533ED" w:rsidP="00140178">
      <w:pPr>
        <w:pStyle w:val="Heading3"/>
      </w:pPr>
    </w:p>
    <w:p w14:paraId="6E2EE62D" w14:textId="59985093" w:rsidR="00140178" w:rsidRDefault="00140178" w:rsidP="00140178">
      <w:pPr>
        <w:pStyle w:val="Heading3"/>
      </w:pPr>
      <w:r>
        <w:lastRenderedPageBreak/>
        <w:t>adv</w:t>
      </w:r>
    </w:p>
    <w:p w14:paraId="184146B5" w14:textId="77777777" w:rsidR="00140178" w:rsidRPr="00976E44" w:rsidRDefault="00140178" w:rsidP="00140178">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B42590F" w14:textId="77777777" w:rsidR="00140178" w:rsidRPr="00976E44" w:rsidRDefault="00140178" w:rsidP="00140178">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5B5F5CFA" w14:textId="77777777" w:rsidR="00140178" w:rsidRPr="00976E44" w:rsidRDefault="00140178" w:rsidP="00140178">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47EDC6D" w14:textId="77777777" w:rsidR="00140178" w:rsidRPr="00976E44" w:rsidRDefault="00140178" w:rsidP="00140178">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41DB3A3C" w14:textId="77777777" w:rsidR="00140178" w:rsidRPr="00976E44" w:rsidRDefault="00140178" w:rsidP="00140178">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255D45C" w14:textId="77777777" w:rsidR="00140178" w:rsidRPr="00976E44" w:rsidRDefault="00140178" w:rsidP="00140178">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01C0889F" w14:textId="77777777" w:rsidR="00140178" w:rsidRPr="00976E44" w:rsidRDefault="00140178" w:rsidP="00140178">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5245DBE8" w14:textId="77777777" w:rsidR="00140178" w:rsidRPr="00976E44" w:rsidRDefault="00140178" w:rsidP="00140178">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D122A33" w14:textId="77777777" w:rsidR="00140178" w:rsidRPr="00976E44" w:rsidRDefault="00140178" w:rsidP="00140178">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CE9CBFC" w14:textId="77777777" w:rsidR="00140178" w:rsidRPr="00976E44" w:rsidRDefault="00140178" w:rsidP="00140178">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04333C6" w14:textId="77777777" w:rsidR="00140178" w:rsidRPr="00976E44" w:rsidRDefault="00140178" w:rsidP="00140178">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D2619BB" w14:textId="77777777" w:rsidR="00140178" w:rsidRPr="00976E44" w:rsidRDefault="00140178" w:rsidP="00140178">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9B5FCDD" w14:textId="77777777" w:rsidR="00140178" w:rsidRPr="00976E44" w:rsidRDefault="00140178" w:rsidP="00140178">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55B293A2" w14:textId="77777777" w:rsidR="00140178" w:rsidRPr="00976E44" w:rsidRDefault="00140178" w:rsidP="00140178">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3ED696AD" w14:textId="77777777" w:rsidR="00140178" w:rsidRPr="00976E44" w:rsidRDefault="00140178" w:rsidP="00140178">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495F491B" w14:textId="77777777" w:rsidR="00140178" w:rsidRPr="00976E44" w:rsidRDefault="00140178" w:rsidP="00140178">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7847DFA" w14:textId="77777777" w:rsidR="00140178" w:rsidRPr="00976E44" w:rsidRDefault="00140178" w:rsidP="00140178">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0E1D29C" w14:textId="77777777" w:rsidR="00140178" w:rsidRPr="00976E44" w:rsidRDefault="00140178" w:rsidP="00140178">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2598F00" w14:textId="77777777" w:rsidR="00140178" w:rsidRPr="00976E44" w:rsidRDefault="00140178" w:rsidP="00140178">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50CFD528" w14:textId="77777777" w:rsidR="00140178" w:rsidRPr="00976E44" w:rsidRDefault="00140178" w:rsidP="00140178">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031376C" w14:textId="77777777" w:rsidR="00140178" w:rsidRPr="00976E44" w:rsidRDefault="00140178" w:rsidP="00140178">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B28068D" w14:textId="77777777" w:rsidR="00140178" w:rsidRPr="00976E44" w:rsidRDefault="00140178" w:rsidP="00140178">
      <w:pPr>
        <w:rPr>
          <w:rStyle w:val="Emphasis"/>
        </w:rPr>
      </w:pPr>
      <w:r w:rsidRPr="00976E44">
        <w:rPr>
          <w:u w:val="single"/>
        </w:rPr>
        <w:t xml:space="preserve">Both truths suggest that we </w:t>
      </w:r>
      <w:r w:rsidRPr="00976E44">
        <w:rPr>
          <w:rStyle w:val="Emphasis"/>
        </w:rPr>
        <w:t>pass the blueprint and build the kitchen.</w:t>
      </w:r>
    </w:p>
    <w:p w14:paraId="198FFA4F" w14:textId="77777777" w:rsidR="00140178" w:rsidRPr="00976E44" w:rsidRDefault="00140178" w:rsidP="00140178">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3826D2F" w14:textId="77777777" w:rsidR="00140178" w:rsidRPr="00976E44" w:rsidRDefault="00140178" w:rsidP="00140178"/>
    <w:p w14:paraId="7DA37EA9" w14:textId="77777777" w:rsidR="00140178" w:rsidRPr="00976E44" w:rsidRDefault="00140178" w:rsidP="00140178">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43F0A64" w14:textId="77777777" w:rsidR="00140178" w:rsidRPr="00976E44" w:rsidRDefault="00140178" w:rsidP="0014017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976E44">
          <w:rPr>
            <w:rStyle w:val="Hyperlink"/>
          </w:rPr>
          <w:t>https://www.tandfonline.com/doi/full/10.1080/25751654.2021.1890867</w:t>
        </w:r>
      </w:hyperlink>
      <w:r w:rsidRPr="00976E44">
        <w:t>] Justin</w:t>
      </w:r>
    </w:p>
    <w:p w14:paraId="017E4E83" w14:textId="77777777" w:rsidR="00140178" w:rsidRPr="00976E44" w:rsidRDefault="00140178" w:rsidP="00140178">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596A332" w14:textId="77777777" w:rsidR="00140178" w:rsidRPr="00976E44" w:rsidRDefault="00140178" w:rsidP="00140178">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EFFAA6D" w14:textId="77777777" w:rsidR="00140178" w:rsidRPr="00976E44" w:rsidRDefault="00140178" w:rsidP="00140178">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13A072B" w14:textId="77777777" w:rsidR="00140178" w:rsidRPr="00976E44" w:rsidRDefault="00140178" w:rsidP="00140178">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7A31C1DA" w14:textId="77777777" w:rsidR="00140178" w:rsidRPr="00976E44" w:rsidRDefault="00140178" w:rsidP="00140178">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1E6C21A" w14:textId="77777777" w:rsidR="00140178" w:rsidRPr="00976E44" w:rsidRDefault="00140178" w:rsidP="00140178">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CB14DAA" w14:textId="77777777" w:rsidR="00140178" w:rsidRPr="00976E44" w:rsidRDefault="00140178" w:rsidP="00140178">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8FD5403" w14:textId="77777777" w:rsidR="00140178" w:rsidRPr="00976E44" w:rsidRDefault="00140178" w:rsidP="00140178">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98CEE99" w14:textId="77777777" w:rsidR="00140178" w:rsidRDefault="00140178" w:rsidP="00140178">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EAA58EC" w14:textId="77777777" w:rsidR="00140178" w:rsidRPr="00331BF2" w:rsidRDefault="00140178" w:rsidP="00140178">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38221A72" w14:textId="77777777" w:rsidR="00140178" w:rsidRPr="00CE11B7" w:rsidRDefault="00140178" w:rsidP="00140178">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0F5D508C" w14:textId="77777777" w:rsidR="00140178" w:rsidRDefault="00140178" w:rsidP="00140178">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w:t>
      </w:r>
      <w:r w:rsidRPr="00CE11B7">
        <w:rPr>
          <w:rStyle w:val="StyleUnderline"/>
          <w:rFonts w:cstheme="majorHAnsi"/>
        </w:rPr>
        <w:lastRenderedPageBreak/>
        <w:t xml:space="preserve">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w:t>
      </w:r>
      <w:r w:rsidRPr="00CE11B7">
        <w:rPr>
          <w:rStyle w:val="StyleUnderline"/>
          <w:rFonts w:cstheme="majorHAnsi"/>
        </w:rPr>
        <w:lastRenderedPageBreak/>
        <w:t xml:space="preserve">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09E7C921" w14:textId="77777777" w:rsidR="00140178" w:rsidRPr="00976E44" w:rsidRDefault="00140178" w:rsidP="00140178">
      <w:pPr>
        <w:rPr>
          <w:u w:val="single"/>
        </w:rPr>
      </w:pPr>
    </w:p>
    <w:p w14:paraId="1C1BA84B" w14:textId="77777777" w:rsidR="00140178" w:rsidRPr="00976E44" w:rsidRDefault="00140178" w:rsidP="00140178"/>
    <w:p w14:paraId="6C140CA7" w14:textId="77777777" w:rsidR="00140178" w:rsidRPr="00976E44" w:rsidRDefault="00140178" w:rsidP="00140178">
      <w:pPr>
        <w:pStyle w:val="Heading3"/>
        <w:rPr>
          <w:rFonts w:cs="Calibri"/>
        </w:rPr>
      </w:pPr>
      <w:r w:rsidRPr="00976E44">
        <w:rPr>
          <w:rFonts w:cs="Calibri"/>
        </w:rPr>
        <w:lastRenderedPageBreak/>
        <w:t xml:space="preserve">1AC – Plan </w:t>
      </w:r>
    </w:p>
    <w:p w14:paraId="5836407A" w14:textId="3B95202F" w:rsidR="00140178" w:rsidRPr="00976E44" w:rsidRDefault="00140178" w:rsidP="00140178">
      <w:pPr>
        <w:pStyle w:val="Heading4"/>
        <w:rPr>
          <w:rFonts w:cs="Calibri"/>
        </w:rPr>
      </w:pPr>
      <w:r w:rsidRPr="00976E44">
        <w:rPr>
          <w:rFonts w:cs="Calibri"/>
        </w:rPr>
        <w:t>Plan text: The member nations of the World Trade Organization ought to reduce intellectual property protections for medicines during pandemics.</w:t>
      </w:r>
      <w:r>
        <w:rPr>
          <w:rFonts w:cs="Calibri"/>
        </w:rPr>
        <w:t xml:space="preserve"> </w:t>
      </w:r>
    </w:p>
    <w:p w14:paraId="3454720C" w14:textId="77777777" w:rsidR="00140178" w:rsidRPr="00976E44" w:rsidRDefault="00140178" w:rsidP="00140178"/>
    <w:p w14:paraId="26A7F527" w14:textId="77777777" w:rsidR="00140178" w:rsidRPr="00976E44" w:rsidRDefault="00140178" w:rsidP="00140178">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147494E4" w14:textId="77777777" w:rsidR="00140178" w:rsidRPr="00976E44" w:rsidRDefault="00140178" w:rsidP="00140178">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976E44">
          <w:rPr>
            <w:rStyle w:val="Hyperlink"/>
          </w:rPr>
          <w:t>https://www.ipwatchdog.com/2021/07/21/third-option-limited-ip-waiver-solve-pandemic-vaccine-problems/id=135732/</w:t>
        </w:r>
      </w:hyperlink>
      <w:r w:rsidRPr="00976E44">
        <w:t>] Justin</w:t>
      </w:r>
    </w:p>
    <w:p w14:paraId="57809963" w14:textId="77777777" w:rsidR="00140178" w:rsidRPr="00976E44" w:rsidRDefault="00140178" w:rsidP="00140178">
      <w:pPr>
        <w:rPr>
          <w:u w:val="single"/>
        </w:rPr>
      </w:pPr>
      <w:r w:rsidRPr="00976E44">
        <w:rPr>
          <w:highlight w:val="green"/>
          <w:u w:val="single"/>
        </w:rPr>
        <w:t>Limited Waiver</w:t>
      </w:r>
      <w:r w:rsidRPr="00976E44">
        <w:rPr>
          <w:u w:val="single"/>
        </w:rPr>
        <w:t xml:space="preserve"> Approach</w:t>
      </w:r>
    </w:p>
    <w:p w14:paraId="7B894B65" w14:textId="77777777" w:rsidR="00140178" w:rsidRPr="00976E44" w:rsidRDefault="00140178" w:rsidP="00140178">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5D1E5920" w14:textId="77777777" w:rsidR="00140178" w:rsidRPr="00976E44" w:rsidRDefault="00140178" w:rsidP="00140178">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704E0F24" w14:textId="77777777" w:rsidR="00140178" w:rsidRPr="00976E44" w:rsidRDefault="00140178" w:rsidP="00140178">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DA7D534" w14:textId="77777777" w:rsidR="00140178" w:rsidRPr="00976E44" w:rsidRDefault="00140178" w:rsidP="00140178">
      <w:pPr>
        <w:rPr>
          <w:sz w:val="16"/>
        </w:rPr>
      </w:pPr>
      <w:r w:rsidRPr="00976E44">
        <w:rPr>
          <w:u w:val="single"/>
        </w:rPr>
        <w:lastRenderedPageBreak/>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2AAB3948" w14:textId="77777777" w:rsidR="00140178" w:rsidRPr="00976E44" w:rsidRDefault="00140178" w:rsidP="00140178">
      <w:pPr>
        <w:rPr>
          <w:sz w:val="16"/>
        </w:rPr>
      </w:pPr>
      <w:r w:rsidRPr="00976E44">
        <w:rPr>
          <w:sz w:val="16"/>
        </w:rPr>
        <w:t>Let’s Not Repeat Past Mistakes</w:t>
      </w:r>
    </w:p>
    <w:p w14:paraId="05C14FB5" w14:textId="77777777" w:rsidR="00140178" w:rsidRPr="00976E44" w:rsidRDefault="00140178" w:rsidP="00140178">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41B9058" w14:textId="77777777" w:rsidR="00140178" w:rsidRPr="00976E44" w:rsidRDefault="00140178" w:rsidP="00140178"/>
    <w:p w14:paraId="107D65A6" w14:textId="77777777" w:rsidR="00140178" w:rsidRPr="00976E44" w:rsidRDefault="00140178" w:rsidP="00140178">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5B15770" w14:textId="77777777" w:rsidR="00140178" w:rsidRPr="00976E44" w:rsidRDefault="00140178" w:rsidP="00140178">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3" w:history="1">
        <w:r w:rsidRPr="00976E44">
          <w:rPr>
            <w:rStyle w:val="Hyperlink"/>
          </w:rPr>
          <w:t>https://www.helsinkitimes.fi/columns/columns/viewpoint/18561-science-has-delivered-will-the-wto-deliver.html</w:t>
        </w:r>
      </w:hyperlink>
      <w:r w:rsidRPr="00976E44">
        <w:t>] Justin</w:t>
      </w:r>
    </w:p>
    <w:p w14:paraId="6F743E20" w14:textId="77777777" w:rsidR="00140178" w:rsidRPr="00976E44" w:rsidRDefault="00140178" w:rsidP="00140178">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598034AE" w14:textId="77777777" w:rsidR="00140178" w:rsidRPr="00976E44" w:rsidRDefault="00140178" w:rsidP="00140178">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2671D626" w14:textId="77777777" w:rsidR="00140178" w:rsidRPr="00976E44" w:rsidRDefault="00140178" w:rsidP="00140178">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78312899" w14:textId="77777777" w:rsidR="00140178" w:rsidRPr="00976E44" w:rsidRDefault="00140178" w:rsidP="00140178">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0EF69A6" w14:textId="77777777" w:rsidR="00140178" w:rsidRPr="00976E44" w:rsidRDefault="00140178" w:rsidP="00140178">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BB4C6B7" w14:textId="77777777" w:rsidR="00140178" w:rsidRPr="00976E44" w:rsidRDefault="00140178" w:rsidP="00140178">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w:t>
      </w:r>
      <w:r w:rsidRPr="00976E44">
        <w:rPr>
          <w:sz w:val="16"/>
        </w:rPr>
        <w:lastRenderedPageBreak/>
        <w:t xml:space="preserve">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71384A45" w14:textId="77777777" w:rsidR="00140178" w:rsidRPr="00976E44" w:rsidRDefault="00140178" w:rsidP="00140178">
      <w:pPr>
        <w:rPr>
          <w:sz w:val="16"/>
        </w:rPr>
      </w:pPr>
      <w:r w:rsidRPr="00976E44">
        <w:rPr>
          <w:sz w:val="16"/>
        </w:rPr>
        <w:t>Why existing flexibilities under the TRIPS Agreement are not enough</w:t>
      </w:r>
    </w:p>
    <w:p w14:paraId="17863992" w14:textId="77777777" w:rsidR="00140178" w:rsidRPr="00976E44" w:rsidRDefault="00140178" w:rsidP="00140178">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35B5D4D" w14:textId="77777777" w:rsidR="00140178" w:rsidRPr="00976E44" w:rsidRDefault="00140178" w:rsidP="00140178">
      <w:pPr>
        <w:rPr>
          <w:sz w:val="16"/>
        </w:rPr>
      </w:pPr>
      <w:r w:rsidRPr="00976E44">
        <w:rPr>
          <w:sz w:val="16"/>
        </w:rPr>
        <w:t>Why is there a need to go beyond existing global cooperation initiatives?</w:t>
      </w:r>
    </w:p>
    <w:p w14:paraId="3316FC7C" w14:textId="77777777" w:rsidR="00140178" w:rsidRPr="00976E44" w:rsidRDefault="00140178" w:rsidP="00140178">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13E0ECA7" w14:textId="77777777" w:rsidR="00140178" w:rsidRPr="00976E44" w:rsidRDefault="00140178" w:rsidP="00140178">
      <w:pPr>
        <w:rPr>
          <w:sz w:val="16"/>
        </w:rPr>
      </w:pPr>
      <w:proofErr w:type="gramStart"/>
      <w:r w:rsidRPr="00976E44">
        <w:rPr>
          <w:sz w:val="16"/>
        </w:rPr>
        <w:t>Past experience</w:t>
      </w:r>
      <w:proofErr w:type="gramEnd"/>
    </w:p>
    <w:p w14:paraId="36E380B6" w14:textId="77777777" w:rsidR="00140178" w:rsidRPr="00976E44" w:rsidRDefault="00140178" w:rsidP="00140178">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50CD88E1" w14:textId="77777777" w:rsidR="00140178" w:rsidRPr="00976E44" w:rsidRDefault="00140178" w:rsidP="00140178">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808F381" w14:textId="77777777" w:rsidR="00140178" w:rsidRPr="00976E44" w:rsidRDefault="00140178" w:rsidP="00140178">
      <w:pPr>
        <w:rPr>
          <w:sz w:val="16"/>
        </w:rPr>
      </w:pPr>
      <w:r w:rsidRPr="00976E44">
        <w:rPr>
          <w:sz w:val="16"/>
        </w:rPr>
        <w:t>Way forward</w:t>
      </w:r>
    </w:p>
    <w:p w14:paraId="0A729EEB" w14:textId="77777777" w:rsidR="00140178" w:rsidRPr="00976E44" w:rsidRDefault="00140178" w:rsidP="00140178">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A474502" w14:textId="77777777" w:rsidR="00140178" w:rsidRPr="00976E44" w:rsidRDefault="00140178" w:rsidP="00140178">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4B2F3AF0" w14:textId="77777777" w:rsidR="00140178" w:rsidRPr="00976E44" w:rsidRDefault="00140178" w:rsidP="00140178">
      <w:pPr>
        <w:rPr>
          <w:sz w:val="16"/>
        </w:rPr>
      </w:pPr>
    </w:p>
    <w:p w14:paraId="6DF4E187" w14:textId="77777777" w:rsidR="00140178" w:rsidRPr="00976E44" w:rsidRDefault="00140178" w:rsidP="00140178">
      <w:pPr>
        <w:pStyle w:val="Heading4"/>
        <w:rPr>
          <w:rFonts w:cs="Calibri"/>
        </w:rPr>
      </w:pPr>
      <w:r w:rsidRPr="00976E44">
        <w:rPr>
          <w:rFonts w:cs="Calibri"/>
        </w:rPr>
        <w:lastRenderedPageBreak/>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667CD7CD" w14:textId="77777777" w:rsidR="00140178" w:rsidRPr="00976E44" w:rsidRDefault="00140178" w:rsidP="00140178">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E6FB2B4" w14:textId="77777777" w:rsidR="00140178" w:rsidRDefault="00140178" w:rsidP="00140178">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C8CD3EA" w14:textId="77777777" w:rsidR="00140178" w:rsidRDefault="00140178" w:rsidP="00140178">
      <w:pPr>
        <w:pStyle w:val="Heading3"/>
        <w:jc w:val="left"/>
      </w:pPr>
    </w:p>
    <w:p w14:paraId="41AAB061" w14:textId="77777777" w:rsidR="00140178" w:rsidRPr="00CE11B7" w:rsidRDefault="00140178" w:rsidP="00140178">
      <w:pPr>
        <w:pStyle w:val="Heading3"/>
        <w:rPr>
          <w:rStyle w:val="StyleUnderline"/>
          <w:rFonts w:cstheme="majorHAnsi"/>
          <w:b w:val="0"/>
          <w:sz w:val="32"/>
        </w:rPr>
      </w:pPr>
      <w:r w:rsidRPr="00CE11B7">
        <w:rPr>
          <w:rStyle w:val="StyleUnderline"/>
          <w:rFonts w:cstheme="majorHAnsi"/>
          <w:sz w:val="32"/>
        </w:rPr>
        <w:lastRenderedPageBreak/>
        <w:t>Framework</w:t>
      </w:r>
    </w:p>
    <w:p w14:paraId="4C3D5EEA" w14:textId="77777777" w:rsidR="00140178" w:rsidRPr="00CE11B7" w:rsidRDefault="00140178" w:rsidP="00140178">
      <w:pPr>
        <w:pStyle w:val="Heading4"/>
      </w:pPr>
      <w:r w:rsidRPr="00CE11B7">
        <w:t xml:space="preserve">The standard is maximizing </w:t>
      </w:r>
      <w:proofErr w:type="spellStart"/>
      <w:r>
        <w:t>well being</w:t>
      </w:r>
      <w:proofErr w:type="spellEnd"/>
      <w:r>
        <w:t xml:space="preserve"> or hedonistic act util</w:t>
      </w:r>
      <w:r w:rsidRPr="00CE11B7">
        <w:t>. Prefer it:</w:t>
      </w:r>
    </w:p>
    <w:p w14:paraId="696F2380" w14:textId="77777777" w:rsidR="00140178" w:rsidRPr="00CE11B7" w:rsidRDefault="00140178" w:rsidP="00140178">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67B1E64D" w14:textId="77777777" w:rsidR="00140178" w:rsidRDefault="00140178" w:rsidP="00140178">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EDCFB07" w14:textId="77777777" w:rsidR="00140178" w:rsidRDefault="00140178" w:rsidP="00140178">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E971A53" w14:textId="77777777" w:rsidR="00140178" w:rsidRPr="00402E94" w:rsidRDefault="00140178" w:rsidP="00140178">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35D9D9BD" w14:textId="77777777" w:rsidR="00140178" w:rsidRPr="00CE11B7" w:rsidRDefault="00140178" w:rsidP="00140178">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182FD9B" w14:textId="77777777" w:rsidR="00140178" w:rsidRPr="00336E56" w:rsidRDefault="00140178" w:rsidP="00140178">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1947E3E6" w14:textId="77777777" w:rsidR="00140178" w:rsidRPr="00336E56" w:rsidRDefault="00140178" w:rsidP="00140178">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75FEB80F" w14:textId="77777777" w:rsidR="00140178" w:rsidRPr="00336E56" w:rsidRDefault="00140178" w:rsidP="00140178">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47E8040F" w14:textId="77777777" w:rsidR="00140178" w:rsidRDefault="00140178" w:rsidP="00140178">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62EF21" w14:textId="5C6AFE8A" w:rsidR="00E42E4C" w:rsidRDefault="00140178" w:rsidP="00140178">
      <w:pPr>
        <w:pStyle w:val="Heading4"/>
      </w:pPr>
      <w:r>
        <w:lastRenderedPageBreak/>
        <w:t>[3] O</w:t>
      </w:r>
      <w:r w:rsidRPr="00A57D71">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t xml:space="preserve"> </w:t>
      </w:r>
      <w:r>
        <w:t>which is the most intuitive</w:t>
      </w:r>
    </w:p>
    <w:p w14:paraId="002838AD" w14:textId="77777777" w:rsidR="00140178" w:rsidRPr="00CE4002" w:rsidRDefault="00140178" w:rsidP="00140178">
      <w:pPr>
        <w:pStyle w:val="Heading4"/>
      </w:pPr>
      <w:r>
        <w:t xml:space="preserve">6] </w:t>
      </w:r>
      <w:r w:rsidRPr="00447C67">
        <w:t xml:space="preserve">Interpretation: the neg must not contest the </w:t>
      </w:r>
      <w:proofErr w:type="spellStart"/>
      <w:r w:rsidRPr="00447C67">
        <w:t>aff</w:t>
      </w:r>
      <w:proofErr w:type="spellEnd"/>
      <w:r w:rsidRPr="00447C67">
        <w:t xml:space="preserve"> framework, read arguments that contest the ethical validity of the </w:t>
      </w:r>
      <w:proofErr w:type="spellStart"/>
      <w:r w:rsidRPr="00447C67">
        <w:t>aff</w:t>
      </w:r>
      <w:proofErr w:type="spellEnd"/>
      <w:r w:rsidRPr="00447C67">
        <w:t xml:space="preserve"> standard, or read an alternative framework provided that: </w:t>
      </w:r>
      <w:r>
        <w:t xml:space="preserve"> the </w:t>
      </w:r>
      <w:proofErr w:type="spellStart"/>
      <w:r>
        <w:t>aff</w:t>
      </w:r>
      <w:proofErr w:type="spellEnd"/>
      <w:r>
        <w:t xml:space="preserve"> standard is maximizing well being</w:t>
      </w:r>
    </w:p>
    <w:p w14:paraId="2212F64D" w14:textId="77777777" w:rsidR="00140178" w:rsidRDefault="00140178" w:rsidP="00140178">
      <w:pPr>
        <w:pStyle w:val="Heading4"/>
        <w:rPr>
          <w:rFonts w:ascii="MS Gothic" w:eastAsia="MS Gothic" w:hAnsi="MS Gothic" w:cs="MS Gothic"/>
        </w:rPr>
      </w:pPr>
      <w:r w:rsidRPr="00447C67">
        <w:t xml:space="preserve">A Clash – AFC is key to force substantive engagement – util doesn’t exclude impacts and forces debaters to do advocacy comparison and engage in meaningful rebuttal clash. Topic ed o/w on timeframe since we can learn </w:t>
      </w:r>
      <w:proofErr w:type="spellStart"/>
      <w:r w:rsidRPr="00447C67">
        <w:t>phil</w:t>
      </w:r>
      <w:proofErr w:type="spellEnd"/>
      <w:r w:rsidRPr="00447C67">
        <w:t xml:space="preserve"> over 4 years but only have the topic for a few months</w:t>
      </w:r>
      <w:r w:rsidRPr="00447C67">
        <w:rPr>
          <w:rFonts w:ascii="MS Gothic" w:eastAsia="MS Gothic" w:hAnsi="MS Gothic" w:cs="MS Gothic" w:hint="eastAsia"/>
        </w:rPr>
        <w:t> </w:t>
      </w:r>
    </w:p>
    <w:p w14:paraId="4C7FBD51" w14:textId="77777777" w:rsidR="00140178" w:rsidRPr="00336E56" w:rsidRDefault="00140178" w:rsidP="00140178">
      <w:pPr>
        <w:pStyle w:val="Heading4"/>
      </w:pPr>
      <w:r w:rsidRPr="00447C67">
        <w:t xml:space="preserve">B Strat skew – neg is reactive and can up-layer the </w:t>
      </w:r>
      <w:proofErr w:type="spellStart"/>
      <w:r w:rsidRPr="00447C67">
        <w:t>aff</w:t>
      </w:r>
      <w:proofErr w:type="spellEnd"/>
      <w:r w:rsidRPr="00447C67">
        <w:t xml:space="preserve"> on moral frameworks, procedurals, and discursive arguments – AFC levels the playing field by forcing the neg to commit to the </w:t>
      </w:r>
      <w:proofErr w:type="spellStart"/>
      <w:r w:rsidRPr="00447C67">
        <w:t>aff</w:t>
      </w:r>
      <w:proofErr w:type="spellEnd"/>
      <w:r w:rsidRPr="00447C67">
        <w:t xml:space="preserve"> on substance, which ensures the AC matters</w:t>
      </w:r>
    </w:p>
    <w:p w14:paraId="5B8EB061" w14:textId="77777777" w:rsidR="00140178" w:rsidRDefault="00140178" w:rsidP="00140178">
      <w:pPr>
        <w:pStyle w:val="Heading4"/>
      </w:pPr>
      <w:r w:rsidRPr="003C4FD4">
        <w:t>Fairness is a voter—debate is a competitive activity that requires objective evaluation. Education is a voter – it is the terminal impact of debate</w:t>
      </w:r>
      <w:r>
        <w:t xml:space="preserve"> </w:t>
      </w:r>
    </w:p>
    <w:p w14:paraId="0C115EEB" w14:textId="56AB1A54" w:rsidR="00140178" w:rsidRDefault="00140178" w:rsidP="00140178">
      <w:pPr>
        <w:pStyle w:val="Heading4"/>
      </w:pPr>
      <w:r>
        <w:t xml:space="preserve">Drop the argument and competing </w:t>
      </w:r>
      <w:proofErr w:type="spellStart"/>
      <w:r>
        <w:t>interps</w:t>
      </w:r>
      <w:proofErr w:type="spellEnd"/>
      <w:r>
        <w:t xml:space="preserve"> on 1AC theory—the only purpose of it is to deter 1NC practices—anything else lets them get away with it</w:t>
      </w:r>
    </w:p>
    <w:p w14:paraId="11732382" w14:textId="77777777" w:rsidR="00140178" w:rsidRPr="00CA211B" w:rsidRDefault="00140178" w:rsidP="00140178">
      <w:pPr>
        <w:pStyle w:val="Heading4"/>
      </w:pPr>
      <w:r>
        <w:t xml:space="preserve">No RVI on 1AC theory—they can read a </w:t>
      </w:r>
      <w:proofErr w:type="gramStart"/>
      <w:r>
        <w:t>7 minute</w:t>
      </w:r>
      <w:proofErr w:type="gramEnd"/>
      <w:r>
        <w:t xml:space="preserve"> dump and </w:t>
      </w:r>
      <w:proofErr w:type="spellStart"/>
      <w:r>
        <w:t>autowin</w:t>
      </w:r>
      <w:proofErr w:type="spellEnd"/>
      <w:r>
        <w:t xml:space="preserve"> and the whole 1AC </w:t>
      </w:r>
      <w:proofErr w:type="spellStart"/>
      <w:r>
        <w:t>cant</w:t>
      </w:r>
      <w:proofErr w:type="spellEnd"/>
      <w:r>
        <w:t xml:space="preserve"> be the shell because they can just not violate it</w:t>
      </w:r>
    </w:p>
    <w:p w14:paraId="0925E64E" w14:textId="77777777" w:rsidR="00140178" w:rsidRPr="00CE11B7" w:rsidRDefault="00140178" w:rsidP="00140178">
      <w:pPr>
        <w:rPr>
          <w:rFonts w:asciiTheme="majorHAnsi" w:hAnsiTheme="majorHAnsi" w:cstheme="majorHAnsi"/>
          <w:color w:val="000000" w:themeColor="text1"/>
          <w:sz w:val="8"/>
        </w:rPr>
      </w:pPr>
    </w:p>
    <w:p w14:paraId="41ABE3F9" w14:textId="77777777" w:rsidR="00140178" w:rsidRDefault="00140178" w:rsidP="00140178">
      <w:pPr>
        <w:pStyle w:val="Heading3"/>
      </w:pPr>
      <w:r>
        <w:lastRenderedPageBreak/>
        <w:t>UV</w:t>
      </w:r>
    </w:p>
    <w:p w14:paraId="7A559800" w14:textId="77777777" w:rsidR="00140178" w:rsidRDefault="00140178" w:rsidP="00140178">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 1</w:t>
      </w:r>
      <w:r w:rsidRPr="008E4C26">
        <w:rPr>
          <w:rFonts w:cs="Calibri"/>
          <w:color w:val="000000" w:themeColor="text1"/>
        </w:rPr>
        <w:t>AR theory is drop the debater</w:t>
      </w:r>
      <w:r>
        <w:rPr>
          <w:rFonts w:cs="Calibri"/>
          <w:color w:val="000000" w:themeColor="text1"/>
        </w:rPr>
        <w:t xml:space="preserve">, competing </w:t>
      </w:r>
      <w:proofErr w:type="spellStart"/>
      <w:r>
        <w:rPr>
          <w:rFonts w:cs="Calibri"/>
          <w:color w:val="000000" w:themeColor="text1"/>
        </w:rPr>
        <w:t>interps</w:t>
      </w:r>
      <w:proofErr w:type="spellEnd"/>
      <w:r>
        <w:rPr>
          <w:rFonts w:cs="Calibri"/>
          <w:color w:val="000000" w:themeColor="text1"/>
        </w:rPr>
        <w:t xml:space="preserve">, </w:t>
      </w:r>
      <w:r w:rsidRPr="008E4C26">
        <w:rPr>
          <w:rFonts w:cs="Calibri"/>
          <w:color w:val="000000" w:themeColor="text1"/>
        </w:rPr>
        <w:t xml:space="preserve">and 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which means you eval debate after the 2ar so we both get equal time.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34253A9D" w14:textId="77777777" w:rsidR="00140178" w:rsidRPr="00CE11B7" w:rsidRDefault="00140178" w:rsidP="00140178">
      <w:pPr>
        <w:pStyle w:val="Heading4"/>
      </w:pPr>
      <w:r w:rsidRPr="00CE11B7">
        <w:t>[4]</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13465CC6" w14:textId="77777777" w:rsidR="00140178" w:rsidRPr="00CE11B7" w:rsidRDefault="00140178" w:rsidP="00140178">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0D61D334" w14:textId="77777777" w:rsidR="00140178" w:rsidRPr="00CE11B7" w:rsidRDefault="00140178" w:rsidP="00140178">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CF01900" w14:textId="77777777" w:rsidR="00140178" w:rsidRPr="008001F5" w:rsidRDefault="00140178" w:rsidP="00140178">
      <w:pPr>
        <w:pStyle w:val="Heading4"/>
        <w:rPr>
          <w:rFonts w:cs="Calibri"/>
        </w:rPr>
      </w:pPr>
      <w:r>
        <w:rPr>
          <w:rFonts w:cs="Calibri"/>
        </w:rPr>
        <w:lastRenderedPageBreak/>
        <w:t xml:space="preserve">[5] </w:t>
      </w:r>
      <w:r w:rsidRPr="008001F5">
        <w:rPr>
          <w:rFonts w:cs="Calibri"/>
        </w:rPr>
        <w:t xml:space="preserve">Apocalyptic images challenge dominant power structures by contesting the implausibility </w:t>
      </w:r>
      <w:r>
        <w:rPr>
          <w:rFonts w:cs="Calibri"/>
        </w:rPr>
        <w:t>of actions.</w:t>
      </w:r>
    </w:p>
    <w:p w14:paraId="21FC0E29" w14:textId="77777777" w:rsidR="00140178" w:rsidRPr="008001F5" w:rsidRDefault="00140178" w:rsidP="00140178">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5DB809CB" w14:textId="77777777" w:rsidR="00140178" w:rsidRDefault="00140178" w:rsidP="00140178">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 xml:space="preserve">e impossibilities </w:t>
      </w:r>
      <w:r w:rsidRPr="008001F5">
        <w:rPr>
          <w:rStyle w:val="Emphasis"/>
          <w:highlight w:val="green"/>
        </w:rPr>
        <w:lastRenderedPageBreak/>
        <w:t>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5D3D9787" w14:textId="77777777" w:rsidR="00AE5A98" w:rsidRPr="00394AF8" w:rsidRDefault="00AE5A98" w:rsidP="00AE5A98">
      <w:pPr>
        <w:pStyle w:val="Heading4"/>
        <w:rPr>
          <w:rFonts w:cs="Calibri"/>
        </w:rPr>
      </w:pPr>
      <w:r>
        <w:rPr>
          <w:rFonts w:cs="Calibri"/>
        </w:rPr>
        <w:t>4</w:t>
      </w:r>
      <w:r w:rsidRPr="00394AF8">
        <w:rPr>
          <w:rFonts w:cs="Calibri"/>
        </w:rPr>
        <w:t>] Pluralism is good.</w:t>
      </w:r>
    </w:p>
    <w:p w14:paraId="1EEB0012" w14:textId="77777777" w:rsidR="00AE5A98" w:rsidRPr="00394AF8" w:rsidRDefault="00AE5A98" w:rsidP="00AE5A98">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386E66D7" w14:textId="77777777" w:rsidR="00AE5A98" w:rsidRPr="00394AF8" w:rsidRDefault="00AE5A98" w:rsidP="00AE5A98">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7E6C17B3" w14:textId="77777777" w:rsidR="00AE5A98" w:rsidRPr="00F601E6" w:rsidRDefault="00AE5A98" w:rsidP="00AE5A98"/>
    <w:p w14:paraId="0FB3CF66" w14:textId="77777777" w:rsidR="00140178" w:rsidRPr="00F601E6" w:rsidRDefault="00140178" w:rsidP="00140178"/>
    <w:sectPr w:rsidR="0014017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01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FBF"/>
    <w:rsid w:val="00100B28"/>
    <w:rsid w:val="00117316"/>
    <w:rsid w:val="001209B4"/>
    <w:rsid w:val="0014017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BC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170"/>
    <w:rsid w:val="00803A12"/>
    <w:rsid w:val="00805417"/>
    <w:rsid w:val="008266F9"/>
    <w:rsid w:val="008267E2"/>
    <w:rsid w:val="00826A9B"/>
    <w:rsid w:val="00834842"/>
    <w:rsid w:val="00840E7B"/>
    <w:rsid w:val="008533E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A9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97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163"/>
    <w:rsid w:val="00EA1115"/>
    <w:rsid w:val="00EA2597"/>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677"/>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D51FB"/>
  <w14:defaultImageDpi w14:val="300"/>
  <w15:docId w15:val="{77A49104-0EF3-BE44-A7F1-22ADD6E6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51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51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51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F51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7F51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51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170"/>
  </w:style>
  <w:style w:type="character" w:customStyle="1" w:styleId="Heading1Char">
    <w:name w:val="Heading 1 Char"/>
    <w:aliases w:val="Pocket Char"/>
    <w:basedOn w:val="DefaultParagraphFont"/>
    <w:link w:val="Heading1"/>
    <w:uiPriority w:val="9"/>
    <w:rsid w:val="007F51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517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F517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F51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517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F517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F51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517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7F5170"/>
    <w:rPr>
      <w:color w:val="auto"/>
      <w:u w:val="none"/>
    </w:rPr>
  </w:style>
  <w:style w:type="paragraph" w:styleId="DocumentMap">
    <w:name w:val="Document Map"/>
    <w:basedOn w:val="Normal"/>
    <w:link w:val="DocumentMapChar"/>
    <w:uiPriority w:val="99"/>
    <w:semiHidden/>
    <w:unhideWhenUsed/>
    <w:rsid w:val="007F51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5170"/>
    <w:rPr>
      <w:rFonts w:ascii="Lucida Grande" w:hAnsi="Lucida Grande" w:cs="Lucida Grande"/>
    </w:rPr>
  </w:style>
  <w:style w:type="paragraph" w:customStyle="1" w:styleId="textbold">
    <w:name w:val="text bold"/>
    <w:basedOn w:val="Normal"/>
    <w:link w:val="Emphasis"/>
    <w:uiPriority w:val="20"/>
    <w:qFormat/>
    <w:rsid w:val="0014017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Tag2">
    <w:name w:val="Tag2"/>
    <w:basedOn w:val="Normal"/>
    <w:qFormat/>
    <w:rsid w:val="00140178"/>
    <w:rPr>
      <w:b/>
    </w:rPr>
  </w:style>
  <w:style w:type="paragraph" w:styleId="Revision">
    <w:name w:val="Revision"/>
    <w:hidden/>
    <w:uiPriority w:val="99"/>
    <w:semiHidden/>
    <w:rsid w:val="00F4067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13428</Words>
  <Characters>76543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5</cp:revision>
  <dcterms:created xsi:type="dcterms:W3CDTF">2021-09-05T14:58:00Z</dcterms:created>
  <dcterms:modified xsi:type="dcterms:W3CDTF">2021-09-27T19:30:00Z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