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4D3B78" w14:textId="593134FD" w:rsidR="00CA73C5" w:rsidRDefault="0044377E">
      <w:pPr>
        <w:rPr>
          <w:rFonts w:ascii="Times New Roman" w:hAnsi="Times New Roman" w:cs="Times New Roman"/>
        </w:rPr>
      </w:pPr>
      <w:proofErr w:type="spellStart"/>
      <w:r>
        <w:rPr>
          <w:rFonts w:ascii="Times New Roman" w:hAnsi="Times New Roman" w:cs="Times New Roman"/>
        </w:rPr>
        <w:t>Alexandriana</w:t>
      </w:r>
      <w:proofErr w:type="spellEnd"/>
      <w:r>
        <w:rPr>
          <w:rFonts w:ascii="Times New Roman" w:hAnsi="Times New Roman" w:cs="Times New Roman"/>
        </w:rPr>
        <w:t xml:space="preserve"> Davis</w:t>
      </w:r>
    </w:p>
    <w:p w14:paraId="4FCAA9D9" w14:textId="3863D34C" w:rsidR="0044377E" w:rsidRDefault="0044377E">
      <w:pPr>
        <w:rPr>
          <w:rFonts w:ascii="Times New Roman" w:hAnsi="Times New Roman" w:cs="Times New Roman"/>
        </w:rPr>
      </w:pPr>
      <w:r>
        <w:rPr>
          <w:rFonts w:ascii="Times New Roman" w:hAnsi="Times New Roman" w:cs="Times New Roman"/>
        </w:rPr>
        <w:t>St. Croix Prep</w:t>
      </w:r>
    </w:p>
    <w:p w14:paraId="68ADCD98" w14:textId="719E0AF4" w:rsidR="0044377E" w:rsidRDefault="0044377E">
      <w:pPr>
        <w:rPr>
          <w:rFonts w:ascii="Times New Roman" w:hAnsi="Times New Roman" w:cs="Times New Roman"/>
        </w:rPr>
      </w:pPr>
      <w:r>
        <w:rPr>
          <w:rFonts w:ascii="Times New Roman" w:hAnsi="Times New Roman" w:cs="Times New Roman"/>
        </w:rPr>
        <w:t>1AC Outline</w:t>
      </w:r>
    </w:p>
    <w:p w14:paraId="57171BEA" w14:textId="2C96C1CA" w:rsidR="0044377E" w:rsidRDefault="0044377E">
      <w:pPr>
        <w:rPr>
          <w:rFonts w:ascii="Times New Roman" w:hAnsi="Times New Roman" w:cs="Times New Roman"/>
        </w:rPr>
      </w:pPr>
    </w:p>
    <w:p w14:paraId="2E7085AA" w14:textId="77777777" w:rsidR="0044377E" w:rsidRPr="00BB1F69" w:rsidRDefault="0044377E" w:rsidP="0044377E">
      <w:pPr>
        <w:contextualSpacing/>
        <w:rPr>
          <w:rFonts w:ascii="Times New Roman" w:eastAsia="Times New Roman" w:hAnsi="Times New Roman" w:cs="Times New Roman"/>
          <w:b/>
          <w:bCs/>
          <w:color w:val="000000"/>
        </w:rPr>
      </w:pPr>
      <w:r w:rsidRPr="00BB1F69">
        <w:rPr>
          <w:rFonts w:ascii="Times New Roman" w:eastAsia="Times New Roman" w:hAnsi="Times New Roman" w:cs="Times New Roman"/>
          <w:b/>
          <w:bCs/>
          <w:color w:val="000000"/>
        </w:rPr>
        <w:t xml:space="preserve">Observation One is Framework </w:t>
      </w:r>
      <w:r w:rsidRPr="00EC1138">
        <w:rPr>
          <w:rFonts w:ascii="Times New Roman" w:eastAsia="Times New Roman" w:hAnsi="Times New Roman" w:cs="Times New Roman"/>
          <w:b/>
          <w:bCs/>
          <w:color w:val="000000"/>
        </w:rPr>
        <w:t xml:space="preserve"> </w:t>
      </w:r>
    </w:p>
    <w:p w14:paraId="2DC49A55" w14:textId="77777777" w:rsidR="0044377E" w:rsidRPr="0076210B" w:rsidRDefault="0044377E" w:rsidP="0044377E">
      <w:pPr>
        <w:rPr>
          <w:rFonts w:ascii="Times New Roman" w:eastAsia="Times New Roman" w:hAnsi="Times New Roman" w:cs="Times New Roman"/>
          <w:color w:val="000000"/>
        </w:rPr>
      </w:pPr>
      <w:r w:rsidRPr="0076210B">
        <w:rPr>
          <w:rFonts w:ascii="Times New Roman" w:eastAsia="Times New Roman" w:hAnsi="Times New Roman" w:cs="Times New Roman"/>
          <w:color w:val="000000"/>
        </w:rPr>
        <w:t xml:space="preserve">Subpoint A. Mitigating structural violence is a necessary and sufficient criterion for the advancement of justice. </w:t>
      </w:r>
    </w:p>
    <w:p w14:paraId="6A6184F8" w14:textId="77777777" w:rsidR="0044377E" w:rsidRPr="00EC1138" w:rsidRDefault="0044377E" w:rsidP="0044377E">
      <w:pPr>
        <w:contextualSpacing/>
        <w:rPr>
          <w:rFonts w:ascii="Times New Roman" w:eastAsia="Times New Roman" w:hAnsi="Times New Roman" w:cs="Times New Roman"/>
        </w:rPr>
      </w:pPr>
      <w:r w:rsidRPr="00EC1138">
        <w:rPr>
          <w:rFonts w:ascii="Times New Roman" w:eastAsia="Times New Roman" w:hAnsi="Times New Roman" w:cs="Times New Roman"/>
          <w:b/>
          <w:bCs/>
          <w:color w:val="000000"/>
        </w:rPr>
        <w:t>Winter and Leighton 99</w:t>
      </w:r>
      <w:r w:rsidRPr="00EC1138">
        <w:rPr>
          <w:rFonts w:ascii="Times New Roman" w:eastAsia="Times New Roman" w:hAnsi="Times New Roman" w:cs="Times New Roman"/>
          <w:color w:val="000000"/>
        </w:rPr>
        <w:t xml:space="preserve"> </w:t>
      </w:r>
    </w:p>
    <w:p w14:paraId="48862E46" w14:textId="77777777" w:rsidR="0044377E" w:rsidRPr="00BB1F69" w:rsidRDefault="0044377E" w:rsidP="0044377E">
      <w:pPr>
        <w:contextualSpacing/>
        <w:rPr>
          <w:rFonts w:ascii="Times New Roman" w:eastAsia="Times New Roman" w:hAnsi="Times New Roman" w:cs="Times New Roman"/>
          <w:sz w:val="16"/>
          <w:szCs w:val="16"/>
        </w:rPr>
      </w:pPr>
    </w:p>
    <w:p w14:paraId="5EAA06D3" w14:textId="77777777" w:rsidR="0044377E" w:rsidRPr="0076210B" w:rsidRDefault="0044377E" w:rsidP="0044377E">
      <w:pPr>
        <w:contextualSpacing/>
        <w:rPr>
          <w:rFonts w:ascii="Times New Roman" w:eastAsia="Times New Roman" w:hAnsi="Times New Roman" w:cs="Times New Roman"/>
        </w:rPr>
      </w:pPr>
      <w:r w:rsidRPr="0076210B">
        <w:rPr>
          <w:rFonts w:ascii="Times New Roman" w:eastAsia="Times New Roman" w:hAnsi="Times New Roman" w:cs="Times New Roman"/>
        </w:rPr>
        <w:t xml:space="preserve">Subpoint B. Prioritize structural violence – it is an exponential threat multiplier. Consequential frameworks utilize magnitude and scale to justify infinite atrocities. </w:t>
      </w:r>
    </w:p>
    <w:p w14:paraId="2E953DCC" w14:textId="5D978D4B" w:rsidR="0044377E" w:rsidRDefault="0044377E" w:rsidP="0044377E">
      <w:pPr>
        <w:rPr>
          <w:rFonts w:ascii="Times New Roman" w:hAnsi="Times New Roman" w:cs="Times New Roman"/>
          <w:b/>
          <w:bCs/>
        </w:rPr>
      </w:pPr>
      <w:r w:rsidRPr="00BB1F69">
        <w:rPr>
          <w:rFonts w:ascii="Times New Roman" w:hAnsi="Times New Roman" w:cs="Times New Roman"/>
          <w:b/>
          <w:bCs/>
        </w:rPr>
        <w:t>Nixon 11</w:t>
      </w:r>
    </w:p>
    <w:p w14:paraId="1A146FEF" w14:textId="1D16D6B4" w:rsidR="0044377E" w:rsidRDefault="0044377E" w:rsidP="0044377E">
      <w:pPr>
        <w:rPr>
          <w:rFonts w:ascii="Times New Roman" w:hAnsi="Times New Roman" w:cs="Times New Roman"/>
          <w:b/>
          <w:bCs/>
        </w:rPr>
      </w:pPr>
    </w:p>
    <w:p w14:paraId="103777AF" w14:textId="35E8167C" w:rsidR="0044377E" w:rsidRDefault="0044377E" w:rsidP="0044377E">
      <w:pPr>
        <w:rPr>
          <w:rFonts w:ascii="Times New Roman" w:hAnsi="Times New Roman" w:cs="Times New Roman"/>
        </w:rPr>
      </w:pPr>
      <w:r w:rsidRPr="0044377E">
        <w:rPr>
          <w:rFonts w:ascii="Times New Roman" w:hAnsi="Times New Roman" w:cs="Times New Roman"/>
        </w:rPr>
        <w:t>Subpoint C. Pre-Fiat advocacy key. The advancement of justice assumes a pre-fiat obligation to endorse an ethic prior to a course of action. This makes evaluating deontological justifications a priori and means that advocacy always outweighs terminal impacts.</w:t>
      </w:r>
    </w:p>
    <w:p w14:paraId="23B3549C" w14:textId="4B6640E4" w:rsidR="0044377E" w:rsidRDefault="0044377E" w:rsidP="0044377E">
      <w:pPr>
        <w:rPr>
          <w:rFonts w:ascii="Times New Roman" w:hAnsi="Times New Roman" w:cs="Times New Roman"/>
          <w:b/>
          <w:bCs/>
        </w:rPr>
      </w:pPr>
      <w:r>
        <w:rPr>
          <w:rFonts w:ascii="Times New Roman" w:hAnsi="Times New Roman" w:cs="Times New Roman"/>
          <w:b/>
          <w:bCs/>
        </w:rPr>
        <w:t>Rawls</w:t>
      </w:r>
    </w:p>
    <w:p w14:paraId="2CD454DA" w14:textId="68C809DB" w:rsidR="0044377E" w:rsidRDefault="0044377E" w:rsidP="0044377E">
      <w:pPr>
        <w:rPr>
          <w:rFonts w:ascii="Times New Roman" w:hAnsi="Times New Roman" w:cs="Times New Roman"/>
          <w:b/>
          <w:bCs/>
        </w:rPr>
      </w:pPr>
    </w:p>
    <w:p w14:paraId="048AE5DE" w14:textId="77777777" w:rsidR="0044377E" w:rsidRPr="0076210B" w:rsidRDefault="0044377E" w:rsidP="0044377E">
      <w:pPr>
        <w:pStyle w:val="NormalWeb"/>
        <w:contextualSpacing/>
        <w:rPr>
          <w:b/>
          <w:bCs/>
        </w:rPr>
      </w:pPr>
      <w:r w:rsidRPr="0076210B">
        <w:rPr>
          <w:b/>
          <w:bCs/>
        </w:rPr>
        <w:t>Observation Two is Developing Countries</w:t>
      </w:r>
    </w:p>
    <w:p w14:paraId="3422ADE1" w14:textId="77777777" w:rsidR="0044377E" w:rsidRDefault="0044377E" w:rsidP="0044377E">
      <w:pPr>
        <w:pStyle w:val="NormalWeb"/>
        <w:contextualSpacing/>
      </w:pPr>
      <w:r w:rsidRPr="0076210B">
        <w:t xml:space="preserve">Subpoint A. Current IP protections limit access to medicine in socioeconomically disadvantaged countries </w:t>
      </w:r>
    </w:p>
    <w:p w14:paraId="5D2F0E84" w14:textId="31755BBE" w:rsidR="0044377E" w:rsidRDefault="0044377E" w:rsidP="0044377E">
      <w:pPr>
        <w:pStyle w:val="NormalWeb"/>
        <w:contextualSpacing/>
        <w:rPr>
          <w:rFonts w:ascii="Calibri" w:hAnsi="Calibri"/>
          <w:b/>
          <w:bCs/>
          <w:sz w:val="26"/>
          <w:szCs w:val="26"/>
        </w:rPr>
      </w:pPr>
      <w:r>
        <w:rPr>
          <w:rFonts w:ascii="Calibri" w:hAnsi="Calibri"/>
          <w:b/>
          <w:bCs/>
          <w:sz w:val="26"/>
          <w:szCs w:val="26"/>
        </w:rPr>
        <w:t>Jung and Kwon 15</w:t>
      </w:r>
    </w:p>
    <w:p w14:paraId="7BEF99B1" w14:textId="77777777" w:rsidR="0044377E" w:rsidRDefault="0044377E" w:rsidP="0044377E">
      <w:pPr>
        <w:contextualSpacing/>
        <w:rPr>
          <w:rFonts w:ascii="Times New Roman" w:eastAsia="Times New Roman" w:hAnsi="Times New Roman" w:cs="Times New Roman"/>
        </w:rPr>
      </w:pPr>
      <w:r>
        <w:rPr>
          <w:rFonts w:ascii="Times New Roman" w:eastAsia="Times New Roman" w:hAnsi="Times New Roman" w:cs="Times New Roman"/>
        </w:rPr>
        <w:t xml:space="preserve">Subpoint B. This framework for patent protections privileges socioeconomically advantaged nations, creating a global system of structural violence that entrenches dependency and crushes the capacity of developing countries to innovate, trapping these nations in an economic death spiral. </w:t>
      </w:r>
    </w:p>
    <w:p w14:paraId="7E4D5B0A" w14:textId="46E0A728" w:rsidR="0044377E" w:rsidRDefault="0044377E" w:rsidP="0044377E">
      <w:pPr>
        <w:contextualSpacing/>
        <w:rPr>
          <w:rFonts w:ascii="Times New Roman" w:eastAsia="Times New Roman" w:hAnsi="Times New Roman" w:cs="Times New Roman"/>
          <w:b/>
          <w:bCs/>
        </w:rPr>
      </w:pPr>
      <w:r w:rsidRPr="00914188">
        <w:rPr>
          <w:rFonts w:ascii="Times New Roman" w:eastAsia="Times New Roman" w:hAnsi="Times New Roman" w:cs="Times New Roman"/>
          <w:b/>
          <w:bCs/>
        </w:rPr>
        <w:t>Liu 14</w:t>
      </w:r>
    </w:p>
    <w:p w14:paraId="33797C7A" w14:textId="77777777" w:rsidR="0044377E" w:rsidRDefault="0044377E" w:rsidP="0044377E">
      <w:pPr>
        <w:contextualSpacing/>
        <w:rPr>
          <w:rFonts w:ascii="Times New Roman" w:eastAsia="Times New Roman" w:hAnsi="Times New Roman" w:cs="Times New Roman"/>
          <w:b/>
          <w:bCs/>
        </w:rPr>
      </w:pPr>
    </w:p>
    <w:p w14:paraId="3AC29C21" w14:textId="77777777" w:rsidR="0044377E" w:rsidRPr="00BB1F69" w:rsidRDefault="0044377E" w:rsidP="0044377E">
      <w:pPr>
        <w:contextualSpacing/>
        <w:rPr>
          <w:rFonts w:ascii="Times New Roman" w:eastAsia="Times New Roman" w:hAnsi="Times New Roman" w:cs="Times New Roman"/>
        </w:rPr>
      </w:pPr>
      <w:r w:rsidRPr="00BB1F69">
        <w:rPr>
          <w:rFonts w:ascii="Times New Roman" w:eastAsia="Times New Roman" w:hAnsi="Times New Roman" w:cs="Times New Roman"/>
        </w:rPr>
        <w:t xml:space="preserve">Subpoint </w:t>
      </w:r>
      <w:r>
        <w:rPr>
          <w:rFonts w:ascii="Times New Roman" w:eastAsia="Times New Roman" w:hAnsi="Times New Roman" w:cs="Times New Roman"/>
        </w:rPr>
        <w:t>C</w:t>
      </w:r>
      <w:r w:rsidRPr="00BB1F69">
        <w:rPr>
          <w:rFonts w:ascii="Times New Roman" w:eastAsia="Times New Roman" w:hAnsi="Times New Roman" w:cs="Times New Roman"/>
        </w:rPr>
        <w:t xml:space="preserve">. </w:t>
      </w:r>
      <w:r>
        <w:rPr>
          <w:rFonts w:ascii="Times New Roman" w:eastAsia="Times New Roman" w:hAnsi="Times New Roman" w:cs="Times New Roman"/>
        </w:rPr>
        <w:t xml:space="preserve">This costs millions of lives. </w:t>
      </w:r>
      <w:r w:rsidRPr="00BB1F69">
        <w:rPr>
          <w:rFonts w:ascii="Times New Roman" w:eastAsia="Times New Roman" w:hAnsi="Times New Roman" w:cs="Times New Roman"/>
        </w:rPr>
        <w:t>South Africa empirically proves</w:t>
      </w:r>
    </w:p>
    <w:p w14:paraId="7F502045" w14:textId="24243D1C" w:rsidR="0044377E" w:rsidRPr="0044377E" w:rsidRDefault="0044377E" w:rsidP="0044377E">
      <w:pPr>
        <w:contextualSpacing/>
        <w:rPr>
          <w:rFonts w:ascii="Times New Roman" w:hAnsi="Times New Roman" w:cs="Times New Roman"/>
          <w:b/>
          <w:bCs/>
          <w:sz w:val="26"/>
          <w:szCs w:val="26"/>
        </w:rPr>
      </w:pPr>
      <w:r w:rsidRPr="00BB1F69">
        <w:rPr>
          <w:rFonts w:ascii="Times New Roman" w:hAnsi="Times New Roman" w:cs="Times New Roman"/>
          <w:b/>
          <w:bCs/>
          <w:sz w:val="26"/>
          <w:szCs w:val="26"/>
        </w:rPr>
        <w:t>Crook 05</w:t>
      </w:r>
    </w:p>
    <w:p w14:paraId="736B291F" w14:textId="77777777" w:rsidR="0044377E" w:rsidRDefault="0044377E" w:rsidP="0044377E">
      <w:pPr>
        <w:pStyle w:val="NormalWeb"/>
        <w:contextualSpacing/>
      </w:pPr>
      <w:r>
        <w:t xml:space="preserve">Subpoint D. The structure of IP protections manifests everyday violence through colonial neglect. This has allowed the colonizer to treat the colonized as less than human, left without any value to life. </w:t>
      </w:r>
    </w:p>
    <w:p w14:paraId="2653FE51" w14:textId="78EA5CEC" w:rsidR="0044377E" w:rsidRDefault="0044377E" w:rsidP="0044377E">
      <w:pPr>
        <w:pStyle w:val="NormalWeb"/>
        <w:contextualSpacing/>
        <w:rPr>
          <w:b/>
          <w:bCs/>
        </w:rPr>
      </w:pPr>
      <w:r w:rsidRPr="0076210B">
        <w:rPr>
          <w:b/>
          <w:bCs/>
        </w:rPr>
        <w:t>Hassan 10</w:t>
      </w:r>
    </w:p>
    <w:p w14:paraId="51FBC0F2" w14:textId="4225DD74" w:rsidR="0044377E" w:rsidRDefault="0044377E" w:rsidP="0044377E">
      <w:pPr>
        <w:pStyle w:val="NormalWeb"/>
        <w:contextualSpacing/>
        <w:rPr>
          <w:b/>
          <w:bCs/>
        </w:rPr>
      </w:pPr>
    </w:p>
    <w:p w14:paraId="392C7ED9" w14:textId="77777777" w:rsidR="0044377E" w:rsidRPr="00BB1F69" w:rsidRDefault="0044377E" w:rsidP="0044377E">
      <w:pPr>
        <w:pStyle w:val="NormalWeb"/>
        <w:contextualSpacing/>
      </w:pPr>
      <w:r w:rsidRPr="00BB1F69">
        <w:t xml:space="preserve">Subpoint </w:t>
      </w:r>
      <w:r>
        <w:t>E</w:t>
      </w:r>
      <w:r w:rsidRPr="00BB1F69">
        <w:t>. Reducing IP protections for medicines</w:t>
      </w:r>
      <w:r>
        <w:t xml:space="preserve"> in developing countries</w:t>
      </w:r>
      <w:r w:rsidRPr="00BB1F69">
        <w:t xml:space="preserve"> is an ethical obligation. Generics will save millions of lives in socioeconomically disadvantaged countries, while current patent practices perpetuate the slow death of structural violence. </w:t>
      </w:r>
    </w:p>
    <w:p w14:paraId="41AD874D" w14:textId="02048350" w:rsidR="0044377E" w:rsidRDefault="0044377E" w:rsidP="0044377E">
      <w:pPr>
        <w:pStyle w:val="NormalWeb"/>
        <w:contextualSpacing/>
        <w:rPr>
          <w:b/>
          <w:bCs/>
        </w:rPr>
      </w:pPr>
      <w:r w:rsidRPr="00A3736F">
        <w:rPr>
          <w:b/>
          <w:bCs/>
        </w:rPr>
        <w:t>Oxfam 01</w:t>
      </w:r>
    </w:p>
    <w:p w14:paraId="022E4CCA" w14:textId="454481C1" w:rsidR="0044377E" w:rsidRDefault="0044377E" w:rsidP="0044377E">
      <w:pPr>
        <w:pStyle w:val="NormalWeb"/>
        <w:contextualSpacing/>
        <w:rPr>
          <w:b/>
          <w:bCs/>
        </w:rPr>
      </w:pPr>
    </w:p>
    <w:p w14:paraId="6206A9C7" w14:textId="77777777" w:rsidR="0044377E" w:rsidRPr="00190D1F" w:rsidRDefault="0044377E" w:rsidP="0044377E">
      <w:pPr>
        <w:pStyle w:val="NormalWeb"/>
        <w:contextualSpacing/>
        <w:rPr>
          <w:color w:val="000000" w:themeColor="text1"/>
        </w:rPr>
      </w:pPr>
      <w:r w:rsidRPr="00190D1F">
        <w:rPr>
          <w:color w:val="000000" w:themeColor="text1"/>
        </w:rPr>
        <w:t>Subpoint F. Shifting from TRIPS to a direct support regime maintains industry incentives while mitigating structural violence. This solves the post-fiat debate</w:t>
      </w:r>
    </w:p>
    <w:p w14:paraId="7032A591" w14:textId="34AC2C1B" w:rsidR="0044377E" w:rsidRPr="0044377E" w:rsidRDefault="0044377E" w:rsidP="0044377E">
      <w:pPr>
        <w:pStyle w:val="NormalWeb"/>
        <w:contextualSpacing/>
      </w:pPr>
      <w:r w:rsidRPr="00A3736F">
        <w:rPr>
          <w:b/>
          <w:bCs/>
          <w:color w:val="000000" w:themeColor="text1"/>
        </w:rPr>
        <w:t>Lindsey 21</w:t>
      </w:r>
    </w:p>
    <w:sectPr w:rsidR="0044377E" w:rsidRPr="0044377E" w:rsidSect="001D78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77E"/>
    <w:rsid w:val="001D7863"/>
    <w:rsid w:val="0044377E"/>
    <w:rsid w:val="00CA7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E8AFA5"/>
  <w15:chartTrackingRefBased/>
  <w15:docId w15:val="{CA38FAB4-40F5-334E-8A4B-425A52890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4377E"/>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44377E"/>
    <w:pPr>
      <w:tabs>
        <w:tab w:val="center" w:pos="4680"/>
        <w:tab w:val="right" w:pos="9360"/>
      </w:tabs>
    </w:pPr>
  </w:style>
  <w:style w:type="character" w:customStyle="1" w:styleId="HeaderChar">
    <w:name w:val="Header Char"/>
    <w:basedOn w:val="DefaultParagraphFont"/>
    <w:link w:val="Header"/>
    <w:uiPriority w:val="99"/>
    <w:rsid w:val="004437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279</Words>
  <Characters>1593</Characters>
  <Application>Microsoft Office Word</Application>
  <DocSecurity>0</DocSecurity>
  <Lines>13</Lines>
  <Paragraphs>3</Paragraphs>
  <ScaleCrop>false</ScaleCrop>
  <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2021-09-04T13:07:00Z</dcterms:created>
  <dcterms:modified xsi:type="dcterms:W3CDTF">2021-09-04T13:10:00Z</dcterms:modified>
</cp:coreProperties>
</file>