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5C1653" w:rsidP="005C1653">
      <w:pPr>
        <w:pStyle w:val="Heading1"/>
      </w:pPr>
      <w:r>
        <w:t>Framework</w:t>
      </w:r>
    </w:p>
    <w:p w:rsidR="005C1653" w:rsidRPr="005C1653" w:rsidRDefault="005C1653" w:rsidP="005C1653"/>
    <w:p w:rsidR="005C1653" w:rsidRDefault="005C1653" w:rsidP="005C1653">
      <w:pPr>
        <w:pStyle w:val="Heading4"/>
        <w:rPr>
          <w:i/>
        </w:rPr>
      </w:pPr>
      <w:r>
        <w:t xml:space="preserve">I affirm the resolution </w:t>
      </w:r>
      <w:r w:rsidRPr="005C1653">
        <w:rPr>
          <w:i/>
        </w:rPr>
        <w:t>“Resolved: A just government ought to recognize an unconditional right of workers to strike.”</w:t>
      </w:r>
    </w:p>
    <w:p w:rsidR="005C1653" w:rsidRPr="005C1653" w:rsidRDefault="005C1653" w:rsidP="005C1653"/>
    <w:p w:rsidR="005C1653" w:rsidRPr="005C1653" w:rsidRDefault="005C1653" w:rsidP="00AD1097">
      <w:pPr>
        <w:pStyle w:val="Heading4"/>
      </w:pPr>
      <w:r>
        <w:t>I value morality per the usage of the word ought in the resolution</w:t>
      </w:r>
      <w:r w:rsidR="009B0D65">
        <w:t>.</w:t>
      </w:r>
    </w:p>
    <w:p w:rsidR="005C1653" w:rsidRDefault="005C1653" w:rsidP="005C1653">
      <w:pPr>
        <w:spacing w:before="40" w:after="0" w:line="240" w:lineRule="auto"/>
        <w:outlineLvl w:val="3"/>
        <w:rPr>
          <w:rFonts w:eastAsia="Times New Roman" w:cs="Calibri"/>
          <w:b/>
          <w:bCs/>
          <w:color w:val="000000"/>
          <w:sz w:val="26"/>
          <w:szCs w:val="26"/>
        </w:rPr>
      </w:pPr>
      <w:r w:rsidRPr="0032375E">
        <w:rPr>
          <w:rFonts w:eastAsia="Times New Roman" w:cs="Calibri"/>
          <w:b/>
          <w:bCs/>
          <w:color w:val="000000"/>
          <w:sz w:val="26"/>
          <w:szCs w:val="26"/>
        </w:rPr>
        <w:t>Thus, the standard is maximizing expected wellbeing. </w:t>
      </w:r>
    </w:p>
    <w:p w:rsidR="005C1653" w:rsidRPr="005C1653" w:rsidRDefault="005C1653" w:rsidP="005C1653"/>
    <w:p w:rsidR="005C1653" w:rsidRPr="0032375E" w:rsidRDefault="005C1653" w:rsidP="005C1653">
      <w:pPr>
        <w:spacing w:before="40" w:after="0" w:line="240" w:lineRule="auto"/>
        <w:outlineLvl w:val="3"/>
        <w:rPr>
          <w:rFonts w:ascii="Times New Roman" w:eastAsia="Times New Roman" w:hAnsi="Times New Roman" w:cs="Times New Roman"/>
          <w:b/>
          <w:bCs/>
          <w:sz w:val="24"/>
        </w:rPr>
      </w:pPr>
      <w:r w:rsidRPr="0032375E">
        <w:rPr>
          <w:rFonts w:eastAsia="Times New Roman" w:cs="Calibri"/>
          <w:b/>
          <w:bCs/>
          <w:color w:val="000000"/>
          <w:sz w:val="26"/>
          <w:szCs w:val="26"/>
        </w:rPr>
        <w:t xml:space="preserve">Pleasure and pain are intrinsically valuable – </w:t>
      </w:r>
      <w:proofErr w:type="gramStart"/>
      <w:r w:rsidRPr="0032375E">
        <w:rPr>
          <w:rFonts w:eastAsia="Times New Roman" w:cs="Calibri"/>
          <w:b/>
          <w:bCs/>
          <w:color w:val="000000"/>
          <w:sz w:val="26"/>
          <w:szCs w:val="26"/>
        </w:rPr>
        <w:t>they’re</w:t>
      </w:r>
      <w:proofErr w:type="gramEnd"/>
      <w:r w:rsidRPr="0032375E">
        <w:rPr>
          <w:rFonts w:eastAsia="Times New Roman" w:cs="Calibri"/>
          <w:b/>
          <w:bCs/>
          <w:color w:val="000000"/>
          <w:sz w:val="26"/>
          <w:szCs w:val="26"/>
        </w:rPr>
        <w:t xml:space="preserve"> where we reach the end of the line in matters of value</w:t>
      </w:r>
    </w:p>
    <w:p w:rsidR="005C1653" w:rsidRPr="0032375E" w:rsidRDefault="005C1653" w:rsidP="005C1653">
      <w:pPr>
        <w:spacing w:line="240" w:lineRule="auto"/>
        <w:rPr>
          <w:rFonts w:ascii="Times New Roman" w:eastAsia="Times New Roman" w:hAnsi="Times New Roman" w:cs="Times New Roman"/>
          <w:sz w:val="24"/>
        </w:rPr>
      </w:pPr>
      <w:r w:rsidRPr="0032375E">
        <w:rPr>
          <w:rFonts w:eastAsia="Times New Roman" w:cs="Calibri"/>
          <w:b/>
          <w:bCs/>
          <w:color w:val="000000"/>
          <w:sz w:val="26"/>
          <w:szCs w:val="26"/>
        </w:rPr>
        <w:t>Moen 16</w:t>
      </w:r>
      <w:r w:rsidRPr="0032375E">
        <w:rPr>
          <w:rFonts w:eastAsia="Times New Roman" w:cs="Calibri"/>
          <w:color w:val="000000"/>
        </w:rPr>
        <w:t xml:space="preserve"> [Ole Martin Moen, Research Fellow in Philosophy at University of Oslo “An Argument for Hedonism” Journal of Value Inquiry (Springer), 50 (2) 2016: 267–281]</w:t>
      </w:r>
    </w:p>
    <w:p w:rsidR="005C1653" w:rsidRDefault="005C1653" w:rsidP="005C1653">
      <w:pPr>
        <w:spacing w:line="240" w:lineRule="auto"/>
        <w:rPr>
          <w:rFonts w:eastAsia="Times New Roman" w:cs="Calibri"/>
          <w:color w:val="000000"/>
          <w:u w:val="single"/>
        </w:rPr>
      </w:pPr>
      <w:r w:rsidRPr="0032375E">
        <w:rPr>
          <w:rFonts w:eastAsia="Times New Roman" w:cs="Calibri"/>
          <w:color w:val="000000"/>
          <w:sz w:val="16"/>
          <w:szCs w:val="16"/>
        </w:rPr>
        <w:t xml:space="preserve">Let us start by observing, empirically, that </w:t>
      </w:r>
      <w:r w:rsidRPr="0032375E">
        <w:rPr>
          <w:rFonts w:eastAsia="Times New Roman" w:cs="Calibri"/>
          <w:color w:val="000000"/>
          <w:u w:val="single"/>
        </w:rPr>
        <w:t xml:space="preserve">a widely shared judgment about intrinsic value and disvalue is that </w:t>
      </w:r>
      <w:r w:rsidRPr="0032375E">
        <w:rPr>
          <w:rFonts w:eastAsia="Times New Roman" w:cs="Calibri"/>
          <w:color w:val="000000"/>
          <w:u w:val="single"/>
          <w:shd w:val="clear" w:color="auto" w:fill="00FFFF"/>
        </w:rPr>
        <w:t xml:space="preserve">pleasure is intrinsically valuable and pain </w:t>
      </w:r>
      <w:r w:rsidRPr="0032375E">
        <w:rPr>
          <w:rFonts w:eastAsia="Times New Roman" w:cs="Calibri"/>
          <w:color w:val="000000"/>
          <w:u w:val="single"/>
        </w:rPr>
        <w:t xml:space="preserve">is intrinsically </w:t>
      </w:r>
      <w:proofErr w:type="spellStart"/>
      <w:r w:rsidRPr="0032375E">
        <w:rPr>
          <w:rFonts w:eastAsia="Times New Roman" w:cs="Calibri"/>
          <w:color w:val="000000"/>
          <w:u w:val="single"/>
          <w:shd w:val="clear" w:color="auto" w:fill="00FFFF"/>
        </w:rPr>
        <w:t>disvaluable</w:t>
      </w:r>
      <w:proofErr w:type="spellEnd"/>
      <w:r w:rsidRPr="0032375E">
        <w:rPr>
          <w:rFonts w:eastAsia="Times New Roman" w:cs="Calibri"/>
          <w:color w:val="000000"/>
          <w:u w:val="single"/>
        </w:rPr>
        <w:t>.</w:t>
      </w:r>
      <w:r w:rsidRPr="0032375E">
        <w:rPr>
          <w:rFonts w:eastAsia="Times New Roman" w:cs="Calibri"/>
          <w:color w:val="000000"/>
          <w:sz w:val="16"/>
          <w:szCs w:val="16"/>
        </w:rPr>
        <w:t xml:space="preserve"> </w:t>
      </w:r>
      <w:r w:rsidRPr="0032375E">
        <w:rPr>
          <w:rFonts w:eastAsia="Times New Roman" w:cs="Calibri"/>
          <w:color w:val="000000"/>
          <w:u w:val="single"/>
        </w:rPr>
        <w:t>On virtually any proposed list of intrinsic values and disvalues (we will look at some of them below), pleasure is included among the intrinsic values and pain among the intrinsic disvalues.</w:t>
      </w:r>
      <w:r w:rsidRPr="0032375E">
        <w:rPr>
          <w:rFonts w:eastAsia="Times New Roman" w:cs="Calibri"/>
          <w:color w:val="000000"/>
          <w:sz w:val="16"/>
          <w:szCs w:val="16"/>
        </w:rPr>
        <w:t xml:space="preserve"> This inclusion makes intuitive sense, moreover, for </w:t>
      </w:r>
      <w:r w:rsidRPr="0032375E">
        <w:rPr>
          <w:rFonts w:eastAsia="Times New Roman" w:cs="Calibri"/>
          <w:color w:val="000000"/>
          <w:u w:val="single"/>
          <w:shd w:val="clear" w:color="auto" w:fill="00FFFF"/>
        </w:rPr>
        <w:t>there is something undeniably good about</w:t>
      </w:r>
      <w:r w:rsidRPr="0032375E">
        <w:rPr>
          <w:rFonts w:eastAsia="Times New Roman" w:cs="Calibri"/>
          <w:color w:val="000000"/>
          <w:u w:val="single"/>
        </w:rPr>
        <w:t xml:space="preserve"> the way </w:t>
      </w:r>
      <w:r w:rsidRPr="0032375E">
        <w:rPr>
          <w:rFonts w:eastAsia="Times New Roman" w:cs="Calibri"/>
          <w:color w:val="000000"/>
          <w:u w:val="single"/>
          <w:shd w:val="clear" w:color="auto" w:fill="00FFFF"/>
        </w:rPr>
        <w:t>pleasure</w:t>
      </w:r>
      <w:r w:rsidRPr="0032375E">
        <w:rPr>
          <w:rFonts w:eastAsia="Times New Roman" w:cs="Calibri"/>
          <w:color w:val="000000"/>
          <w:u w:val="single"/>
        </w:rPr>
        <w:t xml:space="preserve"> feels </w:t>
      </w:r>
      <w:r w:rsidRPr="0032375E">
        <w:rPr>
          <w:rFonts w:eastAsia="Times New Roman" w:cs="Calibri"/>
          <w:color w:val="000000"/>
          <w:u w:val="single"/>
          <w:shd w:val="clear" w:color="auto" w:fill="00FFFF"/>
        </w:rPr>
        <w:t xml:space="preserve">and </w:t>
      </w:r>
      <w:r w:rsidRPr="0032375E">
        <w:rPr>
          <w:rFonts w:eastAsia="Times New Roman" w:cs="Calibri"/>
          <w:color w:val="000000"/>
          <w:u w:val="single"/>
        </w:rPr>
        <w:t xml:space="preserve">something undeniably </w:t>
      </w:r>
      <w:r w:rsidRPr="0032375E">
        <w:rPr>
          <w:rFonts w:eastAsia="Times New Roman" w:cs="Calibri"/>
          <w:color w:val="000000"/>
          <w:u w:val="single"/>
          <w:shd w:val="clear" w:color="auto" w:fill="00FFFF"/>
        </w:rPr>
        <w:t>bad about</w:t>
      </w:r>
      <w:r w:rsidRPr="0032375E">
        <w:rPr>
          <w:rFonts w:eastAsia="Times New Roman" w:cs="Calibri"/>
          <w:color w:val="000000"/>
          <w:u w:val="single"/>
        </w:rPr>
        <w:t xml:space="preserve"> the way </w:t>
      </w:r>
      <w:r w:rsidRPr="0032375E">
        <w:rPr>
          <w:rFonts w:eastAsia="Times New Roman" w:cs="Calibri"/>
          <w:color w:val="000000"/>
          <w:u w:val="single"/>
          <w:shd w:val="clear" w:color="auto" w:fill="00FFFF"/>
        </w:rPr>
        <w:t>pain</w:t>
      </w:r>
      <w:r w:rsidRPr="0032375E">
        <w:rPr>
          <w:rFonts w:eastAsia="Times New Roman" w:cs="Calibri"/>
          <w:color w:val="000000"/>
          <w:u w:val="single"/>
        </w:rPr>
        <w:t xml:space="preserve"> feels, and neither the goodness of pleasure nor the badness of pain seems to </w:t>
      </w:r>
      <w:proofErr w:type="gramStart"/>
      <w:r w:rsidRPr="0032375E">
        <w:rPr>
          <w:rFonts w:eastAsia="Times New Roman" w:cs="Calibri"/>
          <w:color w:val="000000"/>
          <w:u w:val="single"/>
        </w:rPr>
        <w:t>be exhausted</w:t>
      </w:r>
      <w:proofErr w:type="gramEnd"/>
      <w:r w:rsidRPr="0032375E">
        <w:rPr>
          <w:rFonts w:eastAsia="Times New Roman" w:cs="Calibri"/>
          <w:color w:val="000000"/>
          <w:u w:val="single"/>
        </w:rPr>
        <w:t xml:space="preserve"> by the further effects that these experiences might have.</w:t>
      </w:r>
      <w:r w:rsidRPr="0032375E">
        <w:rPr>
          <w:rFonts w:eastAsia="Times New Roman" w:cs="Calibri"/>
          <w:color w:val="000000"/>
          <w:sz w:val="16"/>
          <w:szCs w:val="16"/>
        </w:rPr>
        <w:t xml:space="preserve"> “Pleasure” and “pain” are here understood inclusively, as encompassing anything hedonically positive and anything hedonically negative.2 </w:t>
      </w:r>
      <w:proofErr w:type="gramStart"/>
      <w:r w:rsidRPr="0032375E">
        <w:rPr>
          <w:rFonts w:eastAsia="Times New Roman" w:cs="Calibri"/>
          <w:color w:val="000000"/>
          <w:u w:val="single"/>
        </w:rPr>
        <w:t>The</w:t>
      </w:r>
      <w:proofErr w:type="gramEnd"/>
      <w:r w:rsidRPr="0032375E">
        <w:rPr>
          <w:rFonts w:eastAsia="Times New Roman" w:cs="Calibri"/>
          <w:color w:val="000000"/>
          <w:u w:val="single"/>
        </w:rPr>
        <w:t xml:space="preserve"> special </w:t>
      </w:r>
      <w:r w:rsidRPr="0032375E">
        <w:rPr>
          <w:rFonts w:eastAsia="Times New Roman" w:cs="Calibri"/>
          <w:color w:val="000000"/>
          <w:u w:val="single"/>
          <w:shd w:val="clear" w:color="auto" w:fill="00FFFF"/>
        </w:rPr>
        <w:t>value statuses of pleasure and pain are manifested in how we treat</w:t>
      </w:r>
      <w:r w:rsidRPr="0032375E">
        <w:rPr>
          <w:rFonts w:eastAsia="Times New Roman" w:cs="Calibri"/>
          <w:color w:val="000000"/>
          <w:u w:val="single"/>
        </w:rPr>
        <w:t xml:space="preserve"> these </w:t>
      </w:r>
      <w:r w:rsidRPr="0032375E">
        <w:rPr>
          <w:rFonts w:eastAsia="Times New Roman" w:cs="Calibri"/>
          <w:color w:val="000000"/>
          <w:u w:val="single"/>
          <w:shd w:val="clear" w:color="auto" w:fill="00FFFF"/>
        </w:rPr>
        <w:t>experiences in</w:t>
      </w:r>
      <w:r w:rsidRPr="0032375E">
        <w:rPr>
          <w:rFonts w:eastAsia="Times New Roman" w:cs="Calibri"/>
          <w:color w:val="000000"/>
          <w:u w:val="single"/>
        </w:rPr>
        <w:t xml:space="preserve"> our </w:t>
      </w:r>
      <w:r w:rsidRPr="0032375E">
        <w:rPr>
          <w:rFonts w:eastAsia="Times New Roman" w:cs="Calibri"/>
          <w:color w:val="000000"/>
          <w:u w:val="single"/>
          <w:shd w:val="clear" w:color="auto" w:fill="00FFFF"/>
        </w:rPr>
        <w:t>everyday reasoning</w:t>
      </w:r>
      <w:r w:rsidRPr="0032375E">
        <w:rPr>
          <w:rFonts w:eastAsia="Times New Roman" w:cs="Calibri"/>
          <w:color w:val="000000"/>
          <w:u w:val="single"/>
        </w:rPr>
        <w:t xml:space="preserve"> about values.</w:t>
      </w:r>
      <w:r w:rsidRPr="0032375E">
        <w:rPr>
          <w:rFonts w:eastAsia="Times New Roman" w:cs="Calibri"/>
          <w:color w:val="000000"/>
          <w:sz w:val="16"/>
          <w:szCs w:val="16"/>
        </w:rPr>
        <w:t xml:space="preserve"> If you tell me that you are heading for the convenience store, </w:t>
      </w:r>
      <w:r w:rsidRPr="0032375E">
        <w:rPr>
          <w:rFonts w:eastAsia="Times New Roman" w:cs="Calibri"/>
          <w:color w:val="000000"/>
          <w:u w:val="single"/>
        </w:rPr>
        <w:t xml:space="preserve">I might </w:t>
      </w:r>
      <w:proofErr w:type="gramStart"/>
      <w:r w:rsidRPr="0032375E">
        <w:rPr>
          <w:rFonts w:eastAsia="Times New Roman" w:cs="Calibri"/>
          <w:color w:val="000000"/>
          <w:u w:val="single"/>
        </w:rPr>
        <w:t>ask:</w:t>
      </w:r>
      <w:proofErr w:type="gramEnd"/>
      <w:r w:rsidRPr="0032375E">
        <w:rPr>
          <w:rFonts w:eastAsia="Times New Roman" w:cs="Calibri"/>
          <w:color w:val="000000"/>
          <w:u w:val="single"/>
        </w:rPr>
        <w:t xml:space="preserve"> “What for?” This is a reasonable question, for when you go to the convenience store you usually do so</w:t>
      </w:r>
      <w:r w:rsidRPr="0032375E">
        <w:rPr>
          <w:rFonts w:eastAsia="Times New Roman" w:cs="Calibri"/>
          <w:color w:val="000000"/>
          <w:sz w:val="16"/>
          <w:szCs w:val="16"/>
        </w:rPr>
        <w:t xml:space="preserve">, not merely for the sake of going to the convenience store, but </w:t>
      </w:r>
      <w:r w:rsidRPr="0032375E">
        <w:rPr>
          <w:rFonts w:eastAsia="Times New Roman" w:cs="Calibri"/>
          <w:color w:val="000000"/>
          <w:u w:val="single"/>
        </w:rPr>
        <w:t>for the sake of achieving something further that you deem to be valuable.</w:t>
      </w:r>
      <w:r w:rsidRPr="0032375E">
        <w:rPr>
          <w:rFonts w:eastAsia="Times New Roman" w:cs="Calibr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32375E">
        <w:rPr>
          <w:rFonts w:eastAsia="Times New Roman" w:cs="Calibri"/>
          <w:color w:val="000000"/>
          <w:u w:val="single"/>
        </w:rPr>
        <w:t xml:space="preserve">If I then proceed by asking “But what is the pleasure of drinking the soda good for?” the discussion is likely to reach an awkward end. The reason is that the </w:t>
      </w:r>
      <w:r w:rsidRPr="0032375E">
        <w:rPr>
          <w:rFonts w:eastAsia="Times New Roman" w:cs="Calibri"/>
          <w:color w:val="000000"/>
          <w:u w:val="single"/>
          <w:shd w:val="clear" w:color="auto" w:fill="00FFFF"/>
        </w:rPr>
        <w:t>pleasure is not good for anything further</w:t>
      </w:r>
      <w:r w:rsidRPr="0032375E">
        <w:rPr>
          <w:rFonts w:eastAsia="Times New Roman" w:cs="Calibri"/>
          <w:color w:val="000000"/>
          <w:u w:val="single"/>
        </w:rPr>
        <w:t>; it is simply that for which going to the convenience store and buying the soda is good.</w:t>
      </w:r>
      <w:r w:rsidRPr="0032375E">
        <w:rPr>
          <w:rFonts w:eastAsia="Times New Roman" w:cs="Calibri"/>
          <w:color w:val="000000"/>
          <w:sz w:val="16"/>
          <w:szCs w:val="16"/>
        </w:rPr>
        <w:t>3 As Aristotle observes</w:t>
      </w:r>
      <w:r w:rsidRPr="0032375E">
        <w:rPr>
          <w:rFonts w:eastAsia="Times New Roman" w:cs="Calibri"/>
          <w:color w:val="000000"/>
          <w:u w:val="single"/>
        </w:rPr>
        <w:t>: “We never ask [a man] what his end is in being pleased, because we assume that pleasure is choice worthy in itself.</w:t>
      </w:r>
      <w:r w:rsidRPr="0032375E">
        <w:rPr>
          <w:rFonts w:eastAsia="Times New Roman" w:cs="Calibri"/>
          <w:color w:val="000000"/>
          <w:sz w:val="16"/>
          <w:szCs w:val="16"/>
        </w:rPr>
        <w:t>”</w:t>
      </w:r>
      <w:proofErr w:type="gramStart"/>
      <w:r w:rsidRPr="0032375E">
        <w:rPr>
          <w:rFonts w:eastAsia="Times New Roman" w:cs="Calibri"/>
          <w:color w:val="000000"/>
          <w:sz w:val="16"/>
          <w:szCs w:val="16"/>
        </w:rPr>
        <w:t>4</w:t>
      </w:r>
      <w:proofErr w:type="gramEnd"/>
      <w:r w:rsidRPr="0032375E">
        <w:rPr>
          <w:rFonts w:eastAsia="Times New Roman" w:cs="Calibri"/>
          <w:color w:val="000000"/>
          <w:sz w:val="16"/>
          <w:szCs w:val="16"/>
        </w:rPr>
        <w:t xml:space="preserve">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2375E">
        <w:rPr>
          <w:rFonts w:eastAsia="Times New Roman" w:cs="Calibri"/>
          <w:color w:val="000000"/>
          <w:u w:val="single"/>
        </w:rPr>
        <w:t>pleasure and pain are both places where we reach the end of the line in matters of value. </w:t>
      </w:r>
    </w:p>
    <w:p w:rsidR="00D5075A" w:rsidRDefault="00D5075A" w:rsidP="005C1653">
      <w:pPr>
        <w:spacing w:line="240" w:lineRule="auto"/>
        <w:rPr>
          <w:rFonts w:eastAsia="Times New Roman" w:cs="Calibri"/>
          <w:color w:val="000000"/>
          <w:u w:val="single"/>
        </w:rPr>
      </w:pPr>
    </w:p>
    <w:p w:rsidR="00D5075A" w:rsidRDefault="005C1653" w:rsidP="00AD1097">
      <w:pPr>
        <w:pStyle w:val="Heading4"/>
      </w:pPr>
      <w:r w:rsidRPr="00BD054D">
        <w:t>Prefer additionally</w:t>
      </w:r>
    </w:p>
    <w:p w:rsidR="00AD1097" w:rsidRPr="00AD1097" w:rsidRDefault="00AD1097" w:rsidP="00AD1097"/>
    <w:p w:rsidR="005C1653" w:rsidRPr="0032375E" w:rsidRDefault="005C1653" w:rsidP="005C1653">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1</w:t>
      </w:r>
      <w:r w:rsidRPr="0032375E">
        <w:rPr>
          <w:rFonts w:eastAsia="Times New Roman" w:cs="Calibri"/>
          <w:b/>
          <w:bCs/>
          <w:color w:val="000000"/>
          <w:sz w:val="26"/>
          <w:szCs w:val="26"/>
        </w:rPr>
        <w:t>] Actor specificity: </w:t>
      </w:r>
    </w:p>
    <w:p w:rsidR="005C1653" w:rsidRPr="0032375E" w:rsidRDefault="005C1653" w:rsidP="005C1653">
      <w:pPr>
        <w:spacing w:before="40" w:after="0" w:line="240" w:lineRule="auto"/>
        <w:outlineLvl w:val="3"/>
        <w:rPr>
          <w:rFonts w:ascii="Times New Roman" w:eastAsia="Times New Roman" w:hAnsi="Times New Roman" w:cs="Times New Roman"/>
          <w:b/>
          <w:bCs/>
          <w:sz w:val="24"/>
        </w:rPr>
      </w:pPr>
      <w:r w:rsidRPr="0032375E">
        <w:rPr>
          <w:rFonts w:eastAsia="Times New Roman" w:cs="Calibri"/>
          <w:b/>
          <w:bCs/>
          <w:color w:val="000000"/>
          <w:sz w:val="26"/>
          <w:szCs w:val="26"/>
        </w:rPr>
        <w:t xml:space="preserve">A – </w:t>
      </w:r>
      <w:proofErr w:type="gramStart"/>
      <w:r w:rsidRPr="0032375E">
        <w:rPr>
          <w:rFonts w:eastAsia="Times New Roman" w:cs="Calibri"/>
          <w:b/>
          <w:bCs/>
          <w:color w:val="000000"/>
          <w:sz w:val="26"/>
          <w:szCs w:val="26"/>
        </w:rPr>
        <w:t>governments</w:t>
      </w:r>
      <w:proofErr w:type="gramEnd"/>
      <w:r w:rsidRPr="0032375E">
        <w:rPr>
          <w:rFonts w:eastAsia="Times New Roman" w:cs="Calibri"/>
          <w:b/>
          <w:bCs/>
          <w:color w:val="000000"/>
          <w:sz w:val="26"/>
          <w:szCs w:val="26"/>
        </w:rPr>
        <w:t xml:space="preserve"> have to aggregate since collective actions necessarily benefit some people while hurting others either due to resource tradeoffs or scope of effect, deontic side constraints freeze action. </w:t>
      </w:r>
    </w:p>
    <w:p w:rsidR="005C1653" w:rsidRPr="0032375E" w:rsidRDefault="005C1653" w:rsidP="005C1653">
      <w:pPr>
        <w:spacing w:after="0" w:line="240" w:lineRule="auto"/>
        <w:rPr>
          <w:rFonts w:ascii="Times New Roman" w:eastAsia="Times New Roman" w:hAnsi="Times New Roman" w:cs="Times New Roman"/>
          <w:sz w:val="24"/>
        </w:rPr>
      </w:pPr>
    </w:p>
    <w:p w:rsidR="005C1653" w:rsidRDefault="005C1653" w:rsidP="005C1653">
      <w:pPr>
        <w:pStyle w:val="Heading4"/>
        <w:rPr>
          <w:rFonts w:cs="Calibri"/>
        </w:rPr>
      </w:pPr>
      <w:r w:rsidRPr="003677F5">
        <w:rPr>
          <w:rFonts w:cs="Calibri"/>
        </w:rPr>
        <w:t xml:space="preserve">2] </w:t>
      </w:r>
      <w:proofErr w:type="spellStart"/>
      <w:r w:rsidRPr="003677F5">
        <w:rPr>
          <w:rFonts w:cs="Calibri"/>
        </w:rPr>
        <w:t>Util</w:t>
      </w:r>
      <w:proofErr w:type="spellEnd"/>
      <w:r w:rsidRPr="003677F5">
        <w:rPr>
          <w:rFonts w:cs="Calibri"/>
        </w:rPr>
        <w:t xml:space="preserve"> is a lexical pre-requisite to any other framework: Threats to bodily security and life preclude the ability for moral actors to effectively utilize and act upon other moral theories since they are in a constant state of crisis – that inhibits the ideal moral </w:t>
      </w:r>
      <w:proofErr w:type="gramStart"/>
      <w:r w:rsidRPr="003677F5">
        <w:rPr>
          <w:rFonts w:cs="Calibri"/>
        </w:rPr>
        <w:t>conditions which</w:t>
      </w:r>
      <w:proofErr w:type="gramEnd"/>
      <w:r w:rsidRPr="003677F5">
        <w:rPr>
          <w:rFonts w:cs="Calibri"/>
        </w:rPr>
        <w:t xml:space="preserve"> other theories presuppose. </w:t>
      </w:r>
    </w:p>
    <w:p w:rsidR="00AD1097" w:rsidRDefault="00AD1097" w:rsidP="00AD1097">
      <w:pPr>
        <w:pStyle w:val="Heading1"/>
      </w:pPr>
      <w:r>
        <w:t>Case</w:t>
      </w:r>
    </w:p>
    <w:p w:rsidR="00C05AEB" w:rsidRPr="00C05AEB" w:rsidRDefault="00C05AEB" w:rsidP="00C05AEB"/>
    <w:p w:rsidR="00AD1097" w:rsidRDefault="00AD1097" w:rsidP="00AD1097">
      <w:pPr>
        <w:pStyle w:val="Heading2"/>
      </w:pPr>
      <w:r>
        <w:t>Contention 1: Democracy</w:t>
      </w:r>
    </w:p>
    <w:p w:rsidR="00297160" w:rsidRDefault="00297160" w:rsidP="00297160">
      <w:pPr>
        <w:pStyle w:val="Heading4"/>
      </w:pP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rsidR="00297160" w:rsidRPr="00C76511" w:rsidRDefault="00297160" w:rsidP="00297160">
      <w:proofErr w:type="spellStart"/>
      <w:r w:rsidRPr="00C76511">
        <w:rPr>
          <w:rStyle w:val="Style13ptBold"/>
        </w:rPr>
        <w:t>McElwee</w:t>
      </w:r>
      <w:proofErr w:type="spellEnd"/>
      <w:r w:rsidRPr="00C76511">
        <w:rPr>
          <w:rStyle w:val="Style13ptBold"/>
        </w:rPr>
        <w:t xml:space="preserv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rsidR="00297160" w:rsidRPr="004A176C" w:rsidRDefault="00297160" w:rsidP="00297160">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w:t>
      </w:r>
      <w:proofErr w:type="gramStart"/>
      <w:r w:rsidRPr="004A176C">
        <w:rPr>
          <w:u w:val="single"/>
        </w:rPr>
        <w:t>And</w:t>
      </w:r>
      <w:proofErr w:type="gramEnd"/>
      <w:r w:rsidRPr="004A176C">
        <w:rPr>
          <w:u w:val="single"/>
        </w:rPr>
        <w:t xml:space="preserve">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rsidR="00297160" w:rsidRPr="00900F2B" w:rsidRDefault="00297160" w:rsidP="00297160">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t>
      </w:r>
      <w:proofErr w:type="gramStart"/>
      <w:r w:rsidRPr="00900F2B">
        <w:rPr>
          <w:sz w:val="16"/>
        </w:rPr>
        <w:t>were employed</w:t>
      </w:r>
      <w:proofErr w:type="gramEnd"/>
      <w:r w:rsidRPr="00900F2B">
        <w:rPr>
          <w:sz w:val="16"/>
        </w:rPr>
        <w:t>, and does not include self-employed workers). While only 39 percent of non-union workers voted in 2014, fully 52 percent of union workers did.</w:t>
      </w:r>
    </w:p>
    <w:p w:rsidR="00297160" w:rsidRPr="00900F2B" w:rsidRDefault="00297160" w:rsidP="00297160">
      <w:pPr>
        <w:rPr>
          <w:sz w:val="16"/>
        </w:rPr>
      </w:pPr>
      <w:proofErr w:type="gramStart"/>
      <w:r w:rsidRPr="00900F2B">
        <w:rPr>
          <w:sz w:val="16"/>
        </w:rPr>
        <w:t xml:space="preserve">As part of ongoing research, </w:t>
      </w:r>
      <w:r w:rsidRPr="004A176C">
        <w:rPr>
          <w:u w:val="single"/>
        </w:rPr>
        <w:t xml:space="preserve">James </w:t>
      </w:r>
      <w:proofErr w:type="spellStart"/>
      <w:r w:rsidRPr="004A176C">
        <w:rPr>
          <w:u w:val="single"/>
        </w:rPr>
        <w:t>Feigenbaum</w:t>
      </w:r>
      <w:proofErr w:type="spellEnd"/>
      <w:r w:rsidRPr="004A176C">
        <w:rPr>
          <w:u w:val="single"/>
        </w:rPr>
        <w:t xml:space="preserve">,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w:t>
      </w:r>
      <w:proofErr w:type="gramEnd"/>
      <w:r w:rsidRPr="00900F2B">
        <w:rPr>
          <w:sz w:val="16"/>
        </w:rPr>
        <w:t xml:space="preserve"> This is largely in line with the earlier estimates of Richard Freeman.</w:t>
      </w:r>
    </w:p>
    <w:p w:rsidR="00297160" w:rsidRPr="004A176C" w:rsidRDefault="00297160" w:rsidP="00297160">
      <w:pPr>
        <w:rPr>
          <w:u w:val="single"/>
        </w:rPr>
      </w:pPr>
      <w:r w:rsidRPr="004A176C">
        <w:rPr>
          <w:u w:val="single"/>
        </w:rPr>
        <w:t xml:space="preserve">These numbers may appear modest, but in a close national </w:t>
      </w:r>
      <w:proofErr w:type="gramStart"/>
      <w:r w:rsidRPr="004A176C">
        <w:rPr>
          <w:u w:val="single"/>
        </w:rPr>
        <w:t>election</w:t>
      </w:r>
      <w:proofErr w:type="gramEnd"/>
      <w:r w:rsidRPr="004A176C">
        <w:rPr>
          <w:u w:val="single"/>
        </w:rPr>
        <w:t xml:space="preserve"> they could be enough to change the result.</w:t>
      </w:r>
    </w:p>
    <w:p w:rsidR="00297160" w:rsidRPr="004A176C" w:rsidRDefault="00297160" w:rsidP="00297160">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rsidR="00297160" w:rsidRPr="00900F2B" w:rsidRDefault="00297160" w:rsidP="00297160">
      <w:pPr>
        <w:rPr>
          <w:sz w:val="16"/>
        </w:rPr>
      </w:pPr>
      <w:proofErr w:type="gramStart"/>
      <w:r w:rsidRPr="004A176C">
        <w:rPr>
          <w:u w:val="single"/>
        </w:rPr>
        <w:t>What's</w:t>
      </w:r>
      <w:proofErr w:type="gramEnd"/>
      <w:r w:rsidRPr="004A176C">
        <w:rPr>
          <w:u w:val="single"/>
        </w:rPr>
        <w:t xml:space="preserve">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rsidR="00297160" w:rsidRPr="00900F2B" w:rsidRDefault="00297160" w:rsidP="00297160">
      <w:pPr>
        <w:rPr>
          <w:sz w:val="16"/>
        </w:rPr>
      </w:pPr>
      <w:r w:rsidRPr="00900F2B">
        <w:rPr>
          <w:sz w:val="16"/>
        </w:rPr>
        <w:t xml:space="preserve">Individuals living in union households are also more progressive than those in non-union </w:t>
      </w:r>
      <w:proofErr w:type="gramStart"/>
      <w:r w:rsidRPr="00900F2B">
        <w:rPr>
          <w:sz w:val="16"/>
        </w:rPr>
        <w:t>households</w:t>
      </w:r>
      <w:proofErr w:type="gramEnd"/>
      <w:r w:rsidRPr="00900F2B">
        <w:rPr>
          <w:sz w:val="16"/>
        </w:rPr>
        <w:t xml:space="preserve">. I examined 2012 ANES data and find that union households </w:t>
      </w:r>
      <w:proofErr w:type="gramStart"/>
      <w:r w:rsidRPr="00900F2B">
        <w:rPr>
          <w:sz w:val="16"/>
        </w:rPr>
        <w:t>aren't</w:t>
      </w:r>
      <w:proofErr w:type="gramEnd"/>
      <w:r w:rsidRPr="00900F2B">
        <w:rPr>
          <w:sz w:val="16"/>
        </w:rPr>
        <w:t xml:space="preserve">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297160" w:rsidRPr="00900F2B" w:rsidRDefault="00297160" w:rsidP="00297160">
      <w:pPr>
        <w:rPr>
          <w:sz w:val="16"/>
        </w:rPr>
      </w:pPr>
      <w:r w:rsidRPr="00900F2B">
        <w:rPr>
          <w:sz w:val="16"/>
        </w:rPr>
        <w:t xml:space="preserve">More upscale union members are far more progressive than their non-union </w:t>
      </w:r>
      <w:proofErr w:type="gramStart"/>
      <w:r w:rsidRPr="00900F2B">
        <w:rPr>
          <w:sz w:val="16"/>
        </w:rPr>
        <w:t>counterparts</w:t>
      </w:r>
      <w:proofErr w:type="gramEnd"/>
      <w:r w:rsidRPr="00900F2B">
        <w:rPr>
          <w:sz w:val="16"/>
        </w:rPr>
        <w:t xml:space="preserve">. Non-union households with an income above $60,000 oppose government intervention to reduce inequality by 11 points, with 32.2 percent in favor and 43.4 percent </w:t>
      </w:r>
      <w:proofErr w:type="gramStart"/>
      <w:r w:rsidRPr="00900F2B">
        <w:rPr>
          <w:sz w:val="16"/>
        </w:rPr>
        <w:t>against</w:t>
      </w:r>
      <w:proofErr w:type="gramEnd"/>
      <w:r w:rsidRPr="00900F2B">
        <w:rPr>
          <w:sz w:val="16"/>
        </w:rPr>
        <w:t xml:space="preserve">. </w:t>
      </w:r>
      <w:proofErr w:type="gramStart"/>
      <w:r w:rsidRPr="00900F2B">
        <w:rPr>
          <w:sz w:val="16"/>
        </w:rPr>
        <w:t>But</w:t>
      </w:r>
      <w:proofErr w:type="gramEnd"/>
      <w:r w:rsidRPr="00900F2B">
        <w:rPr>
          <w:sz w:val="16"/>
        </w:rPr>
        <w:t xml:space="preserve">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w:t>
      </w:r>
      <w:proofErr w:type="gramStart"/>
      <w:r w:rsidRPr="00900F2B">
        <w:rPr>
          <w:sz w:val="16"/>
        </w:rPr>
        <w:t>data</w:t>
      </w:r>
      <w:proofErr w:type="gramEnd"/>
      <w:r w:rsidRPr="00900F2B">
        <w:rPr>
          <w:sz w:val="16"/>
        </w:rPr>
        <w:t xml:space="preserve"> I examined from 2012.</w:t>
      </w:r>
    </w:p>
    <w:p w:rsidR="00297160" w:rsidRPr="00900F2B" w:rsidRDefault="00297160" w:rsidP="00297160">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rsidR="00297160" w:rsidRPr="00900F2B" w:rsidRDefault="00297160" w:rsidP="00297160">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rsidR="00297160" w:rsidRPr="008E77BD" w:rsidRDefault="00297160" w:rsidP="00297160">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 xml:space="preserve">other factor is that union members make more money, and higher income </w:t>
      </w:r>
      <w:proofErr w:type="gramStart"/>
      <w:r w:rsidRPr="008E77BD">
        <w:rPr>
          <w:u w:val="single"/>
        </w:rPr>
        <w:t>is correlated</w:t>
      </w:r>
      <w:proofErr w:type="gramEnd"/>
      <w:r w:rsidRPr="008E77BD">
        <w:rPr>
          <w:u w:val="single"/>
        </w:rPr>
        <w:t xml:space="preserve">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rsidR="00297160" w:rsidRDefault="00297160" w:rsidP="00297160">
      <w:pPr>
        <w:rPr>
          <w:u w:val="single"/>
        </w:rPr>
      </w:pPr>
      <w:proofErr w:type="gramStart"/>
      <w:r w:rsidRPr="008E77BD">
        <w:rPr>
          <w:sz w:val="16"/>
        </w:rPr>
        <w:t>It's</w:t>
      </w:r>
      <w:proofErr w:type="gramEnd"/>
      <w:r w:rsidRPr="008E77BD">
        <w:rPr>
          <w:sz w:val="16"/>
        </w:rPr>
        <w:t xml:space="preserve">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xml:space="preserve">. Workers with more democratic workplaces are more likely </w:t>
      </w:r>
      <w:proofErr w:type="gramStart"/>
      <w:r w:rsidRPr="008E77BD">
        <w:rPr>
          <w:u w:val="single"/>
        </w:rPr>
        <w:t>to democratically engage</w:t>
      </w:r>
      <w:proofErr w:type="gramEnd"/>
      <w:r w:rsidRPr="008E77BD">
        <w:rPr>
          <w:u w:val="single"/>
        </w:rPr>
        <w:t xml:space="preserv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w:t>
      </w:r>
      <w:proofErr w:type="gramStart"/>
      <w:r w:rsidRPr="008E77BD">
        <w:rPr>
          <w:sz w:val="16"/>
        </w:rPr>
        <w:t>the</w:t>
      </w:r>
      <w:proofErr w:type="gramEnd"/>
      <w:r w:rsidRPr="008E77BD">
        <w:rPr>
          <w:sz w:val="16"/>
        </w:rPr>
        <w:t xml:space="preserv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rsidR="00297160" w:rsidRDefault="00297160" w:rsidP="00297160">
      <w:pPr>
        <w:rPr>
          <w:u w:val="single"/>
        </w:rPr>
      </w:pPr>
    </w:p>
    <w:p w:rsidR="00297160" w:rsidRPr="00637937" w:rsidRDefault="00297160" w:rsidP="00297160">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rsidR="00297160" w:rsidRDefault="00297160" w:rsidP="00297160">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rsidR="00297160" w:rsidRDefault="00297160" w:rsidP="00297160">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 xml:space="preserve">The right to strike </w:t>
      </w:r>
      <w:proofErr w:type="gramStart"/>
      <w:r w:rsidRPr="00B42278">
        <w:rPr>
          <w:rStyle w:val="StyleUnderline"/>
          <w:highlight w:val="green"/>
        </w:rPr>
        <w:t>has been established</w:t>
      </w:r>
      <w:proofErr w:type="gramEnd"/>
      <w:r w:rsidRPr="00B42278">
        <w:rPr>
          <w:rStyle w:val="StyleUnderline"/>
          <w:highlight w:val="green"/>
        </w:rPr>
        <w:t xml:space="preserve">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rsidR="00297160" w:rsidRDefault="00297160" w:rsidP="00297160">
      <w:pPr>
        <w:rPr>
          <w:sz w:val="16"/>
        </w:rPr>
      </w:pPr>
    </w:p>
    <w:p w:rsidR="00297160" w:rsidRPr="00723884" w:rsidRDefault="00297160" w:rsidP="00297160">
      <w:pPr>
        <w:pStyle w:val="Heading4"/>
        <w:rPr>
          <w:rStyle w:val="StyleUnderline"/>
          <w:rFonts w:cs="Calibri"/>
          <w:sz w:val="26"/>
          <w:szCs w:val="26"/>
        </w:rPr>
      </w:pPr>
      <w:r w:rsidRPr="00723884">
        <w:rPr>
          <w:rStyle w:val="StyleUnderline"/>
          <w:rFonts w:cs="Calibri"/>
          <w:sz w:val="26"/>
          <w:szCs w:val="26"/>
        </w:rPr>
        <w:t xml:space="preserve">Democracies are not a monolithic system—even if some democracies are problematic, ones with more accountability and civic engagement are less likely to engage in regional warfare, have armed conflict, etc. </w:t>
      </w:r>
    </w:p>
    <w:p w:rsidR="00297160" w:rsidRPr="008007A1" w:rsidRDefault="00297160" w:rsidP="00297160">
      <w:pPr>
        <w:rPr>
          <w:sz w:val="16"/>
          <w:szCs w:val="16"/>
        </w:rPr>
      </w:pPr>
      <w:proofErr w:type="spellStart"/>
      <w:r w:rsidRPr="00174A6F">
        <w:rPr>
          <w:rStyle w:val="Style13ptBold"/>
        </w:rPr>
        <w:t>Cortright</w:t>
      </w:r>
      <w:proofErr w:type="spellEnd"/>
      <w:r w:rsidRPr="00174A6F">
        <w:rPr>
          <w:rStyle w:val="Style13ptBold"/>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6" w:history="1">
        <w:r w:rsidRPr="008007A1">
          <w:rPr>
            <w:rStyle w:val="Hyperlink"/>
            <w:sz w:val="16"/>
            <w:szCs w:val="16"/>
          </w:rPr>
          <w:t>https://oefresearch.org/sites/default/files/documents/publications/Cortright-Seyle-Wall-Paper.pdf</w:t>
        </w:r>
      </w:hyperlink>
      <w:r w:rsidRPr="008007A1">
        <w:rPr>
          <w:sz w:val="16"/>
          <w:szCs w:val="16"/>
        </w:rPr>
        <w:t xml:space="preserve"> ] JJ</w:t>
      </w:r>
    </w:p>
    <w:p w:rsidR="00297160" w:rsidRPr="008007A1" w:rsidRDefault="00297160" w:rsidP="00297160">
      <w:pPr>
        <w:pStyle w:val="NormalWeb"/>
        <w:shd w:val="clear" w:color="auto" w:fill="FFFFFF"/>
        <w:rPr>
          <w:rFonts w:ascii="Calibri" w:hAnsi="Calibri"/>
        </w:rPr>
      </w:pPr>
      <w:r w:rsidRPr="008007A1">
        <w:rPr>
          <w:rStyle w:val="Emphasis"/>
          <w:highlight w:val="green"/>
        </w:rPr>
        <w:t>A</w:t>
      </w:r>
      <w:r w:rsidRPr="008007A1">
        <w:rPr>
          <w:rStyle w:val="Emphasis"/>
        </w:rPr>
        <w:t xml:space="preserve"> </w:t>
      </w:r>
      <w:r w:rsidRPr="008007A1">
        <w:rPr>
          <w:rFonts w:ascii="Calibri" w:hAnsi="Calibri"/>
        </w:rPr>
        <w:t xml:space="preserve">recurring </w:t>
      </w:r>
      <w:r w:rsidRPr="008007A1">
        <w:rPr>
          <w:rStyle w:val="Emphasis"/>
          <w:highlight w:val="green"/>
        </w:rPr>
        <w:t>trend</w:t>
      </w:r>
      <w:r w:rsidRPr="008007A1">
        <w:rPr>
          <w:rStyle w:val="StyleUnderline"/>
        </w:rPr>
        <w:t xml:space="preserve"> runs </w:t>
      </w:r>
      <w:r w:rsidRPr="008007A1">
        <w:rPr>
          <w:rStyle w:val="Emphasis"/>
          <w:highlight w:val="green"/>
        </w:rPr>
        <w:t>through</w:t>
      </w:r>
      <w:r w:rsidRPr="008007A1">
        <w:rPr>
          <w:rStyle w:val="Emphasis"/>
        </w:rPr>
        <w:t xml:space="preserve"> </w:t>
      </w:r>
      <w:r w:rsidRPr="008007A1">
        <w:rPr>
          <w:rStyle w:val="StyleUnderline"/>
        </w:rPr>
        <w:t xml:space="preserve">nearly </w:t>
      </w:r>
      <w:r w:rsidRPr="008007A1">
        <w:rPr>
          <w:rStyle w:val="Emphasis"/>
          <w:highlight w:val="green"/>
        </w:rPr>
        <w:t>all</w:t>
      </w:r>
      <w:r w:rsidRPr="008007A1">
        <w:rPr>
          <w:rStyle w:val="StyleUnderline"/>
        </w:rPr>
        <w:t xml:space="preserve"> of the </w:t>
      </w:r>
      <w:r w:rsidRPr="00986FDE">
        <w:rPr>
          <w:rStyle w:val="Emphasis"/>
        </w:rPr>
        <w:t>empirica</w:t>
      </w:r>
      <w:r w:rsidRPr="008007A1">
        <w:rPr>
          <w:rStyle w:val="Emphasis"/>
          <w:highlight w:val="green"/>
        </w:rPr>
        <w:t>l studies</w:t>
      </w:r>
      <w:r w:rsidRPr="008007A1">
        <w:rPr>
          <w:rStyle w:val="StyleUnderline"/>
        </w:rPr>
        <w:t xml:space="preserve"> on the democratic peace effect. </w:t>
      </w:r>
      <w:r w:rsidRPr="008007A1">
        <w:rPr>
          <w:rStyle w:val="Emphasis"/>
          <w:highlight w:val="green"/>
        </w:rPr>
        <w:t>Fully mature democratic states</w:t>
      </w:r>
      <w:r w:rsidRPr="008007A1">
        <w:rPr>
          <w:rStyle w:val="StyleUnderline"/>
        </w:rPr>
        <w:t xml:space="preserve"> with high threshold scores on indicators of voice and accountability </w:t>
      </w:r>
      <w:r w:rsidRPr="008007A1">
        <w:rPr>
          <w:rStyle w:val="Emphasis"/>
          <w:highlight w:val="green"/>
        </w:rPr>
        <w:t xml:space="preserve">have the lowest risk of war </w:t>
      </w:r>
      <w:r w:rsidRPr="00986FDE">
        <w:rPr>
          <w:rStyle w:val="Emphasis"/>
        </w:rPr>
        <w:t>and armed conflict.</w:t>
      </w:r>
      <w:r w:rsidRPr="008007A1">
        <w:rPr>
          <w:rFonts w:ascii="Calibri" w:hAnsi="Calibri"/>
        </w:rPr>
        <w:t xml:space="preserve"> </w:t>
      </w:r>
      <w:r w:rsidRPr="008007A1">
        <w:rPr>
          <w:rStyle w:val="StyleUnderline"/>
        </w:rPr>
        <w:t>The characteristics of democracy that are most strongly associated with the absence of armed conflict and violent repression are political representativeness and inclusiveness</w:t>
      </w:r>
      <w:r w:rsidRPr="008007A1">
        <w:rPr>
          <w:rFonts w:ascii="Calibri" w:hAnsi="Calibri"/>
        </w:rPr>
        <w:t xml:space="preserve">. </w:t>
      </w:r>
      <w:r w:rsidRPr="008007A1">
        <w:rPr>
          <w:rStyle w:val="StyleUnderline"/>
        </w:rPr>
        <w:t xml:space="preserve">These </w:t>
      </w:r>
      <w:proofErr w:type="gramStart"/>
      <w:r w:rsidRPr="008007A1">
        <w:rPr>
          <w:rStyle w:val="StyleUnderline"/>
        </w:rPr>
        <w:t>are made</w:t>
      </w:r>
      <w:proofErr w:type="gramEnd"/>
      <w:r w:rsidRPr="008007A1">
        <w:rPr>
          <w:rStyle w:val="StyleUnderline"/>
        </w:rPr>
        <w:t xml:space="preserve"> possible by,</w:t>
      </w:r>
      <w:r w:rsidRPr="008007A1">
        <w:rPr>
          <w:rFonts w:ascii="Calibri" w:hAnsi="Calibri"/>
        </w:rPr>
        <w:t xml:space="preserve"> and help to sustain, essential </w:t>
      </w:r>
      <w:r w:rsidRPr="008007A1">
        <w:rPr>
          <w:rStyle w:val="StyleUnderline"/>
        </w:rPr>
        <w:t>civil liberties and human rights.</w:t>
      </w:r>
    </w:p>
    <w:p w:rsidR="00297160" w:rsidRPr="008007A1" w:rsidRDefault="00297160" w:rsidP="00297160">
      <w:pPr>
        <w:pStyle w:val="NormalWeb"/>
        <w:shd w:val="clear" w:color="auto" w:fill="FFFFFF"/>
        <w:rPr>
          <w:rStyle w:val="Emphasis"/>
        </w:rPr>
      </w:pPr>
      <w:r w:rsidRPr="008007A1">
        <w:rPr>
          <w:rFonts w:ascii="Calibri" w:hAnsi="Calibri"/>
        </w:rPr>
        <w:t xml:space="preserve"> Walter, </w:t>
      </w:r>
      <w:proofErr w:type="spellStart"/>
      <w:r w:rsidRPr="008007A1">
        <w:rPr>
          <w:rFonts w:ascii="Calibri" w:hAnsi="Calibri"/>
        </w:rPr>
        <w:t>Reynal-Querol</w:t>
      </w:r>
      <w:proofErr w:type="spellEnd"/>
      <w:r w:rsidRPr="008007A1">
        <w:rPr>
          <w:rFonts w:ascii="Calibri" w:hAnsi="Calibri"/>
        </w:rPr>
        <w:t xml:space="preserve">, Joshi, Davenport, and other scholars come to similar conclusions on the irenic effect of inclusive and participatory forms of governance. Jeffrey Dixon confirms these findings in his synthesis of quantitative studies on the correlates of civil war. </w:t>
      </w:r>
      <w:r w:rsidRPr="008007A1">
        <w:rPr>
          <w:rStyle w:val="Emphasis"/>
          <w:highlight w:val="green"/>
        </w:rPr>
        <w:t xml:space="preserve">As democracies become more inclusive, </w:t>
      </w:r>
      <w:r w:rsidRPr="00986FDE">
        <w:rPr>
          <w:rStyle w:val="Emphasis"/>
        </w:rPr>
        <w:t xml:space="preserve">their risk of </w:t>
      </w:r>
      <w:r w:rsidRPr="008007A1">
        <w:rPr>
          <w:rStyle w:val="Emphasis"/>
          <w:highlight w:val="green"/>
        </w:rPr>
        <w:t>armed conflict diminishes</w:t>
      </w:r>
      <w:r w:rsidRPr="008007A1">
        <w:rPr>
          <w:rFonts w:ascii="Calibri" w:hAnsi="Calibri"/>
        </w:rPr>
        <w:t xml:space="preserve">. </w:t>
      </w:r>
      <w:r w:rsidRPr="008007A1">
        <w:rPr>
          <w:rStyle w:val="Emphasis"/>
          <w:highlight w:val="green"/>
        </w:rPr>
        <w:t>Discriminatory policies increase</w:t>
      </w:r>
      <w:r w:rsidRPr="008007A1">
        <w:rPr>
          <w:rStyle w:val="StyleUnderline"/>
        </w:rPr>
        <w:t xml:space="preserve"> the </w:t>
      </w:r>
      <w:r w:rsidRPr="008007A1">
        <w:rPr>
          <w:rStyle w:val="Emphasis"/>
          <w:highlight w:val="green"/>
        </w:rPr>
        <w:t>risk of civil war</w:t>
      </w:r>
      <w:r w:rsidRPr="008007A1">
        <w:rPr>
          <w:rStyle w:val="StyleUnderline"/>
        </w:rPr>
        <w:t>, while guarantees of political freedom reduce that risk.</w:t>
      </w:r>
      <w:r w:rsidRPr="008007A1">
        <w:rPr>
          <w:rFonts w:ascii="Calibri" w:hAnsi="Calibri"/>
        </w:rPr>
        <w:t xml:space="preserve">140 </w:t>
      </w:r>
      <w:r w:rsidRPr="008007A1">
        <w:rPr>
          <w:rStyle w:val="StyleUnderlin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8007A1">
        <w:rPr>
          <w:rFonts w:ascii="Calibri" w:hAnsi="Calibri"/>
        </w:rPr>
        <w:t xml:space="preserve"> </w:t>
      </w:r>
      <w:r w:rsidRPr="008007A1">
        <w:rPr>
          <w:rStyle w:val="Emphasis"/>
          <w:highlight w:val="green"/>
        </w:rPr>
        <w:t xml:space="preserve">Programs that foster citizen participation, </w:t>
      </w:r>
      <w:r w:rsidRPr="00986FDE">
        <w:rPr>
          <w:rStyle w:val="Emphasis"/>
        </w:rPr>
        <w:t>inclusive institutions</w:t>
      </w:r>
      <w:r w:rsidRPr="008007A1">
        <w:rPr>
          <w:rStyle w:val="StyleUnderline"/>
        </w:rPr>
        <w:t xml:space="preserve">, accountability mechanisms, </w:t>
      </w:r>
      <w:r w:rsidRPr="008007A1">
        <w:rPr>
          <w:rStyle w:val="Emphasis"/>
          <w:highlight w:val="green"/>
        </w:rPr>
        <w:t>and greater p</w:t>
      </w:r>
      <w:r w:rsidRPr="00986FDE">
        <w:rPr>
          <w:rStyle w:val="Emphasis"/>
        </w:rPr>
        <w:t xml:space="preserve">ublic </w:t>
      </w:r>
      <w:r w:rsidRPr="008007A1">
        <w:rPr>
          <w:rStyle w:val="Emphasis"/>
          <w:highlight w:val="green"/>
        </w:rPr>
        <w:t xml:space="preserve">oversight bolster </w:t>
      </w:r>
      <w:r w:rsidRPr="00986FDE">
        <w:rPr>
          <w:rStyle w:val="Emphasis"/>
        </w:rPr>
        <w:t xml:space="preserve">the conditions for </w:t>
      </w:r>
      <w:r w:rsidRPr="008007A1">
        <w:rPr>
          <w:rStyle w:val="Emphasis"/>
          <w:highlight w:val="green"/>
        </w:rPr>
        <w:t>peace.</w:t>
      </w:r>
      <w:r w:rsidRPr="008007A1">
        <w:rPr>
          <w:rStyle w:val="Emphasis"/>
        </w:rPr>
        <w:t xml:space="preserve"> </w:t>
      </w:r>
    </w:p>
    <w:p w:rsidR="00297160" w:rsidRPr="008007A1" w:rsidRDefault="00297160" w:rsidP="00297160">
      <w:pPr>
        <w:pStyle w:val="NormalWeb"/>
        <w:shd w:val="clear" w:color="auto" w:fill="FFFFFF"/>
        <w:rPr>
          <w:rStyle w:val="StyleUnderline"/>
        </w:rPr>
      </w:pPr>
      <w:r w:rsidRPr="008007A1">
        <w:rPr>
          <w:rFonts w:ascii="Calibri" w:hAnsi="Calibri"/>
        </w:rPr>
        <w:t xml:space="preserve">The two parts of this paper examine state capacity and democracy separately, but the irenic features of these separate dimensions overlap and reinforce one another. </w:t>
      </w:r>
      <w:r w:rsidRPr="008007A1">
        <w:rPr>
          <w:rStyle w:val="StyleUnderline"/>
        </w:rPr>
        <w:t>Effective institutions prevent armed conflict when they provide security and civilian services, and when they are inclusive and representative</w:t>
      </w:r>
      <w:r w:rsidRPr="008007A1">
        <w:rPr>
          <w:rFonts w:ascii="Calibri" w:hAnsi="Calibri"/>
        </w:rPr>
        <w:t xml:space="preserve">. A narrow focus on one dimension of governance—for example building strong institutions while ignoring the need for democratic accountability—could be counterproductive. </w:t>
      </w:r>
      <w:r w:rsidRPr="008007A1">
        <w:rPr>
          <w:rStyle w:val="StyleUnderline"/>
        </w:rPr>
        <w:t xml:space="preserve">Effective capacity and democratic governance go hand in hand and need to </w:t>
      </w:r>
      <w:proofErr w:type="gramStart"/>
      <w:r w:rsidRPr="008007A1">
        <w:rPr>
          <w:rStyle w:val="StyleUnderline"/>
        </w:rPr>
        <w:t>be combined</w:t>
      </w:r>
      <w:proofErr w:type="gramEnd"/>
      <w:r w:rsidRPr="008007A1">
        <w:rPr>
          <w:rStyle w:val="StyleUnderline"/>
        </w:rPr>
        <w:t xml:space="preserve"> to create the greatest peace effect. </w:t>
      </w:r>
    </w:p>
    <w:p w:rsidR="00297160" w:rsidRDefault="00297160" w:rsidP="00297160">
      <w:pPr>
        <w:pStyle w:val="NormalWeb"/>
        <w:shd w:val="clear" w:color="auto" w:fill="FFFFFF"/>
        <w:rPr>
          <w:rStyle w:val="StyleUnderline"/>
        </w:rPr>
      </w:pPr>
      <w:r w:rsidRPr="008007A1">
        <w:rPr>
          <w:rFonts w:ascii="Calibri" w:hAnsi="Calibri"/>
        </w:rPr>
        <w:t xml:space="preserve">Social science research confirms that </w:t>
      </w:r>
      <w:r w:rsidRPr="008007A1">
        <w:rPr>
          <w:rStyle w:val="Emphasis"/>
          <w:highlight w:val="green"/>
        </w:rPr>
        <w:t>governments are better able to prevent armed conflict if they have strong institutions</w:t>
      </w:r>
      <w:r w:rsidRPr="008007A1">
        <w:rPr>
          <w:rStyle w:val="StyleUnderline"/>
        </w:rPr>
        <w:t xml:space="preserve"> and maintain effective control over their territory, and if they provide the full range of public goods, including essential social services.</w:t>
      </w:r>
      <w:r w:rsidRPr="008007A1">
        <w:rPr>
          <w:rFonts w:ascii="Calibri" w:hAnsi="Calibri"/>
        </w:rPr>
        <w:t xml:space="preserve"> </w:t>
      </w:r>
      <w:r w:rsidRPr="008007A1">
        <w:rPr>
          <w:rStyle w:val="StyleUnderlin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rsidR="00297160" w:rsidRDefault="00297160" w:rsidP="00297160">
      <w:pPr>
        <w:pStyle w:val="NormalWeb"/>
        <w:shd w:val="clear" w:color="auto" w:fill="FFFFFF"/>
        <w:rPr>
          <w:rStyle w:val="StyleUnderline"/>
        </w:rPr>
      </w:pPr>
    </w:p>
    <w:p w:rsidR="00297160" w:rsidRPr="00986680" w:rsidRDefault="00297160" w:rsidP="00297160">
      <w:pPr>
        <w:pStyle w:val="Heading4"/>
        <w:rPr>
          <w:lang w:eastAsia="zh-CN"/>
        </w:rPr>
      </w:pPr>
      <w:r>
        <w:t>Democratic backsliding causes extinction.</w:t>
      </w:r>
    </w:p>
    <w:p w:rsidR="00297160" w:rsidRPr="0073714A" w:rsidRDefault="00297160" w:rsidP="0029716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7" w:history="1">
        <w:r w:rsidRPr="00986680">
          <w:rPr>
            <w:rStyle w:val="Hyperlink"/>
          </w:rPr>
          <w:t>https://www.csis.org/analysis/how-democracy%E2%80%99s-decline-would-undermine-international-order</w:t>
        </w:r>
      </w:hyperlink>
      <w:r>
        <w:t>/] Justin</w:t>
      </w:r>
    </w:p>
    <w:p w:rsidR="00297160" w:rsidRPr="0073714A" w:rsidRDefault="00297160" w:rsidP="00297160">
      <w:pPr>
        <w:rPr>
          <w:sz w:val="16"/>
        </w:rPr>
      </w:pPr>
      <w:r w:rsidRPr="0073714A">
        <w:rPr>
          <w:sz w:val="16"/>
        </w:rPr>
        <w:t xml:space="preserve">It is rare that policymakers, analysts, and academics agree. </w:t>
      </w:r>
      <w:proofErr w:type="gramStart"/>
      <w:r w:rsidRPr="0073714A">
        <w:rPr>
          <w:sz w:val="16"/>
        </w:rPr>
        <w:t>But</w:t>
      </w:r>
      <w:proofErr w:type="gramEnd"/>
      <w:r w:rsidRPr="0073714A">
        <w:rPr>
          <w:sz w:val="16"/>
        </w:rPr>
        <w:t xml:space="preserve">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proofErr w:type="gramStart"/>
      <w:r w:rsidRPr="0025003B">
        <w:rPr>
          <w:u w:val="single"/>
        </w:rPr>
        <w:t>are being gradually dismantled</w:t>
      </w:r>
      <w:proofErr w:type="gramEnd"/>
      <w:r w:rsidRPr="0025003B">
        <w:rPr>
          <w:sz w:val="16"/>
        </w:rPr>
        <w:t xml:space="preserve">. The most discussed sources of this pressure are </w:t>
      </w:r>
      <w:hyperlink r:id="rId8" w:history="1">
        <w:r w:rsidRPr="0025003B">
          <w:rPr>
            <w:sz w:val="16"/>
          </w:rPr>
          <w:t>the ascent of China</w:t>
        </w:r>
      </w:hyperlink>
      <w:r w:rsidRPr="0025003B">
        <w:rPr>
          <w:sz w:val="16"/>
        </w:rPr>
        <w:t xml:space="preserve"> and other non-Western countries, Russia’s assertive foreign policy, and the diffusion of power from traditional nation-states to </w:t>
      </w:r>
      <w:proofErr w:type="spellStart"/>
      <w:r w:rsidRPr="0025003B">
        <w:rPr>
          <w:sz w:val="16"/>
        </w:rPr>
        <w:t>nonstate</w:t>
      </w:r>
      <w:proofErr w:type="spellEnd"/>
      <w:r w:rsidRPr="0025003B">
        <w:rPr>
          <w:sz w:val="16"/>
        </w:rPr>
        <w:t xml:space="preserv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9"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0"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rsidR="00297160" w:rsidRPr="0073714A" w:rsidRDefault="00297160" w:rsidP="00297160">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1"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rsidR="00297160" w:rsidRPr="0073714A" w:rsidRDefault="00297160" w:rsidP="00297160">
      <w:pPr>
        <w:rPr>
          <w:sz w:val="16"/>
        </w:rPr>
      </w:pPr>
      <w:proofErr w:type="gramStart"/>
      <w:r w:rsidRPr="0073714A">
        <w:rPr>
          <w:sz w:val="16"/>
        </w:rPr>
        <w:t xml:space="preserve">Although the number of democracies in the world is at an all-time high, there are a number of </w:t>
      </w:r>
      <w:hyperlink r:id="rId12" w:anchor="http://www.journalofdemocracy.org/article/democracy-decline" w:history="1">
        <w:r w:rsidRPr="0073714A">
          <w:rPr>
            <w:sz w:val="16"/>
          </w:rPr>
          <w:t xml:space="preserve">key trends </w:t>
        </w:r>
      </w:hyperlink>
      <w:r w:rsidRPr="0073714A">
        <w:rPr>
          <w:sz w:val="16"/>
        </w:rPr>
        <w:t>that are working to undermine democracy.</w:t>
      </w:r>
      <w:proofErr w:type="gramEnd"/>
      <w:r w:rsidRPr="0073714A">
        <w:rPr>
          <w:sz w:val="16"/>
        </w:rPr>
        <w:t xml:space="preserve">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rsidR="00297160" w:rsidRPr="0025003B" w:rsidRDefault="00297160" w:rsidP="0029716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3"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rsidR="00297160" w:rsidRPr="0073714A" w:rsidRDefault="00297160" w:rsidP="00297160">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w:t>
      </w:r>
      <w:proofErr w:type="spellStart"/>
      <w:r w:rsidRPr="0025003B">
        <w:rPr>
          <w:sz w:val="16"/>
        </w:rPr>
        <w:t>Sisi</w:t>
      </w:r>
      <w:proofErr w:type="spellEnd"/>
      <w:r w:rsidRPr="0025003B">
        <w:rPr>
          <w:sz w:val="16"/>
        </w:rPr>
        <w:t xml:space="preserve">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rsidR="00297160" w:rsidRPr="0073714A" w:rsidRDefault="00297160" w:rsidP="0029716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w:t>
      </w:r>
      <w:proofErr w:type="gramStart"/>
      <w:r w:rsidRPr="0073714A">
        <w:rPr>
          <w:sz w:val="16"/>
        </w:rPr>
        <w:t>And</w:t>
      </w:r>
      <w:proofErr w:type="gramEnd"/>
      <w:r w:rsidRPr="0073714A">
        <w:rPr>
          <w:sz w:val="16"/>
        </w:rPr>
        <w:t xml:space="preserve">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rsidR="00297160" w:rsidRDefault="00297160" w:rsidP="0029716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4" w:history="1">
        <w:r w:rsidRPr="0073714A">
          <w:rPr>
            <w:sz w:val="16"/>
          </w:rPr>
          <w:t xml:space="preserve">United </w:t>
        </w:r>
        <w:proofErr w:type="gramStart"/>
        <w:r w:rsidRPr="0073714A">
          <w:rPr>
            <w:sz w:val="16"/>
          </w:rPr>
          <w:t xml:space="preserve">Nations </w:t>
        </w:r>
        <w:proofErr w:type="gramEnd"/>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rsidR="00297160" w:rsidRDefault="00297160" w:rsidP="00297160">
      <w:pPr>
        <w:pStyle w:val="Heading2"/>
      </w:pPr>
      <w:r>
        <w:t>Contention 2: Global Warming</w:t>
      </w:r>
    </w:p>
    <w:p w:rsidR="00297160" w:rsidRDefault="00297160" w:rsidP="00297160">
      <w:pPr>
        <w:pStyle w:val="Heading4"/>
      </w:pPr>
      <w:r>
        <w:rPr>
          <w:u w:val="single"/>
        </w:rPr>
        <w:t>C</w:t>
      </w:r>
      <w:r w:rsidRPr="00FA36D7">
        <w:rPr>
          <w:u w:val="single"/>
        </w:rPr>
        <w:t>ivic engagement</w:t>
      </w:r>
      <w:r>
        <w:rPr>
          <w:u w:val="single"/>
        </w:rPr>
        <w:t xml:space="preserve"> via strikes</w:t>
      </w:r>
      <w:r>
        <w:t xml:space="preserve"> is key to </w:t>
      </w:r>
      <w:r w:rsidRPr="00FA36D7">
        <w:rPr>
          <w:u w:val="single"/>
        </w:rPr>
        <w:t>comprehensive</w:t>
      </w:r>
      <w:r>
        <w:t xml:space="preserve"> climate action </w:t>
      </w:r>
      <w:r w:rsidRPr="00FA36D7">
        <w:rPr>
          <w:u w:val="single"/>
        </w:rPr>
        <w:t>globally</w:t>
      </w:r>
      <w:r>
        <w:t>.</w:t>
      </w:r>
    </w:p>
    <w:p w:rsidR="00297160" w:rsidRPr="00FA36D7" w:rsidRDefault="00297160" w:rsidP="00297160">
      <w:r w:rsidRPr="00FA36D7">
        <w:rPr>
          <w:rStyle w:val="Style13ptBold"/>
        </w:rPr>
        <w:t xml:space="preserve">Fisher and </w:t>
      </w:r>
      <w:proofErr w:type="spellStart"/>
      <w:r w:rsidRPr="00FA36D7">
        <w:rPr>
          <w:rStyle w:val="Style13ptBold"/>
        </w:rPr>
        <w:t>Nasrin</w:t>
      </w:r>
      <w:proofErr w:type="spellEnd"/>
      <w:r w:rsidRPr="00FA36D7">
        <w:rPr>
          <w:rStyle w:val="Style13ptBold"/>
        </w:rPr>
        <w:t xml:space="preserve"> 20</w:t>
      </w:r>
      <w:r>
        <w:t xml:space="preserve"> [Dana R; </w:t>
      </w:r>
      <w:r w:rsidRPr="00FA36D7">
        <w:t xml:space="preserve">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w:t>
      </w:r>
      <w:proofErr w:type="gramStart"/>
      <w:r w:rsidRPr="00FA36D7">
        <w:t>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roofErr w:type="gramEnd"/>
    </w:p>
    <w:p w:rsidR="00297160" w:rsidRPr="00B54F49" w:rsidRDefault="00297160" w:rsidP="00297160">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xml:space="preserve">, 2009; see also Putnam, </w:t>
      </w:r>
      <w:proofErr w:type="spellStart"/>
      <w:r w:rsidRPr="00B54F49">
        <w:rPr>
          <w:sz w:val="16"/>
        </w:rPr>
        <w:t>Leonardi</w:t>
      </w:r>
      <w:proofErr w:type="spellEnd"/>
      <w:r w:rsidRPr="00B54F49">
        <w:rPr>
          <w:sz w:val="16"/>
        </w:rPr>
        <w:t>,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w:t>
      </w:r>
      <w:proofErr w:type="spellStart"/>
      <w:r w:rsidRPr="00B54F49">
        <w:rPr>
          <w:sz w:val="16"/>
        </w:rPr>
        <w:t>Skocpol</w:t>
      </w:r>
      <w:proofErr w:type="spellEnd"/>
      <w:r w:rsidRPr="00B54F49">
        <w:rPr>
          <w:sz w:val="16"/>
        </w:rPr>
        <w:t xml:space="preserve"> &amp; Fiorina, 1999; de Tocqueville, 2002; see particularly </w:t>
      </w:r>
      <w:proofErr w:type="spellStart"/>
      <w:r w:rsidRPr="00B54F49">
        <w:rPr>
          <w:sz w:val="16"/>
        </w:rPr>
        <w:t>Verba</w:t>
      </w:r>
      <w:proofErr w:type="gramStart"/>
      <w:r w:rsidRPr="00B54F49">
        <w:rPr>
          <w:sz w:val="16"/>
        </w:rPr>
        <w:t>,Schlozman</w:t>
      </w:r>
      <w:proofErr w:type="spellEnd"/>
      <w:proofErr w:type="gramEnd"/>
      <w:r w:rsidRPr="00B54F49">
        <w:rPr>
          <w:sz w:val="16"/>
        </w:rPr>
        <w:t xml:space="preserve">, &amp; Brady, 1995). At the same time, digital technologies </w:t>
      </w:r>
      <w:proofErr w:type="gramStart"/>
      <w:r w:rsidRPr="00B54F49">
        <w:rPr>
          <w:sz w:val="16"/>
        </w:rPr>
        <w:t>have been found</w:t>
      </w:r>
      <w:proofErr w:type="gramEnd"/>
      <w:r w:rsidRPr="00B54F49">
        <w:rPr>
          <w:sz w:val="16"/>
        </w:rPr>
        <w:t xml:space="preserve">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rsidR="00297160" w:rsidRPr="00B54F49" w:rsidRDefault="00297160" w:rsidP="00297160">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w:t>
      </w:r>
      <w:proofErr w:type="gramStart"/>
      <w:r w:rsidRPr="00B54F49">
        <w:rPr>
          <w:sz w:val="6"/>
          <w:szCs w:val="6"/>
        </w:rPr>
        <w:t xml:space="preserve">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t>
      </w:r>
      <w:proofErr w:type="spellStart"/>
      <w:r w:rsidRPr="00B54F49">
        <w:rPr>
          <w:sz w:val="6"/>
          <w:szCs w:val="6"/>
        </w:rPr>
        <w:t>Wallbridge</w:t>
      </w:r>
      <w:proofErr w:type="spellEnd"/>
      <w:r w:rsidRPr="00B54F49">
        <w:rPr>
          <w:sz w:val="6"/>
          <w:szCs w:val="6"/>
        </w:rPr>
        <w:t xml:space="preserv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t>
      </w:r>
      <w:proofErr w:type="spellStart"/>
      <w:r w:rsidRPr="00B54F49">
        <w:rPr>
          <w:sz w:val="6"/>
          <w:szCs w:val="6"/>
        </w:rPr>
        <w:t>Wallbridge</w:t>
      </w:r>
      <w:proofErr w:type="spellEnd"/>
      <w:r w:rsidRPr="00B54F49">
        <w:rPr>
          <w:sz w:val="6"/>
          <w:szCs w:val="6"/>
        </w:rPr>
        <w:t xml:space="preserv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w:t>
      </w:r>
      <w:proofErr w:type="gramEnd"/>
      <w:r w:rsidRPr="00B54F49">
        <w:rPr>
          <w:sz w:val="6"/>
          <w:szCs w:val="6"/>
        </w:rPr>
        <w:t xml:space="preserve"> </w:t>
      </w:r>
      <w:proofErr w:type="gramStart"/>
      <w:r w:rsidRPr="00B54F49">
        <w:rPr>
          <w:sz w:val="6"/>
          <w:szCs w:val="6"/>
        </w:rPr>
        <w:t>So far, there are only a limited number of case studies that measure the direct effect of participation in these types of movements as it relates to climate outcomes.</w:t>
      </w:r>
      <w:proofErr w:type="gramEnd"/>
      <w:r w:rsidRPr="00B54F49">
        <w:rPr>
          <w:sz w:val="6"/>
          <w:szCs w:val="6"/>
        </w:rPr>
        <w:t xml:space="preserve">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xml:space="preserve">,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w:t>
      </w:r>
      <w:proofErr w:type="gramStart"/>
      <w:r w:rsidRPr="00B54F49">
        <w:rPr>
          <w:sz w:val="6"/>
          <w:szCs w:val="6"/>
        </w:rPr>
        <w:t>3</w:t>
      </w:r>
      <w:proofErr w:type="gramEnd"/>
      <w:r w:rsidRPr="00B54F49">
        <w:rPr>
          <w:sz w:val="6"/>
          <w:szCs w:val="6"/>
        </w:rPr>
        <w:t xml:space="preserve">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w:t>
      </w:r>
      <w:proofErr w:type="spellStart"/>
      <w:r w:rsidRPr="00B54F49">
        <w:rPr>
          <w:sz w:val="6"/>
          <w:szCs w:val="6"/>
        </w:rPr>
        <w:t>Edenhofer</w:t>
      </w:r>
      <w:proofErr w:type="spellEnd"/>
      <w:r w:rsidRPr="00B54F49">
        <w:rPr>
          <w:sz w:val="6"/>
          <w:szCs w:val="6"/>
        </w:rPr>
        <w:t>,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w:t>
      </w:r>
      <w:proofErr w:type="spellStart"/>
      <w:r w:rsidRPr="00B54F49">
        <w:rPr>
          <w:sz w:val="6"/>
          <w:szCs w:val="6"/>
        </w:rPr>
        <w:t>Shandra</w:t>
      </w:r>
      <w:proofErr w:type="spellEnd"/>
      <w:r w:rsidRPr="00B54F49">
        <w:rPr>
          <w:sz w:val="6"/>
          <w:szCs w:val="6"/>
        </w:rPr>
        <w:t xml:space="preserve">,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w:t>
      </w:r>
      <w:proofErr w:type="gramStart"/>
      <w:r w:rsidRPr="00B54F49">
        <w:rPr>
          <w:sz w:val="6"/>
          <w:szCs w:val="6"/>
        </w:rPr>
        <w:t xml:space="preserve">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w:t>
      </w:r>
      <w:proofErr w:type="gramEnd"/>
      <w:r w:rsidRPr="00B54F49">
        <w:rPr>
          <w:sz w:val="6"/>
          <w:szCs w:val="6"/>
        </w:rPr>
        <w:t xml:space="preserve"> Beyond </w:t>
      </w:r>
      <w:proofErr w:type="gramStart"/>
      <w:r w:rsidRPr="00B54F49">
        <w:rPr>
          <w:sz w:val="6"/>
          <w:szCs w:val="6"/>
        </w:rPr>
        <w:t>these</w:t>
      </w:r>
      <w:proofErr w:type="gramEnd"/>
      <w:r w:rsidRPr="00B54F49">
        <w:rPr>
          <w:sz w:val="6"/>
          <w:szCs w:val="6"/>
        </w:rPr>
        <w:t xml:space="preserv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Su,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w:t>
      </w:r>
      <w:proofErr w:type="spellStart"/>
      <w:r w:rsidRPr="00B54F49">
        <w:rPr>
          <w:sz w:val="6"/>
          <w:szCs w:val="6"/>
        </w:rPr>
        <w:t>Ghoshal</w:t>
      </w:r>
      <w:proofErr w:type="spellEnd"/>
      <w:r w:rsidRPr="00B54F49">
        <w:rPr>
          <w:sz w:val="6"/>
          <w:szCs w:val="6"/>
        </w:rPr>
        <w:t xml:space="preserve">,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w:t>
      </w:r>
      <w:proofErr w:type="gramStart"/>
      <w:r w:rsidRPr="00B54F49">
        <w:rPr>
          <w:sz w:val="6"/>
          <w:szCs w:val="6"/>
        </w:rPr>
        <w:t>are summarized</w:t>
      </w:r>
      <w:proofErr w:type="gramEnd"/>
      <w:r w:rsidRPr="00B54F49">
        <w:rPr>
          <w:sz w:val="6"/>
          <w:szCs w:val="6"/>
        </w:rPr>
        <w:t xml:space="preserve"> in the sections that follow. </w:t>
      </w:r>
      <w:proofErr w:type="gramStart"/>
      <w:r w:rsidRPr="00B54F49">
        <w:rPr>
          <w:sz w:val="6"/>
          <w:szCs w:val="6"/>
        </w:rPr>
        <w:t>3.1</w:t>
      </w:r>
      <w:proofErr w:type="gramEnd"/>
      <w:r w:rsidRPr="00B54F49">
        <w:rPr>
          <w:sz w:val="6"/>
          <w:szCs w:val="6"/>
        </w:rPr>
        <w:t xml:space="preserve">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w:t>
      </w:r>
      <w:proofErr w:type="spellStart"/>
      <w:r w:rsidRPr="00B54F49">
        <w:rPr>
          <w:sz w:val="6"/>
          <w:szCs w:val="6"/>
        </w:rPr>
        <w:t>Osofsky</w:t>
      </w:r>
      <w:proofErr w:type="spellEnd"/>
      <w:r w:rsidRPr="00B54F49">
        <w:rPr>
          <w:sz w:val="6"/>
          <w:szCs w:val="6"/>
        </w:rPr>
        <w:t xml:space="preserve">, 2015; </w:t>
      </w:r>
      <w:proofErr w:type="spellStart"/>
      <w:r w:rsidRPr="00B54F49">
        <w:rPr>
          <w:sz w:val="6"/>
          <w:szCs w:val="6"/>
        </w:rPr>
        <w:t>Setzer</w:t>
      </w:r>
      <w:proofErr w:type="spellEnd"/>
      <w:r w:rsidRPr="00B54F49">
        <w:rPr>
          <w:sz w:val="6"/>
          <w:szCs w:val="6"/>
        </w:rPr>
        <w:t xml:space="preserve">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w:t>
      </w:r>
      <w:proofErr w:type="gramStart"/>
      <w:r w:rsidRPr="00B54F49">
        <w:rPr>
          <w:sz w:val="6"/>
          <w:szCs w:val="6"/>
        </w:rPr>
        <w:t>had been filed</w:t>
      </w:r>
      <w:proofErr w:type="gramEnd"/>
      <w:r w:rsidRPr="00B54F49">
        <w:rPr>
          <w:sz w:val="6"/>
          <w:szCs w:val="6"/>
        </w:rPr>
        <w:t xml:space="preserve"> in 24 countries plus the European Union (UN Environment, 2017). In some cases, this tactic </w:t>
      </w:r>
      <w:proofErr w:type="gramStart"/>
      <w:r w:rsidRPr="00B54F49">
        <w:rPr>
          <w:sz w:val="6"/>
          <w:szCs w:val="6"/>
        </w:rPr>
        <w:t>is being used</w:t>
      </w:r>
      <w:proofErr w:type="gramEnd"/>
      <w:r w:rsidRPr="00B54F49">
        <w:rPr>
          <w:sz w:val="6"/>
          <w:szCs w:val="6"/>
        </w:rPr>
        <w:t xml:space="preserve"> to pressure businesses and governments to meet their policy commitments (</w:t>
      </w:r>
      <w:proofErr w:type="spellStart"/>
      <w:r w:rsidRPr="00B54F49">
        <w:rPr>
          <w:sz w:val="6"/>
          <w:szCs w:val="6"/>
        </w:rPr>
        <w:t>Setzer</w:t>
      </w:r>
      <w:proofErr w:type="spellEnd"/>
      <w:r w:rsidRPr="00B54F49">
        <w:rPr>
          <w:sz w:val="6"/>
          <w:szCs w:val="6"/>
        </w:rPr>
        <w:t xml:space="preserve">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w:t>
      </w:r>
      <w:proofErr w:type="gramStart"/>
      <w:r w:rsidRPr="00B54F49">
        <w:rPr>
          <w:sz w:val="6"/>
          <w:szCs w:val="6"/>
        </w:rPr>
        <w:t>King &amp;</w:t>
      </w:r>
      <w:proofErr w:type="gramEnd"/>
      <w:r w:rsidRPr="00B54F49">
        <w:rPr>
          <w:sz w:val="6"/>
          <w:szCs w:val="6"/>
        </w:rPr>
        <w:t xml:space="preserve"> Soule, 2007; M.-D. P. Lee &amp; </w:t>
      </w:r>
      <w:proofErr w:type="spellStart"/>
      <w:r w:rsidRPr="00B54F49">
        <w:rPr>
          <w:sz w:val="6"/>
          <w:szCs w:val="6"/>
        </w:rPr>
        <w:t>Lounsbury</w:t>
      </w:r>
      <w:proofErr w:type="spellEnd"/>
      <w:r w:rsidRPr="00B54F49">
        <w:rPr>
          <w:sz w:val="6"/>
          <w:szCs w:val="6"/>
        </w:rPr>
        <w:t xml:space="preserve">,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w:t>
      </w:r>
      <w:proofErr w:type="gramStart"/>
      <w:r w:rsidRPr="00B54F49">
        <w:rPr>
          <w:sz w:val="6"/>
          <w:szCs w:val="6"/>
        </w:rPr>
        <w:t>have been documented</w:t>
      </w:r>
      <w:proofErr w:type="gramEnd"/>
      <w:r w:rsidRPr="00B54F49">
        <w:rPr>
          <w:sz w:val="6"/>
          <w:szCs w:val="6"/>
        </w:rPr>
        <w:t xml:space="preserve"> to target governments and corporations (</w:t>
      </w:r>
      <w:proofErr w:type="spellStart"/>
      <w:r w:rsidRPr="00B54F49">
        <w:rPr>
          <w:sz w:val="6"/>
          <w:szCs w:val="6"/>
        </w:rPr>
        <w:t>Hadden</w:t>
      </w:r>
      <w:proofErr w:type="spellEnd"/>
      <w:r w:rsidRPr="00B54F49">
        <w:rPr>
          <w:sz w:val="6"/>
          <w:szCs w:val="6"/>
        </w:rPr>
        <w:t xml:space="preserve">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w:t>
      </w:r>
      <w:proofErr w:type="spellStart"/>
      <w:r w:rsidRPr="00B54F49">
        <w:rPr>
          <w:sz w:val="6"/>
          <w:szCs w:val="6"/>
        </w:rPr>
        <w:t>McAteer</w:t>
      </w:r>
      <w:proofErr w:type="spellEnd"/>
      <w:r w:rsidRPr="00B54F49">
        <w:rPr>
          <w:sz w:val="6"/>
          <w:szCs w:val="6"/>
        </w:rPr>
        <w:t xml:space="preserve"> &amp; </w:t>
      </w:r>
      <w:proofErr w:type="spellStart"/>
      <w:r w:rsidRPr="00B54F49">
        <w:rPr>
          <w:sz w:val="6"/>
          <w:szCs w:val="6"/>
        </w:rPr>
        <w:t>Pulver</w:t>
      </w:r>
      <w:proofErr w:type="spellEnd"/>
      <w:r w:rsidRPr="00B54F49">
        <w:rPr>
          <w:sz w:val="6"/>
          <w:szCs w:val="6"/>
        </w:rPr>
        <w:t xml:space="preserve">, 2009). In their comparative study of shareholder activism in the Amazon region, </w:t>
      </w:r>
      <w:proofErr w:type="spellStart"/>
      <w:r w:rsidRPr="00B54F49">
        <w:rPr>
          <w:sz w:val="6"/>
          <w:szCs w:val="6"/>
        </w:rPr>
        <w:t>McAteer</w:t>
      </w:r>
      <w:proofErr w:type="spellEnd"/>
      <w:r w:rsidRPr="00B54F49">
        <w:rPr>
          <w:sz w:val="6"/>
          <w:szCs w:val="6"/>
        </w:rPr>
        <w:t xml:space="preserve"> and </w:t>
      </w:r>
      <w:proofErr w:type="spellStart"/>
      <w:r w:rsidRPr="00B54F49">
        <w:rPr>
          <w:sz w:val="6"/>
          <w:szCs w:val="6"/>
        </w:rPr>
        <w:t>Pulver</w:t>
      </w:r>
      <w:proofErr w:type="spellEnd"/>
      <w:r w:rsidRPr="00B54F49">
        <w:rPr>
          <w:sz w:val="6"/>
          <w:szCs w:val="6"/>
        </w:rPr>
        <w:t xml:space="preserve"> come to mixed conclusions, finding that one of the shareholder advocacy networks in Ecuador was successful in limiting oil development, while the other was not (</w:t>
      </w:r>
      <w:proofErr w:type="spellStart"/>
      <w:r w:rsidRPr="00B54F49">
        <w:rPr>
          <w:sz w:val="6"/>
          <w:szCs w:val="6"/>
        </w:rPr>
        <w:t>McAteer</w:t>
      </w:r>
      <w:proofErr w:type="spellEnd"/>
      <w:r w:rsidRPr="00B54F49">
        <w:rPr>
          <w:sz w:val="6"/>
          <w:szCs w:val="6"/>
        </w:rPr>
        <w:t xml:space="preserve"> &amp; </w:t>
      </w:r>
      <w:proofErr w:type="spellStart"/>
      <w:r w:rsidRPr="00B54F49">
        <w:rPr>
          <w:sz w:val="6"/>
          <w:szCs w:val="6"/>
        </w:rPr>
        <w:t>Pulver</w:t>
      </w:r>
      <w:proofErr w:type="spellEnd"/>
      <w:r w:rsidRPr="00B54F49">
        <w:rPr>
          <w:sz w:val="6"/>
          <w:szCs w:val="6"/>
        </w:rPr>
        <w:t xml:space="preserve">,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2019). Although research has yet to conclude FISHER AND NASRIN 3 of 11 that these efforts have a substantial effect on fossil fuel funding or greenhouse gas emissions (</w:t>
      </w:r>
      <w:proofErr w:type="spellStart"/>
      <w:r w:rsidRPr="00B54F49">
        <w:rPr>
          <w:sz w:val="6"/>
          <w:szCs w:val="6"/>
        </w:rPr>
        <w:t>Tollefson</w:t>
      </w:r>
      <w:proofErr w:type="spellEnd"/>
      <w:r w:rsidRPr="00B54F49">
        <w:rPr>
          <w:sz w:val="6"/>
          <w:szCs w:val="6"/>
        </w:rPr>
        <w:t xml:space="preserve">,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w:t>
      </w:r>
      <w:proofErr w:type="spellStart"/>
      <w:r w:rsidRPr="00B54F49">
        <w:rPr>
          <w:sz w:val="6"/>
          <w:szCs w:val="6"/>
        </w:rPr>
        <w:t>Schlozman</w:t>
      </w:r>
      <w:proofErr w:type="spellEnd"/>
      <w:r w:rsidRPr="00B54F49">
        <w:rPr>
          <w:sz w:val="6"/>
          <w:szCs w:val="6"/>
        </w:rPr>
        <w:t xml:space="preserve">,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w:t>
      </w:r>
      <w:proofErr w:type="gramStart"/>
      <w:r w:rsidRPr="00B54F49">
        <w:rPr>
          <w:sz w:val="6"/>
          <w:szCs w:val="6"/>
        </w:rPr>
        <w:t>more recent research</w:t>
      </w:r>
      <w:proofErr w:type="gramEnd"/>
      <w:r w:rsidRPr="00B54F49">
        <w:rPr>
          <w:sz w:val="6"/>
          <w:szCs w:val="6"/>
        </w:rPr>
        <w:t xml:space="preserve"> has found climate laws to reduce carbon emissions (</w:t>
      </w:r>
      <w:proofErr w:type="spellStart"/>
      <w:r w:rsidRPr="00B54F49">
        <w:rPr>
          <w:sz w:val="6"/>
          <w:szCs w:val="6"/>
        </w:rPr>
        <w:t>Eskander</w:t>
      </w:r>
      <w:proofErr w:type="spellEnd"/>
      <w:r w:rsidRPr="00B54F49">
        <w:rPr>
          <w:sz w:val="6"/>
          <w:szCs w:val="6"/>
        </w:rPr>
        <w:t xml:space="preserve"> &amp; </w:t>
      </w:r>
      <w:proofErr w:type="spellStart"/>
      <w:r w:rsidRPr="00B54F49">
        <w:rPr>
          <w:sz w:val="6"/>
          <w:szCs w:val="6"/>
        </w:rPr>
        <w:t>Fankhauser</w:t>
      </w:r>
      <w:proofErr w:type="spellEnd"/>
      <w:r w:rsidRPr="00B54F49">
        <w:rPr>
          <w:sz w:val="6"/>
          <w:szCs w:val="6"/>
        </w:rPr>
        <w:t>,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xml:space="preserve">, 2018, p. 289; see also Farrell, 2016). In some cases, representatives from business interests that have been lobbying against environmental policies </w:t>
      </w:r>
      <w:proofErr w:type="gramStart"/>
      <w:r w:rsidRPr="00B54F49">
        <w:rPr>
          <w:sz w:val="6"/>
          <w:szCs w:val="6"/>
        </w:rPr>
        <w:t>are given</w:t>
      </w:r>
      <w:proofErr w:type="gramEnd"/>
      <w:r w:rsidRPr="00B54F49">
        <w:rPr>
          <w:sz w:val="6"/>
          <w:szCs w:val="6"/>
        </w:rPr>
        <w:t xml:space="preserve">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w:t>
      </w:r>
      <w:proofErr w:type="gramStart"/>
      <w:r w:rsidRPr="00B54F49">
        <w:rPr>
          <w:sz w:val="6"/>
          <w:szCs w:val="6"/>
        </w:rPr>
        <w:t>climate change mitigation strategies</w:t>
      </w:r>
      <w:proofErr w:type="gramEnd"/>
      <w:r w:rsidRPr="00B54F49">
        <w:rPr>
          <w:sz w:val="6"/>
          <w:szCs w:val="6"/>
        </w:rPr>
        <w:t>.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w:t>
      </w:r>
      <w:proofErr w:type="spellStart"/>
      <w:r w:rsidRPr="00B54F49">
        <w:rPr>
          <w:sz w:val="6"/>
          <w:szCs w:val="6"/>
        </w:rPr>
        <w:t>Pascual</w:t>
      </w:r>
      <w:proofErr w:type="spellEnd"/>
      <w:r w:rsidRPr="00B54F49">
        <w:rPr>
          <w:sz w:val="6"/>
          <w:szCs w:val="6"/>
        </w:rPr>
        <w:t xml:space="preserve">,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w:t>
      </w:r>
      <w:proofErr w:type="spellStart"/>
      <w:r w:rsidRPr="00B54F49">
        <w:rPr>
          <w:sz w:val="6"/>
          <w:szCs w:val="6"/>
        </w:rPr>
        <w:t>Pascual</w:t>
      </w:r>
      <w:proofErr w:type="spellEnd"/>
      <w:r w:rsidRPr="00B54F49">
        <w:rPr>
          <w:sz w:val="6"/>
          <w:szCs w:val="6"/>
        </w:rPr>
        <w:t xml:space="preserve">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w:t>
      </w:r>
      <w:proofErr w:type="spellStart"/>
      <w:r w:rsidRPr="00B54F49">
        <w:rPr>
          <w:sz w:val="6"/>
          <w:szCs w:val="6"/>
        </w:rPr>
        <w:t>Pascual</w:t>
      </w:r>
      <w:proofErr w:type="spellEnd"/>
      <w:r w:rsidRPr="00B54F49">
        <w:rPr>
          <w:sz w:val="6"/>
          <w:szCs w:val="6"/>
        </w:rPr>
        <w:t xml:space="preserve">, 2020). </w:t>
      </w:r>
      <w:proofErr w:type="gramStart"/>
      <w:r w:rsidRPr="00B54F49">
        <w:rPr>
          <w:sz w:val="6"/>
          <w:szCs w:val="6"/>
        </w:rPr>
        <w:t>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2017; Fisher &amp; Jorgenson, 2019), it is likely that these officials will contribute to the passage of policies that limit the effectiveness of climate-related plans, reduce enforcement of these plans, or block them outright.</w:t>
      </w:r>
      <w:proofErr w:type="gramEnd"/>
      <w:r w:rsidRPr="00B54F49">
        <w:rPr>
          <w:sz w:val="6"/>
          <w:szCs w:val="6"/>
        </w:rPr>
        <w:t xml:space="preserve">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w:t>
      </w:r>
      <w:proofErr w:type="spellStart"/>
      <w:r w:rsidRPr="00B54F49">
        <w:rPr>
          <w:sz w:val="6"/>
          <w:szCs w:val="6"/>
        </w:rPr>
        <w:t>Hadden</w:t>
      </w:r>
      <w:proofErr w:type="spellEnd"/>
      <w:r w:rsidRPr="00B54F49">
        <w:rPr>
          <w:sz w:val="6"/>
          <w:szCs w:val="6"/>
        </w:rPr>
        <w:t xml:space="preserve">,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w:t>
      </w:r>
      <w:proofErr w:type="spellStart"/>
      <w:r w:rsidRPr="00B54F49">
        <w:rPr>
          <w:sz w:val="6"/>
          <w:szCs w:val="6"/>
        </w:rPr>
        <w:t>Verhulst</w:t>
      </w:r>
      <w:proofErr w:type="spellEnd"/>
      <w:r w:rsidRPr="00B54F49">
        <w:rPr>
          <w:sz w:val="6"/>
          <w:szCs w:val="6"/>
        </w:rPr>
        <w:t xml:space="preserve">,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w:t>
      </w:r>
      <w:proofErr w:type="gramStart"/>
      <w:r w:rsidRPr="00B54F49">
        <w:rPr>
          <w:sz w:val="6"/>
          <w:szCs w:val="6"/>
        </w:rPr>
        <w:t xml:space="preserve">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w:t>
      </w:r>
      <w:proofErr w:type="gramEnd"/>
      <w:r w:rsidRPr="00B54F49">
        <w:rPr>
          <w:sz w:val="6"/>
          <w:szCs w:val="6"/>
        </w:rPr>
        <w:t xml:space="preserve"> In a 2018 piece, which uses </w:t>
      </w:r>
      <w:proofErr w:type="gramStart"/>
      <w:r w:rsidRPr="00B54F49">
        <w:rPr>
          <w:sz w:val="6"/>
          <w:szCs w:val="6"/>
        </w:rPr>
        <w:t>more recent data to analyze the relationship between protest, policy, and greenhouse gas emissions across states in the United States, the authors come to different conclusions</w:t>
      </w:r>
      <w:proofErr w:type="gramEnd"/>
      <w:r w:rsidRPr="00B54F49">
        <w:rPr>
          <w:sz w:val="6"/>
          <w:szCs w:val="6"/>
        </w:rPr>
        <w:t>. They find that emissions in states decline when there is more pro-environmental protest (Muñoz et al., 2018).</w:t>
      </w:r>
    </w:p>
    <w:p w:rsidR="00297160" w:rsidRPr="00B54F49" w:rsidRDefault="00297160" w:rsidP="00297160">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rsidR="00297160" w:rsidRPr="00B54F49" w:rsidRDefault="00297160" w:rsidP="00297160">
      <w:pPr>
        <w:rPr>
          <w:sz w:val="16"/>
        </w:rPr>
      </w:pPr>
      <w:r w:rsidRPr="00B54F49">
        <w:rPr>
          <w:sz w:val="16"/>
        </w:rPr>
        <w:t>4 | CLIMATE STRIKES AS A GROWING TACTIC</w:t>
      </w:r>
    </w:p>
    <w:p w:rsidR="00297160" w:rsidRPr="00152DAE" w:rsidRDefault="00297160" w:rsidP="00297160">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rsidR="00297160" w:rsidRPr="00AD0AD8" w:rsidRDefault="00297160" w:rsidP="00297160">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w:t>
      </w:r>
      <w:proofErr w:type="gramStart"/>
      <w:r w:rsidRPr="00AD0AD8">
        <w:rPr>
          <w:sz w:val="16"/>
        </w:rPr>
        <w:t>1</w:t>
      </w:r>
      <w:proofErr w:type="gramEnd"/>
      <w:r w:rsidRPr="00AD0AD8">
        <w:rPr>
          <w:sz w:val="16"/>
        </w:rPr>
        <w:t xml:space="preserve">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rsidR="00297160" w:rsidRPr="00B54F49" w:rsidRDefault="00297160" w:rsidP="00297160">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w:t>
      </w:r>
      <w:proofErr w:type="gramStart"/>
      <w:r w:rsidRPr="00B54F49">
        <w:rPr>
          <w:sz w:val="16"/>
        </w:rPr>
        <w:t>be published</w:t>
      </w:r>
      <w:proofErr w:type="gramEnd"/>
      <w:r w:rsidRPr="00B54F49">
        <w:rPr>
          <w:sz w:val="16"/>
        </w:rPr>
        <w:t xml:space="preserve">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rsidR="00297160" w:rsidRPr="00B54F49" w:rsidRDefault="00297160" w:rsidP="00297160">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xml:space="preserve">. Measuring the outcomes of these efforts, in terms of political outcomes and emissions reductions is extremely challenging given the indirect nature of this activism. Such calculations </w:t>
      </w:r>
      <w:proofErr w:type="gramStart"/>
      <w:r w:rsidRPr="00AD0AD8">
        <w:rPr>
          <w:sz w:val="16"/>
        </w:rPr>
        <w:t>are made</w:t>
      </w:r>
      <w:proofErr w:type="gramEnd"/>
      <w:r w:rsidRPr="00AD0AD8">
        <w:rPr>
          <w:sz w:val="16"/>
        </w:rPr>
        <w:t xml:space="preserv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rsidR="00297160" w:rsidRPr="00A83C19" w:rsidRDefault="00297160" w:rsidP="00297160">
      <w:pPr>
        <w:pStyle w:val="Heading4"/>
      </w:pPr>
      <w:r w:rsidRPr="00A83C19">
        <w:t>Warming causes extinction</w:t>
      </w:r>
    </w:p>
    <w:p w:rsidR="00297160" w:rsidRPr="008C74CB" w:rsidRDefault="00297160" w:rsidP="00297160">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A83C19">
        <w:rPr>
          <w:color w:val="000000" w:themeColor="text1"/>
        </w:rPr>
        <w:t>livescience</w:t>
      </w:r>
      <w:proofErr w:type="spellEnd"/>
      <w:r w:rsidRPr="008C74CB">
        <w:rPr>
          <w:color w:val="000000" w:themeColor="text1"/>
        </w:rPr>
        <w:t xml:space="preserve">, </w:t>
      </w:r>
      <w:hyperlink r:id="rId15" w:history="1">
        <w:r w:rsidRPr="008C74CB">
          <w:rPr>
            <w:color w:val="000000" w:themeColor="text1"/>
          </w:rPr>
          <w:t>https://www.livescience.com/65633-climate-change-dooms-humans-by-2050.html</w:t>
        </w:r>
      </w:hyperlink>
      <w:r w:rsidRPr="008C74CB">
        <w:rPr>
          <w:color w:val="000000" w:themeColor="text1"/>
        </w:rPr>
        <w:t xml:space="preserve"> Justin</w:t>
      </w:r>
    </w:p>
    <w:p w:rsidR="00297160" w:rsidRPr="00E54889" w:rsidRDefault="00297160" w:rsidP="0029716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proofErr w:type="gramStart"/>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1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as such, they fail to adequately predict the scale of the potential consequences.</w:t>
      </w:r>
      <w:proofErr w:type="gramEnd"/>
      <w:r w:rsidRPr="0041591F">
        <w:rPr>
          <w:color w:val="000000" w:themeColor="text1"/>
          <w:sz w:val="12"/>
          <w:szCs w:val="12"/>
        </w:rPr>
        <w:t xml:space="preserve"> The truth, the authors wrote, is probably far worse than any models can fathom. How the world ends </w:t>
      </w:r>
      <w:proofErr w:type="gramStart"/>
      <w:r w:rsidRPr="0041591F">
        <w:rPr>
          <w:color w:val="000000" w:themeColor="text1"/>
          <w:sz w:val="12"/>
          <w:szCs w:val="12"/>
        </w:rPr>
        <w:t>What</w:t>
      </w:r>
      <w:proofErr w:type="gramEnd"/>
      <w:r w:rsidRPr="0041591F">
        <w:rPr>
          <w:color w:val="000000" w:themeColor="text1"/>
          <w:sz w:val="12"/>
          <w:szCs w:val="12"/>
        </w:rPr>
        <w:t xml:space="preserve">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w:t>
      </w:r>
      <w:proofErr w:type="gramStart"/>
      <w:r w:rsidRPr="0041591F">
        <w:rPr>
          <w:color w:val="000000" w:themeColor="text1"/>
          <w:sz w:val="12"/>
          <w:szCs w:val="12"/>
        </w:rPr>
        <w:t>;</w:t>
      </w:r>
      <w:proofErr w:type="gramEnd"/>
      <w:r w:rsidRPr="0041591F">
        <w:rPr>
          <w:color w:val="000000" w:themeColor="text1"/>
          <w:sz w:val="12"/>
          <w:szCs w:val="12"/>
        </w:rPr>
        <w:t xml:space="preserve">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18"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w:t>
      </w:r>
      <w:proofErr w:type="gramStart"/>
      <w:r w:rsidRPr="0041591F">
        <w:rPr>
          <w:color w:val="000000" w:themeColor="text1"/>
          <w:sz w:val="12"/>
          <w:szCs w:val="12"/>
        </w:rPr>
        <w:t>are hit</w:t>
      </w:r>
      <w:proofErr w:type="gramEnd"/>
      <w:r w:rsidRPr="0041591F">
        <w:rPr>
          <w:color w:val="000000" w:themeColor="text1"/>
          <w:sz w:val="12"/>
          <w:szCs w:val="12"/>
        </w:rPr>
        <w:t xml:space="preserve">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9"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proofErr w:type="gramStart"/>
      <w:r w:rsidRPr="00E542DA">
        <w:rPr>
          <w:color w:val="000000" w:themeColor="text1"/>
          <w:highlight w:val="green"/>
          <w:u w:val="single"/>
        </w:rPr>
        <w:t>civilization</w:t>
      </w:r>
      <w:proofErr w:type="gramEnd"/>
      <w:r w:rsidRPr="008C74CB">
        <w:rPr>
          <w:color w:val="000000" w:themeColor="text1"/>
          <w:u w:val="single"/>
        </w:rPr>
        <w:t xml:space="preserve"> as we know it."</w:t>
      </w:r>
    </w:p>
    <w:p w:rsidR="00297160" w:rsidRDefault="00297160" w:rsidP="00297160">
      <w:pPr>
        <w:rPr>
          <w:u w:val="single"/>
        </w:rPr>
      </w:pPr>
    </w:p>
    <w:p w:rsidR="00297160" w:rsidRDefault="00297160" w:rsidP="0029716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rsidR="00297160" w:rsidRPr="00C636F5" w:rsidRDefault="00297160" w:rsidP="0029716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0" w:history="1">
        <w:r w:rsidRPr="00540FF3">
          <w:rPr>
            <w:rStyle w:val="Hyperlink"/>
          </w:rPr>
          <w:t>https://digitalcommons.wcl.american.edu/cgi/viewcontent.cgi?referer=https://www.google.com/&amp;httpsredir=1&amp;article=1047&amp;context=lelb</w:t>
        </w:r>
      </w:hyperlink>
      <w:r>
        <w:t>] Justin</w:t>
      </w:r>
    </w:p>
    <w:p w:rsidR="00297160" w:rsidRPr="00AD0AD8" w:rsidRDefault="00297160" w:rsidP="00297160">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rsidR="00297160" w:rsidRPr="0057035A" w:rsidRDefault="00297160" w:rsidP="00297160">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rsidR="00297160" w:rsidRPr="00C636F5" w:rsidRDefault="00297160" w:rsidP="00297160">
      <w:pPr>
        <w:rPr>
          <w:sz w:val="16"/>
        </w:rPr>
      </w:pPr>
      <w:proofErr w:type="gramStart"/>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w:t>
      </w:r>
      <w:proofErr w:type="gramEnd"/>
      <w:r w:rsidRPr="00C636F5">
        <w:rPr>
          <w:sz w:val="16"/>
        </w:rPr>
        <w:t xml:space="preserv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rsidR="00297160" w:rsidRPr="00C636F5" w:rsidRDefault="00297160" w:rsidP="00297160">
      <w:pPr>
        <w:rPr>
          <w:sz w:val="16"/>
        </w:rPr>
      </w:pPr>
      <w:r w:rsidRPr="00C636F5">
        <w:rPr>
          <w:sz w:val="16"/>
        </w:rPr>
        <w:t>2. Context of Framework Agreements: Corporate Social Responsibility</w:t>
      </w:r>
    </w:p>
    <w:p w:rsidR="00297160" w:rsidRPr="00C636F5" w:rsidRDefault="00297160" w:rsidP="00297160">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w:t>
      </w:r>
      <w:proofErr w:type="gramStart"/>
      <w:r w:rsidRPr="0057035A">
        <w:rPr>
          <w:u w:val="single"/>
        </w:rPr>
        <w:t>can be traced</w:t>
      </w:r>
      <w:proofErr w:type="gramEnd"/>
      <w:r w:rsidRPr="0057035A">
        <w:rPr>
          <w:u w:val="single"/>
        </w:rPr>
        <w:t xml:space="preserve">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w:t>
      </w:r>
      <w:proofErr w:type="gramStart"/>
      <w:r w:rsidRPr="00C636F5">
        <w:rPr>
          <w:sz w:val="16"/>
        </w:rPr>
        <w:t xml:space="preserve">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roofErr w:type="gramEnd"/>
    </w:p>
    <w:p w:rsidR="00297160" w:rsidRPr="00B41300" w:rsidRDefault="00297160" w:rsidP="00297160">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rsidR="00297160" w:rsidRPr="0057035A" w:rsidRDefault="00297160" w:rsidP="00297160">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proofErr w:type="gramStart"/>
      <w:r w:rsidRPr="0057035A">
        <w:rPr>
          <w:u w:val="single"/>
        </w:rPr>
        <w:t>This</w:t>
      </w:r>
      <w:proofErr w:type="gramEnd"/>
      <w:r w:rsidRPr="0057035A">
        <w:rPr>
          <w:u w:val="single"/>
        </w:rPr>
        <w:t xml:space="preserve">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rsidR="00297160" w:rsidRPr="00C636F5" w:rsidRDefault="00297160" w:rsidP="00297160">
      <w:pPr>
        <w:rPr>
          <w:sz w:val="16"/>
        </w:rPr>
      </w:pPr>
      <w:r w:rsidRPr="00C636F5">
        <w:rPr>
          <w:sz w:val="16"/>
        </w:rPr>
        <w:t>3. Core ILO Principles as the Substantive Content of IFAs</w:t>
      </w:r>
    </w:p>
    <w:p w:rsidR="00297160" w:rsidRPr="00C636F5" w:rsidRDefault="00297160" w:rsidP="00297160">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w:t>
      </w:r>
      <w:proofErr w:type="gramStart"/>
      <w:r w:rsidRPr="0057035A">
        <w:rPr>
          <w:u w:val="single"/>
        </w:rPr>
        <w:t xml:space="preserve">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roofErr w:type="gramEnd"/>
    </w:p>
    <w:p w:rsidR="00297160" w:rsidRPr="00C636F5" w:rsidRDefault="00297160" w:rsidP="00297160">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rsidR="00297160" w:rsidRPr="00C636F5" w:rsidRDefault="00297160" w:rsidP="00297160">
      <w:pPr>
        <w:rPr>
          <w:sz w:val="16"/>
        </w:rPr>
      </w:pPr>
      <w:r w:rsidRPr="00C636F5">
        <w:rPr>
          <w:sz w:val="16"/>
        </w:rPr>
        <w:t>4. Scope of IFAs, MNCs and Supply Chains</w:t>
      </w:r>
    </w:p>
    <w:p w:rsidR="00297160" w:rsidRPr="00484C93" w:rsidRDefault="00297160" w:rsidP="00297160">
      <w:pPr>
        <w:rPr>
          <w:sz w:val="16"/>
        </w:rPr>
      </w:pPr>
      <w:proofErr w:type="gramStart"/>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w:t>
      </w:r>
      <w:proofErr w:type="gramEnd"/>
      <w:r w:rsidRPr="00484C93">
        <w:rPr>
          <w:sz w:val="16"/>
        </w:rPr>
        <w:t xml:space="preserve">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rsidR="00297160" w:rsidRPr="00484C93" w:rsidRDefault="00297160" w:rsidP="00297160">
      <w:pPr>
        <w:rPr>
          <w:sz w:val="16"/>
        </w:rPr>
      </w:pPr>
      <w:r w:rsidRPr="00484C93">
        <w:rPr>
          <w:sz w:val="16"/>
        </w:rPr>
        <w:t>III. ANALYSIS</w:t>
      </w:r>
    </w:p>
    <w:p w:rsidR="00297160" w:rsidRPr="0057035A" w:rsidRDefault="00297160" w:rsidP="00297160">
      <w:pPr>
        <w:rPr>
          <w:u w:val="single"/>
        </w:rPr>
      </w:pPr>
      <w:r w:rsidRPr="00484C93">
        <w:rPr>
          <w:sz w:val="16"/>
        </w:rPr>
        <w:t xml:space="preserve">The principal weapon workers have to leverage their bargaining power is the strike.109 </w:t>
      </w:r>
      <w:proofErr w:type="gramStart"/>
      <w:r w:rsidRPr="00484C93">
        <w:rPr>
          <w:u w:val="single"/>
        </w:rPr>
        <w:t>The</w:t>
      </w:r>
      <w:proofErr w:type="gramEnd"/>
      <w:r w:rsidRPr="00484C93">
        <w:rPr>
          <w:u w:val="single"/>
        </w:rPr>
        <w:t xml:space="preserv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proofErr w:type="gramStart"/>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roofErr w:type="gramEnd"/>
    </w:p>
    <w:p w:rsidR="00297160" w:rsidRPr="00C636F5" w:rsidRDefault="00297160" w:rsidP="00297160">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rsidR="00297160" w:rsidRPr="00C636F5" w:rsidRDefault="00297160" w:rsidP="00297160">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rsidR="00297160" w:rsidRPr="00C636F5" w:rsidRDefault="00297160" w:rsidP="00297160">
      <w:pPr>
        <w:rPr>
          <w:sz w:val="16"/>
        </w:rPr>
      </w:pPr>
      <w:proofErr w:type="gramStart"/>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roofErr w:type="gramEnd"/>
    </w:p>
    <w:p w:rsidR="00297160" w:rsidRPr="00EB5C32" w:rsidRDefault="00297160" w:rsidP="00297160">
      <w:pPr>
        <w:rPr>
          <w:b/>
          <w:iCs/>
          <w:u w:val="single"/>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EB5C32">
        <w:rPr>
          <w:rStyle w:val="Emphasis"/>
          <w:highlight w:val="green"/>
        </w:rPr>
        <w:t>workers</w:t>
      </w:r>
      <w:proofErr w:type="gramStart"/>
      <w:r w:rsidRPr="00EB5C32">
        <w:rPr>
          <w:rStyle w:val="Emphasis"/>
          <w:highlight w:val="green"/>
        </w:rPr>
        <w:t>.</w:t>
      </w:r>
      <w:r w:rsidRPr="00C636F5">
        <w:rPr>
          <w:sz w:val="16"/>
        </w:rPr>
        <w:t>.</w:t>
      </w:r>
      <w:proofErr w:type="gramEnd"/>
      <w:r w:rsidRPr="00C636F5">
        <w:rPr>
          <w:sz w:val="16"/>
        </w:rPr>
        <w:t xml:space="preserve"> </w:t>
      </w:r>
      <w:proofErr w:type="gramStart"/>
      <w:r w:rsidRPr="00C636F5">
        <w:rPr>
          <w:sz w:val="16"/>
        </w:rPr>
        <w:t xml:space="preserve">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roofErr w:type="gramEnd"/>
    </w:p>
    <w:p w:rsidR="00297160" w:rsidRPr="00C636F5" w:rsidRDefault="00297160" w:rsidP="00297160">
      <w:pPr>
        <w:rPr>
          <w:sz w:val="16"/>
        </w:rPr>
      </w:pPr>
      <w:r w:rsidRPr="00C636F5">
        <w:rPr>
          <w:sz w:val="16"/>
        </w:rPr>
        <w:t>1. The Use of Permanent Strike Replacements Reduces the ‘Right’ to Strike to the Unprotected ‘Freedom’ to Strike</w:t>
      </w:r>
    </w:p>
    <w:p w:rsidR="00297160" w:rsidRPr="00C636F5" w:rsidRDefault="00297160" w:rsidP="00297160">
      <w:pPr>
        <w:rPr>
          <w:sz w:val="16"/>
        </w:rPr>
      </w:pPr>
      <w:proofErr w:type="gramStart"/>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roofErr w:type="gramEnd"/>
    </w:p>
    <w:p w:rsidR="00297160" w:rsidRPr="00C636F5" w:rsidRDefault="00297160" w:rsidP="00297160">
      <w:pPr>
        <w:rPr>
          <w:sz w:val="16"/>
        </w:rPr>
      </w:pPr>
      <w:proofErr w:type="gramStart"/>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w:t>
      </w:r>
      <w:proofErr w:type="gramEnd"/>
      <w:r w:rsidRPr="00C636F5">
        <w:rPr>
          <w:u w:val="single"/>
        </w:rPr>
        <w:t xml:space="preserve"> </w:t>
      </w:r>
      <w:proofErr w:type="gramStart"/>
      <w:r w:rsidRPr="00C636F5">
        <w:rPr>
          <w:u w:val="single"/>
        </w:rPr>
        <w:t xml:space="preserve">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roofErr w:type="gramEnd"/>
    </w:p>
    <w:p w:rsidR="00297160" w:rsidRPr="00C636F5" w:rsidRDefault="00297160" w:rsidP="00297160">
      <w:pPr>
        <w:rPr>
          <w:sz w:val="16"/>
        </w:rPr>
      </w:pPr>
      <w:proofErr w:type="gramStart"/>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roofErr w:type="gramEnd"/>
    </w:p>
    <w:p w:rsidR="00297160" w:rsidRPr="00C636F5" w:rsidRDefault="00297160" w:rsidP="00297160">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rsidR="008A335B" w:rsidRDefault="00297160" w:rsidP="004454E3">
      <w:pPr>
        <w:rPr>
          <w:sz w:val="16"/>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proofErr w:type="gramStart"/>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w:t>
      </w:r>
      <w:proofErr w:type="gramEnd"/>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bookmarkStart w:id="0" w:name="_GoBack"/>
      <w:bookmarkEnd w:id="0"/>
    </w:p>
    <w:p w:rsidR="005C1653" w:rsidRPr="005C1653" w:rsidRDefault="005C1653" w:rsidP="005C1653"/>
    <w:sectPr w:rsidR="005C1653" w:rsidRPr="005C16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013C9C"/>
    <w:multiLevelType w:val="hybridMultilevel"/>
    <w:tmpl w:val="CC4E4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759425731392"/>
    <w:docVar w:name="VerbatimVersion" w:val="5.1"/>
  </w:docVars>
  <w:rsids>
    <w:rsidRoot w:val="002522F4"/>
    <w:rsid w:val="000139A3"/>
    <w:rsid w:val="00100833"/>
    <w:rsid w:val="00104529"/>
    <w:rsid w:val="00105942"/>
    <w:rsid w:val="00107396"/>
    <w:rsid w:val="00144A4C"/>
    <w:rsid w:val="00176AB0"/>
    <w:rsid w:val="00177B7D"/>
    <w:rsid w:val="0018322D"/>
    <w:rsid w:val="001B5776"/>
    <w:rsid w:val="001E527A"/>
    <w:rsid w:val="001F78CE"/>
    <w:rsid w:val="00251FC7"/>
    <w:rsid w:val="002522F4"/>
    <w:rsid w:val="002855A7"/>
    <w:rsid w:val="00297160"/>
    <w:rsid w:val="002B146A"/>
    <w:rsid w:val="002B5E17"/>
    <w:rsid w:val="00315690"/>
    <w:rsid w:val="00316B75"/>
    <w:rsid w:val="00325646"/>
    <w:rsid w:val="003460F2"/>
    <w:rsid w:val="0038158C"/>
    <w:rsid w:val="003902BA"/>
    <w:rsid w:val="003A09E2"/>
    <w:rsid w:val="00407037"/>
    <w:rsid w:val="004454E3"/>
    <w:rsid w:val="004605D6"/>
    <w:rsid w:val="004C60E8"/>
    <w:rsid w:val="004E3579"/>
    <w:rsid w:val="004E728B"/>
    <w:rsid w:val="004F39E0"/>
    <w:rsid w:val="00537BD5"/>
    <w:rsid w:val="005410A7"/>
    <w:rsid w:val="0057268A"/>
    <w:rsid w:val="005C1653"/>
    <w:rsid w:val="005D2912"/>
    <w:rsid w:val="006065BD"/>
    <w:rsid w:val="00645FA9"/>
    <w:rsid w:val="00647866"/>
    <w:rsid w:val="00665003"/>
    <w:rsid w:val="006A2AD0"/>
    <w:rsid w:val="006C2375"/>
    <w:rsid w:val="006D4ECC"/>
    <w:rsid w:val="00722258"/>
    <w:rsid w:val="00723884"/>
    <w:rsid w:val="007243E5"/>
    <w:rsid w:val="00766EA0"/>
    <w:rsid w:val="007A2226"/>
    <w:rsid w:val="007F5B66"/>
    <w:rsid w:val="00823A1C"/>
    <w:rsid w:val="00845B9D"/>
    <w:rsid w:val="00860984"/>
    <w:rsid w:val="008A335B"/>
    <w:rsid w:val="008B3ECB"/>
    <w:rsid w:val="008B4E85"/>
    <w:rsid w:val="008C1B2E"/>
    <w:rsid w:val="0091627E"/>
    <w:rsid w:val="0097032B"/>
    <w:rsid w:val="009B0D65"/>
    <w:rsid w:val="009D2EAD"/>
    <w:rsid w:val="009D54B2"/>
    <w:rsid w:val="009E1922"/>
    <w:rsid w:val="009F7ED2"/>
    <w:rsid w:val="00A52C5E"/>
    <w:rsid w:val="00A93661"/>
    <w:rsid w:val="00A95652"/>
    <w:rsid w:val="00AC0AB8"/>
    <w:rsid w:val="00AD1097"/>
    <w:rsid w:val="00B33C6D"/>
    <w:rsid w:val="00B4508F"/>
    <w:rsid w:val="00B55AD5"/>
    <w:rsid w:val="00B8057C"/>
    <w:rsid w:val="00BD6238"/>
    <w:rsid w:val="00BF593B"/>
    <w:rsid w:val="00BF773A"/>
    <w:rsid w:val="00BF7E81"/>
    <w:rsid w:val="00C05AEB"/>
    <w:rsid w:val="00C13773"/>
    <w:rsid w:val="00C17CC8"/>
    <w:rsid w:val="00C83417"/>
    <w:rsid w:val="00C9604F"/>
    <w:rsid w:val="00CA19AA"/>
    <w:rsid w:val="00CC5298"/>
    <w:rsid w:val="00CD736E"/>
    <w:rsid w:val="00CD798D"/>
    <w:rsid w:val="00CE161E"/>
    <w:rsid w:val="00CF59A8"/>
    <w:rsid w:val="00D325A9"/>
    <w:rsid w:val="00D36A8A"/>
    <w:rsid w:val="00D5075A"/>
    <w:rsid w:val="00D61409"/>
    <w:rsid w:val="00D6691E"/>
    <w:rsid w:val="00D71170"/>
    <w:rsid w:val="00DA1C92"/>
    <w:rsid w:val="00DA25D4"/>
    <w:rsid w:val="00DA6538"/>
    <w:rsid w:val="00E15E75"/>
    <w:rsid w:val="00E5262C"/>
    <w:rsid w:val="00E8274B"/>
    <w:rsid w:val="00EC7DC4"/>
    <w:rsid w:val="00ED30CF"/>
    <w:rsid w:val="00EE5696"/>
    <w:rsid w:val="00F176EF"/>
    <w:rsid w:val="00F315B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E868"/>
  <w15:chartTrackingRefBased/>
  <w15:docId w15:val="{65282A58-724D-4EDB-BCEC-728A7A85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52C5E"/>
    <w:rPr>
      <w:rFonts w:ascii="Calibri" w:hAnsi="Calibri"/>
    </w:rPr>
  </w:style>
  <w:style w:type="paragraph" w:styleId="Heading1">
    <w:name w:val="heading 1"/>
    <w:aliases w:val="Pocket"/>
    <w:basedOn w:val="Normal"/>
    <w:next w:val="Normal"/>
    <w:link w:val="Heading1Char"/>
    <w:qFormat/>
    <w:rsid w:val="00A52C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2C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2C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A52C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2C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C5E"/>
  </w:style>
  <w:style w:type="character" w:customStyle="1" w:styleId="Heading1Char">
    <w:name w:val="Heading 1 Char"/>
    <w:aliases w:val="Pocket Char"/>
    <w:basedOn w:val="DefaultParagraphFont"/>
    <w:link w:val="Heading1"/>
    <w:rsid w:val="00A52C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2C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2C5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A52C5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A52C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2C5E"/>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A52C5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52C5E"/>
    <w:rPr>
      <w:color w:val="auto"/>
      <w:u w:val="none"/>
    </w:rPr>
  </w:style>
  <w:style w:type="character" w:styleId="FollowedHyperlink">
    <w:name w:val="FollowedHyperlink"/>
    <w:basedOn w:val="DefaultParagraphFont"/>
    <w:uiPriority w:val="99"/>
    <w:semiHidden/>
    <w:unhideWhenUsed/>
    <w:rsid w:val="00A52C5E"/>
    <w:rPr>
      <w:color w:val="auto"/>
      <w:u w:val="none"/>
    </w:rPr>
  </w:style>
  <w:style w:type="paragraph" w:styleId="DocumentMap">
    <w:name w:val="Document Map"/>
    <w:basedOn w:val="Normal"/>
    <w:link w:val="DocumentMapChar"/>
    <w:uiPriority w:val="99"/>
    <w:semiHidden/>
    <w:unhideWhenUsed/>
    <w:rsid w:val="005C1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1653"/>
    <w:rPr>
      <w:rFonts w:ascii="Lucida Grande" w:hAnsi="Lucida Grande" w:cs="Lucida Grande"/>
      <w:sz w:val="24"/>
    </w:rPr>
  </w:style>
  <w:style w:type="paragraph" w:customStyle="1" w:styleId="textbold">
    <w:name w:val="text bold"/>
    <w:basedOn w:val="Normal"/>
    <w:link w:val="Emphasis"/>
    <w:uiPriority w:val="7"/>
    <w:qFormat/>
    <w:rsid w:val="005C165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5C165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C16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ionalinterest.org/feature/how-china-sees-world-order-15846"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sis.org/analysis/how-democracy%E2%80%99s-decline-would-undermine-international-order" TargetMode="External"/><Relationship Id="rId12" Type="http://schemas.openxmlformats.org/officeDocument/2006/relationships/hyperlink" Target="file:///C:\Users\PMeylan\AppData\Local\Microsoft\Windows\Temporary%20Internet%20Files\Content.Outlook\5V2CJVRN\160715_KendallTaylor_DemocracysDecline_Commentary.docx"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digitalcommons.wcl.american.edu/cgi/viewcontent.cgi?referer=https://www.google.com/&amp;httpsredir=1&amp;article=1047&amp;context=lelb" TargetMode="External"/><Relationship Id="rId1" Type="http://schemas.openxmlformats.org/officeDocument/2006/relationships/customXml" Target="../customXml/item1.xml"/><Relationship Id="rId6" Type="http://schemas.openxmlformats.org/officeDocument/2006/relationships/hyperlink" Target="https://oefresearch.org/sites/default/files/documents/publications/Cortright-Seyle-Wall-Paper.pdf" TargetMode="External"/><Relationship Id="rId11" Type="http://schemas.openxmlformats.org/officeDocument/2006/relationships/hyperlink" Target="https://freedomhouse.org/sites/default/files/01152015_FIW_2015_final.pdf"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www.iiss.org/en/publications/survival/sections/2016-5e13/survival--global-politics-and-strategy-april-may-2016-eb2d/58-2-03-boyle-6dbd" TargetMode="External"/><Relationship Id="rId19"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www.journalofdemocracy.org/article/facing-democratic-recession" TargetMode="External"/><Relationship Id="rId14" Type="http://schemas.openxmlformats.org/officeDocument/2006/relationships/hyperlink" Target="https://www.washingtonpost.com/opinions/christopher-walker-authoritarian-regimes-are-changing-how-the-world-defines-democracy/2014/06/12/d1328e3a-f0ee-11e3-bf76-447a5df6411f_story.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8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7B949-C50F-4CD6-92E9-37354366D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9063</Words>
  <Characters>51664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14</cp:revision>
  <dcterms:created xsi:type="dcterms:W3CDTF">2021-11-02T03:11:00Z</dcterms:created>
  <dcterms:modified xsi:type="dcterms:W3CDTF">2021-11-17T22:50:00Z</dcterms:modified>
</cp:coreProperties>
</file>