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B19BC" w14:textId="26177227" w:rsidR="00A95652" w:rsidRDefault="00A95652" w:rsidP="00B55AD5"/>
    <w:p w14:paraId="6C830959" w14:textId="017405C0" w:rsidR="00870E6D" w:rsidRDefault="00870E6D" w:rsidP="00870E6D">
      <w:pPr>
        <w:pStyle w:val="Heading2"/>
      </w:pPr>
      <w:r>
        <w:t>1</w:t>
      </w:r>
    </w:p>
    <w:p w14:paraId="3EB09254" w14:textId="77777777" w:rsidR="00330393" w:rsidRPr="005A7476" w:rsidRDefault="00330393" w:rsidP="00330393">
      <w:pPr>
        <w:pStyle w:val="Heading4"/>
      </w:pPr>
      <w:r w:rsidRPr="005A7476">
        <w:t>Permissibility and presumption negate – Statements are more often false than true because any part can be false – outweighs on probability. This means you negate if there is no offense because the resolution is probably false.</w:t>
      </w:r>
    </w:p>
    <w:p w14:paraId="16EA66F3" w14:textId="77777777" w:rsidR="00330393" w:rsidRPr="005A7476" w:rsidRDefault="00330393" w:rsidP="00330393">
      <w:pPr>
        <w:rPr>
          <w:rFonts w:asciiTheme="majorHAnsi" w:hAnsiTheme="majorHAnsi"/>
        </w:rPr>
      </w:pPr>
    </w:p>
    <w:p w14:paraId="397C483A" w14:textId="77777777" w:rsidR="00330393" w:rsidRPr="005A7476" w:rsidRDefault="00330393" w:rsidP="00330393">
      <w:pPr>
        <w:pStyle w:val="Heading4"/>
      </w:pPr>
      <w:r w:rsidRPr="005A7476">
        <w:t>I value morality.</w:t>
      </w:r>
    </w:p>
    <w:p w14:paraId="6FEBABA4" w14:textId="77777777" w:rsidR="00330393" w:rsidRPr="005A7476" w:rsidRDefault="00330393" w:rsidP="00330393">
      <w:pPr>
        <w:pStyle w:val="Heading4"/>
      </w:pPr>
      <w:r w:rsidRPr="005A7476">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3F2492DD" w14:textId="77777777" w:rsidR="00330393" w:rsidRPr="005A7476" w:rsidRDefault="00330393" w:rsidP="00330393">
      <w:pPr>
        <w:pStyle w:val="Heading4"/>
      </w:pPr>
      <w:proofErr w:type="spellStart"/>
      <w:r w:rsidRPr="005A7476">
        <w:t>Constitutivism</w:t>
      </w:r>
      <w:proofErr w:type="spellEnd"/>
      <w:r w:rsidRPr="005A7476">
        <w:t xml:space="preserve"> solves – it allows for universal obligations among all agents but they are binding and cannot be opted out of. Thus, the meta ethic is </w:t>
      </w:r>
      <w:proofErr w:type="spellStart"/>
      <w:r w:rsidRPr="005A7476">
        <w:t>constitutivism</w:t>
      </w:r>
      <w:proofErr w:type="spellEnd"/>
      <w:r w:rsidRPr="005A7476">
        <w:t xml:space="preserve">. </w:t>
      </w:r>
    </w:p>
    <w:p w14:paraId="7922EB7E" w14:textId="77777777" w:rsidR="00330393" w:rsidRPr="005A7476" w:rsidRDefault="00330393" w:rsidP="00330393">
      <w:pPr>
        <w:rPr>
          <w:rFonts w:asciiTheme="majorHAnsi" w:hAnsiTheme="majorHAnsi"/>
        </w:rPr>
      </w:pPr>
    </w:p>
    <w:p w14:paraId="4BB13E5A" w14:textId="77777777" w:rsidR="00330393" w:rsidRPr="005A7476" w:rsidRDefault="00330393" w:rsidP="00330393">
      <w:pPr>
        <w:pStyle w:val="Heading4"/>
      </w:pPr>
      <w:r w:rsidRPr="005A7476">
        <w:t>Next, only practical reason is constitutive:</w:t>
      </w:r>
    </w:p>
    <w:p w14:paraId="69B1ED04" w14:textId="77777777" w:rsidR="00330393" w:rsidRPr="005A7476" w:rsidRDefault="00330393" w:rsidP="00330393">
      <w:pPr>
        <w:pStyle w:val="Heading4"/>
      </w:pPr>
      <w:r w:rsidRPr="005A7476">
        <w:t>[1]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otherwise people could opt out of it and have no moral guidance.</w:t>
      </w:r>
    </w:p>
    <w:p w14:paraId="69DEA8FD" w14:textId="77777777" w:rsidR="00330393" w:rsidRPr="005A7476" w:rsidRDefault="00330393" w:rsidP="00330393">
      <w:pPr>
        <w:pStyle w:val="Heading4"/>
        <w:rPr>
          <w:color w:val="000000" w:themeColor="text1"/>
        </w:rPr>
      </w:pPr>
      <w:r w:rsidRPr="005A7476">
        <w:rPr>
          <w:color w:val="000000" w:themeColor="text1"/>
        </w:rPr>
        <w:t>[2] Action Theory –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1E05D963" w14:textId="77777777" w:rsidR="00330393" w:rsidRPr="005A7476" w:rsidRDefault="00330393" w:rsidP="00330393">
      <w:pPr>
        <w:rPr>
          <w:rFonts w:asciiTheme="majorHAnsi" w:hAnsiTheme="majorHAnsi"/>
        </w:rPr>
      </w:pPr>
    </w:p>
    <w:p w14:paraId="61717EE2" w14:textId="77777777" w:rsidR="00330393" w:rsidRPr="005A7476" w:rsidRDefault="00330393" w:rsidP="00330393">
      <w:pPr>
        <w:pStyle w:val="Heading4"/>
      </w:pPr>
      <w:r w:rsidRPr="005A7476">
        <w:t xml:space="preserve">Morality must be grounded in a priori truth to guide action, otherwise everyone would have different ethical codes and different rules. And, truth exists independent of human experience since certain things can be self-proving, i.e. a triangle has three sides. This is the difference between a priori and a posteriori. Reject a posteriori truth since they are just arbitrary states of being, not constitutive of ethics. </w:t>
      </w:r>
    </w:p>
    <w:p w14:paraId="5A1D8EB9" w14:textId="77777777" w:rsidR="00330393" w:rsidRPr="00042BA9" w:rsidRDefault="00330393" w:rsidP="00330393">
      <w:pPr>
        <w:pStyle w:val="Heading4"/>
      </w:pPr>
      <w:r w:rsidRPr="00042BA9">
        <w:t>Next, practical reason means we all have a unified perspective: What can be justified to me can be justified to everyone who is a practical reasoner. If I can conclude that 2+2 is 4, then I understand not only that I know 2+2 is 4, but that everyone around me can arrive at the same conclusion</w:t>
      </w:r>
    </w:p>
    <w:p w14:paraId="3AF93B41" w14:textId="77777777" w:rsidR="00330393" w:rsidRPr="005A7476" w:rsidRDefault="00330393" w:rsidP="00330393">
      <w:pPr>
        <w:pStyle w:val="Heading4"/>
        <w:rPr>
          <w:color w:val="000000" w:themeColor="text1"/>
          <w:szCs w:val="16"/>
        </w:rPr>
      </w:pPr>
      <w:r>
        <w:t xml:space="preserve">A </w:t>
      </w:r>
      <w:r w:rsidRPr="005A7476">
        <w:t>priori truth has to apply to everyone: A) absent universal ethics, morality becomes arbitrary and fails to guide action, which means that ethics is rendered useless, B) otherwise it creates a contradiction in which you justify your freedom while limiting others’</w:t>
      </w:r>
    </w:p>
    <w:p w14:paraId="0663039C" w14:textId="77777777" w:rsidR="00330393" w:rsidRPr="005A7476" w:rsidRDefault="00330393" w:rsidP="00330393">
      <w:pPr>
        <w:pStyle w:val="Heading4"/>
      </w:pPr>
      <w:r w:rsidRPr="005A7476">
        <w:t>Thus the standard is consistency with the categorical imperative.</w:t>
      </w:r>
    </w:p>
    <w:p w14:paraId="1F8E26BB" w14:textId="77777777" w:rsidR="00330393" w:rsidRPr="005A7476" w:rsidRDefault="00330393" w:rsidP="00330393">
      <w:pPr>
        <w:rPr>
          <w:rFonts w:asciiTheme="majorHAnsi" w:hAnsiTheme="majorHAnsi"/>
        </w:rPr>
      </w:pPr>
    </w:p>
    <w:p w14:paraId="2B708A1C" w14:textId="77777777" w:rsidR="00330393" w:rsidRPr="005A7476" w:rsidRDefault="00330393" w:rsidP="00330393">
      <w:pPr>
        <w:pStyle w:val="Heading4"/>
      </w:pPr>
      <w:r w:rsidRPr="005A7476">
        <w:t>Prefer additionally:</w:t>
      </w:r>
    </w:p>
    <w:p w14:paraId="176F142A" w14:textId="77777777" w:rsidR="00330393" w:rsidRPr="005A7476" w:rsidRDefault="00330393" w:rsidP="00330393">
      <w:pPr>
        <w:pStyle w:val="Heading4"/>
      </w:pPr>
      <w:r w:rsidRPr="005A7476">
        <w:t xml:space="preserve">1] Performativity—freedom is the key to the process of justification of arguments. Willing that we should abide by their ethical theory presupposes that we own ourselves in the first place </w:t>
      </w:r>
    </w:p>
    <w:p w14:paraId="1B654762" w14:textId="77777777" w:rsidR="00330393" w:rsidRPr="005A7476" w:rsidRDefault="00330393" w:rsidP="00330393">
      <w:pPr>
        <w:rPr>
          <w:rFonts w:asciiTheme="majorHAnsi" w:hAnsiTheme="majorHAnsi"/>
        </w:rPr>
      </w:pPr>
    </w:p>
    <w:p w14:paraId="24BAC937" w14:textId="18B9D5D9" w:rsidR="00870E6D" w:rsidRDefault="00330393" w:rsidP="00330393">
      <w:pPr>
        <w:pStyle w:val="Heading4"/>
      </w:pPr>
      <w:r w:rsidRPr="005A7476">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2C4D9710" w14:textId="77777777" w:rsidR="00330393" w:rsidRPr="00330393" w:rsidRDefault="00330393" w:rsidP="00330393"/>
    <w:p w14:paraId="6295354A" w14:textId="4DE77B2D" w:rsidR="00330393" w:rsidRPr="00330393" w:rsidRDefault="00330393" w:rsidP="00330393">
      <w:pPr>
        <w:pStyle w:val="Heading4"/>
      </w:pPr>
      <w:r>
        <w:t xml:space="preserve">Now negate: </w:t>
      </w:r>
    </w:p>
    <w:p w14:paraId="2CC60CB6" w14:textId="05AEB8B2" w:rsidR="00870E6D" w:rsidRPr="005A7476" w:rsidRDefault="00870E6D" w:rsidP="00870E6D">
      <w:pPr>
        <w:pStyle w:val="Heading4"/>
      </w:pPr>
      <w:r w:rsidRPr="005A7476">
        <w:t xml:space="preserve">[1] The </w:t>
      </w:r>
      <w:proofErr w:type="spellStart"/>
      <w:r w:rsidRPr="005A7476">
        <w:t>aff</w:t>
      </w:r>
      <w:proofErr w:type="spellEnd"/>
      <w:r w:rsidRPr="005A7476">
        <w:t xml:space="preserve"> violates the categorical imperative and is </w:t>
      </w:r>
      <w:r w:rsidRPr="005A7476">
        <w:rPr>
          <w:u w:val="single"/>
        </w:rPr>
        <w:t>non-universalizable</w:t>
      </w:r>
      <w:r w:rsidRPr="005A7476">
        <w:t xml:space="preserve">- governments have a </w:t>
      </w:r>
      <w:r w:rsidRPr="005A7476">
        <w:rPr>
          <w:u w:val="single"/>
        </w:rPr>
        <w:t xml:space="preserve">binding obligation </w:t>
      </w:r>
      <w:r w:rsidRPr="005A7476">
        <w:t xml:space="preserve">to protect creations </w:t>
      </w:r>
    </w:p>
    <w:p w14:paraId="44E271C4" w14:textId="77777777" w:rsidR="00870E6D" w:rsidRPr="005A7476" w:rsidRDefault="00870E6D" w:rsidP="00870E6D">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w:t>
      </w:r>
      <w:proofErr w:type="spellStart"/>
      <w:r w:rsidRPr="005A7476">
        <w:rPr>
          <w:rFonts w:asciiTheme="majorHAnsi" w:hAnsiTheme="majorHAnsi"/>
        </w:rPr>
        <w:t>IPWatchdog</w:t>
      </w:r>
      <w:proofErr w:type="spellEnd"/>
      <w:r w:rsidRPr="005A7476">
        <w:rPr>
          <w:rFonts w:asciiTheme="majorHAnsi" w:hAnsiTheme="majorHAnsi"/>
        </w:rPr>
        <w:t xml:space="preserve">, </w:t>
      </w:r>
      <w:hyperlink r:id="rId6"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3E334944" w14:textId="77777777" w:rsidR="00870E6D" w:rsidRPr="005A7476" w:rsidRDefault="00870E6D" w:rsidP="00870E6D">
      <w:pPr>
        <w:rPr>
          <w:rFonts w:asciiTheme="majorHAnsi" w:hAnsiTheme="majorHAnsi"/>
          <w:sz w:val="16"/>
        </w:rPr>
      </w:pPr>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 xml:space="preserve">a proposed Categorical Imperative (CI) is the following Statement: creators should be protected against the unlawful taking of their creation by others.  </w:t>
      </w:r>
      <w:r w:rsidRPr="005A7476">
        <w:rPr>
          <w:rFonts w:asciiTheme="majorHAnsi" w:hAnsiTheme="majorHAnsi"/>
          <w:b/>
          <w:bCs/>
          <w:highlight w:val="green"/>
          <w:u w:val="single"/>
        </w:rPr>
        <w:t>Applying this</w:t>
      </w:r>
      <w:r w:rsidRPr="005A7476">
        <w:rPr>
          <w:rFonts w:asciiTheme="majorHAnsi" w:hAnsiTheme="majorHAnsi"/>
          <w:b/>
          <w:bCs/>
          <w:u w:val="single"/>
        </w:rPr>
        <w:t xml:space="preserve"> Statement </w:t>
      </w:r>
      <w:r w:rsidRPr="005A7476">
        <w:rPr>
          <w:rFonts w:asciiTheme="majorHAnsi" w:hAnsiTheme="majorHAnsi"/>
          <w:b/>
          <w:bCs/>
          <w:highlight w:val="green"/>
          <w:u w:val="single"/>
        </w:rPr>
        <w:t>to everyone</w:t>
      </w:r>
      <w:r w:rsidRPr="005A7476">
        <w:rPr>
          <w:rFonts w:asciiTheme="majorHAnsi" w:hAnsiTheme="majorHAnsi"/>
          <w:b/>
          <w:bCs/>
          <w:u w:val="single"/>
        </w:rPr>
        <w:t xml:space="preserve">, i.e., does the Statement hold water if everyone does this, </w:t>
      </w:r>
      <w:r w:rsidRPr="005A7476">
        <w:rPr>
          <w:rFonts w:asciiTheme="majorHAnsi" w:hAnsiTheme="majorHAnsi"/>
          <w:b/>
          <w:bCs/>
          <w:highlight w:val="green"/>
          <w:u w:val="single"/>
        </w:rPr>
        <w:t>leads to a yes determination</w:t>
      </w:r>
      <w:r w:rsidRPr="005A7476">
        <w:rPr>
          <w:rFonts w:asciiTheme="majorHAnsi" w:hAnsiTheme="majorHAnsi"/>
          <w:b/>
          <w:bCs/>
          <w:u w:val="single"/>
        </w:rPr>
        <w:t>.  Whether a child, a book or a prototype, creations of all sorts should be protected, and this CI stands.</w:t>
      </w:r>
      <w:r w:rsidRPr="005A7476">
        <w:rPr>
          <w:rFonts w:asciiTheme="majorHAnsi" w:hAnsiTheme="majorHAnsi"/>
          <w:sz w:val="16"/>
        </w:rPr>
        <w:t xml:space="preserve">  This result also dovetails with the purpose of government: to protect the people and their possessions by providing laws to that effect, whether for the protection of tangible or intangible things. </w:t>
      </w:r>
      <w:r w:rsidRPr="005A7476">
        <w:rPr>
          <w:rFonts w:asciiTheme="majorHAnsi" w:hAnsiTheme="majorHAnsi"/>
          <w:b/>
          <w:bCs/>
          <w:u w:val="single"/>
        </w:rPr>
        <w:t>However</w:t>
      </w:r>
      <w:r w:rsidRPr="005A7476">
        <w:rPr>
          <w:rFonts w:asciiTheme="majorHAnsi" w:hAnsiTheme="majorHAnsi"/>
          <w:b/>
          <w:bCs/>
          <w:highlight w:val="green"/>
          <w:u w:val="single"/>
        </w:rPr>
        <w:t>, a contrary</w:t>
      </w:r>
      <w:r w:rsidRPr="005A7476">
        <w:rPr>
          <w:rFonts w:asciiTheme="majorHAnsi" w:hAnsiTheme="majorHAnsi"/>
          <w:b/>
          <w:bCs/>
          <w:u w:val="single"/>
        </w:rPr>
        <w:t xml:space="preserve"> </w:t>
      </w:r>
      <w:r w:rsidRPr="005A7476">
        <w:rPr>
          <w:rFonts w:asciiTheme="majorHAnsi" w:hAnsiTheme="majorHAnsi"/>
          <w:b/>
          <w:bCs/>
          <w:highlight w:val="green"/>
          <w:u w:val="single"/>
        </w:rPr>
        <w:t xml:space="preserve">proposal </w:t>
      </w:r>
      <w:r w:rsidRPr="005A7476">
        <w:rPr>
          <w:rFonts w:asciiTheme="majorHAnsi" w:hAnsiTheme="majorHAnsi"/>
          <w:b/>
          <w:bCs/>
          <w:u w:val="single"/>
        </w:rPr>
        <w:t xml:space="preserve">can be postulated: everyone should be able to use the creations of another without charge.  Can this Statement rise to the level of a CI?  This proposal, upon analysis </w:t>
      </w:r>
      <w:r w:rsidRPr="005A7476">
        <w:rPr>
          <w:rFonts w:asciiTheme="majorHAnsi" w:hAnsiTheme="majorHAnsi"/>
          <w:b/>
          <w:bCs/>
          <w:highlight w:val="green"/>
          <w:u w:val="single"/>
        </w:rPr>
        <w:t xml:space="preserve">would </w:t>
      </w:r>
      <w:r w:rsidRPr="005A7476">
        <w:rPr>
          <w:rFonts w:asciiTheme="majorHAnsi" w:hAnsiTheme="majorHAnsi"/>
          <w:b/>
          <w:bCs/>
          <w:u w:val="single"/>
        </w:rPr>
        <w:t xml:space="preserve">also </w:t>
      </w:r>
      <w:r w:rsidRPr="005A7476">
        <w:rPr>
          <w:rFonts w:asciiTheme="majorHAnsi" w:hAnsiTheme="majorHAnsi"/>
          <w:b/>
          <w:bCs/>
          <w:highlight w:val="green"/>
          <w:u w:val="single"/>
        </w:rPr>
        <w:t>lead to chaos.</w:t>
      </w:r>
      <w:r w:rsidRPr="005A7476">
        <w:rPr>
          <w:rFonts w:asciiTheme="majorHAnsi" w:hAnsiTheme="majorHAnsi"/>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5A7476">
        <w:rPr>
          <w:rFonts w:asciiTheme="majorHAnsi" w:hAnsiTheme="majorHAnsi"/>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508E801B" w14:textId="77777777" w:rsidR="00870E6D" w:rsidRPr="005A7476" w:rsidRDefault="00870E6D" w:rsidP="00870E6D">
      <w:pPr>
        <w:pStyle w:val="Heading4"/>
        <w:rPr>
          <w:u w:val="single"/>
        </w:rPr>
      </w:pPr>
      <w:r w:rsidRPr="005A7476">
        <w:t xml:space="preserve">[2] The </w:t>
      </w:r>
      <w:proofErr w:type="spellStart"/>
      <w:r w:rsidRPr="005A7476">
        <w:t>aff</w:t>
      </w:r>
      <w:proofErr w:type="spellEnd"/>
      <w:r w:rsidRPr="005A7476">
        <w:t xml:space="preserve"> encourages free riding- that treats people as </w:t>
      </w:r>
      <w:r w:rsidRPr="005A7476">
        <w:softHyphen/>
      </w:r>
      <w:r w:rsidRPr="005A7476">
        <w:rPr>
          <w:u w:val="single"/>
        </w:rPr>
        <w:t>means to an end</w:t>
      </w:r>
      <w:r w:rsidRPr="005A7476">
        <w:t xml:space="preserve"> and takes advantage of their efforts which violates </w:t>
      </w:r>
      <w:r w:rsidRPr="005A7476">
        <w:rPr>
          <w:u w:val="single"/>
        </w:rPr>
        <w:t>the principle of humanity</w:t>
      </w:r>
    </w:p>
    <w:p w14:paraId="05D573D0" w14:textId="77777777" w:rsidR="00870E6D" w:rsidRPr="005A7476" w:rsidRDefault="00870E6D" w:rsidP="00870E6D">
      <w:pPr>
        <w:rPr>
          <w:rFonts w:asciiTheme="majorHAnsi" w:hAnsiTheme="majorHAnsi"/>
        </w:rPr>
      </w:pPr>
      <w:r w:rsidRPr="005A7476">
        <w:rPr>
          <w:rFonts w:asciiTheme="majorHAnsi" w:eastAsiaTheme="majorEastAsia" w:hAnsiTheme="majorHAnsi" w:cstheme="majorBidi"/>
          <w:b/>
          <w:bCs/>
          <w:sz w:val="26"/>
        </w:rPr>
        <w:t xml:space="preserve">Van Dyke </w:t>
      </w:r>
      <w:r>
        <w:rPr>
          <w:rFonts w:asciiTheme="majorHAnsi" w:eastAsiaTheme="majorEastAsia" w:hAnsiTheme="majorHAnsi" w:cstheme="majorBidi"/>
          <w:b/>
          <w:bCs/>
          <w:sz w:val="26"/>
        </w:rPr>
        <w:t>18</w:t>
      </w:r>
      <w:r w:rsidRPr="005A7476">
        <w:rPr>
          <w:rFonts w:asciiTheme="majorHAnsi" w:hAnsiTheme="majorHAnsi"/>
        </w:rPr>
        <w:t xml:space="preserve"> Raymond Van Dyke, 7-17-2018, "The Categorical Imperative for Innovation and Patenting," </w:t>
      </w:r>
      <w:proofErr w:type="spellStart"/>
      <w:r w:rsidRPr="005A7476">
        <w:rPr>
          <w:rFonts w:asciiTheme="majorHAnsi" w:hAnsiTheme="majorHAnsi"/>
        </w:rPr>
        <w:t>IPWatchdog</w:t>
      </w:r>
      <w:proofErr w:type="spellEnd"/>
      <w:r w:rsidRPr="005A7476">
        <w:rPr>
          <w:rFonts w:asciiTheme="majorHAnsi" w:hAnsiTheme="majorHAnsi"/>
        </w:rPr>
        <w:t xml:space="preserve">, </w:t>
      </w:r>
      <w:hyperlink r:id="rId7"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7543178B" w14:textId="04171C8B" w:rsidR="00870E6D" w:rsidRPr="005A7476" w:rsidRDefault="00870E6D" w:rsidP="00870E6D">
      <w:pPr>
        <w:rPr>
          <w:rFonts w:asciiTheme="majorHAnsi" w:hAnsiTheme="majorHAnsi"/>
          <w:sz w:val="14"/>
        </w:rPr>
      </w:pPr>
      <w:r w:rsidRPr="005A7476">
        <w:rPr>
          <w:rFonts w:asciiTheme="majorHAnsi" w:hAnsiTheme="majorHAnsi"/>
          <w:sz w:val="14"/>
        </w:rPr>
        <w:t xml:space="preserve">Also, </w:t>
      </w:r>
      <w:r w:rsidRPr="005A7476">
        <w:rPr>
          <w:rFonts w:asciiTheme="majorHAnsi" w:hAnsiTheme="majorHAnsi"/>
          <w:b/>
          <w:bCs/>
          <w:highlight w:val="green"/>
          <w:u w:val="single"/>
        </w:rPr>
        <w:t>allowing the free taking of ideas</w:t>
      </w:r>
      <w:r w:rsidRPr="005A7476">
        <w:rPr>
          <w:rFonts w:asciiTheme="majorHAnsi" w:hAnsiTheme="majorHAnsi"/>
          <w:b/>
          <w:bCs/>
          <w:u w:val="single"/>
        </w:rPr>
        <w:t xml:space="preserve">, content and valuable data, i.e., the </w:t>
      </w:r>
      <w:r w:rsidRPr="005A7476">
        <w:rPr>
          <w:rFonts w:asciiTheme="majorHAnsi" w:hAnsiTheme="majorHAnsi"/>
          <w:b/>
          <w:bCs/>
          <w:highlight w:val="green"/>
          <w:u w:val="single"/>
        </w:rPr>
        <w:t>fruits of</w:t>
      </w:r>
      <w:r w:rsidRPr="005A7476">
        <w:rPr>
          <w:rFonts w:asciiTheme="majorHAnsi" w:hAnsiTheme="majorHAnsi"/>
          <w:b/>
          <w:bCs/>
          <w:u w:val="single"/>
        </w:rPr>
        <w:t xml:space="preserve"> individual </w:t>
      </w:r>
      <w:r w:rsidRPr="005A7476">
        <w:rPr>
          <w:rFonts w:asciiTheme="majorHAnsi" w:hAnsiTheme="majorHAnsi"/>
          <w:b/>
          <w:bCs/>
          <w:highlight w:val="green"/>
          <w:u w:val="single"/>
        </w:rPr>
        <w:t>intellectual endeavor</w:t>
      </w:r>
      <w:r w:rsidRPr="005A7476">
        <w:rPr>
          <w:rFonts w:asciiTheme="majorHAnsi" w:hAnsiTheme="majorHAnsi"/>
          <w:sz w:val="14"/>
        </w:rPr>
        <w:t xml:space="preserve">, would disrupt capitalism in a radical way.  </w:t>
      </w:r>
      <w:r w:rsidRPr="005A7476">
        <w:rPr>
          <w:rFonts w:asciiTheme="majorHAnsi" w:hAnsiTheme="majorHAnsi"/>
          <w:b/>
          <w:bCs/>
          <w:u w:val="single"/>
        </w:rPr>
        <w:t xml:space="preserve">The </w:t>
      </w:r>
      <w:r w:rsidRPr="005A7476">
        <w:rPr>
          <w:rFonts w:asciiTheme="majorHAnsi" w:hAnsiTheme="majorHAnsi"/>
          <w:b/>
          <w:bCs/>
          <w:highlight w:val="green"/>
          <w:u w:val="single"/>
        </w:rPr>
        <w:t>result</w:t>
      </w:r>
      <w:r w:rsidRPr="005A7476">
        <w:rPr>
          <w:rFonts w:asciiTheme="majorHAnsi" w:hAnsiTheme="majorHAnsi"/>
          <w:b/>
          <w:bCs/>
          <w:u w:val="single"/>
        </w:rPr>
        <w:t xml:space="preserve">ing more secretive approach </w:t>
      </w:r>
      <w:r w:rsidRPr="005A7476">
        <w:rPr>
          <w:rFonts w:asciiTheme="majorHAnsi" w:hAnsiTheme="majorHAnsi"/>
          <w:b/>
          <w:bCs/>
          <w:highlight w:val="green"/>
          <w:u w:val="single"/>
        </w:rPr>
        <w:t xml:space="preserve">in </w:t>
      </w:r>
      <w:r w:rsidRPr="005A7476">
        <w:rPr>
          <w:rFonts w:asciiTheme="majorHAnsi" w:hAnsiTheme="majorHAnsi"/>
          <w:b/>
          <w:bCs/>
          <w:u w:val="single"/>
        </w:rPr>
        <w:t xml:space="preserve">support of the above </w:t>
      </w:r>
      <w:r w:rsidRPr="005A7476">
        <w:rPr>
          <w:rFonts w:asciiTheme="majorHAnsi" w:hAnsiTheme="majorHAnsi"/>
          <w:b/>
          <w:bCs/>
          <w:highlight w:val="green"/>
          <w:u w:val="single"/>
        </w:rPr>
        <w:t>free-riding</w:t>
      </w:r>
      <w:r w:rsidRPr="005A7476">
        <w:rPr>
          <w:rFonts w:asciiTheme="majorHAnsi" w:hAnsiTheme="majorHAnsi"/>
          <w:b/>
          <w:bCs/>
          <w:u w:val="single"/>
        </w:rPr>
        <w:t xml:space="preserve"> Statement</w:t>
      </w:r>
      <w:r w:rsidRPr="005A7476">
        <w:rPr>
          <w:rFonts w:asciiTheme="majorHAnsi" w:hAnsiTheme="majorHAnsi"/>
          <w:sz w:val="14"/>
        </w:rPr>
        <w:t xml:space="preserve"> would be akin to a Communist environment </w:t>
      </w:r>
      <w:r w:rsidRPr="005A7476">
        <w:rPr>
          <w:rFonts w:asciiTheme="majorHAnsi" w:hAnsiTheme="majorHAnsi"/>
          <w:b/>
          <w:bCs/>
          <w:u w:val="single"/>
        </w:rPr>
        <w:t xml:space="preserve">where the State owned everything and the citizen owned nothing, i.e., the people “consented” to this. It is, accordingly, manifestly clear that </w:t>
      </w:r>
      <w:r w:rsidRPr="005A7476">
        <w:rPr>
          <w:rFonts w:asciiTheme="majorHAnsi" w:hAnsiTheme="majorHAnsi"/>
          <w:b/>
          <w:bCs/>
          <w:highlight w:val="green"/>
          <w:u w:val="single"/>
        </w:rPr>
        <w:t>no reasonable</w:t>
      </w:r>
      <w:r w:rsidRPr="005A7476">
        <w:rPr>
          <w:rFonts w:asciiTheme="majorHAnsi" w:hAnsiTheme="majorHAnsi"/>
          <w:b/>
          <w:bCs/>
          <w:u w:val="single"/>
        </w:rPr>
        <w:t xml:space="preserve"> and supportable </w:t>
      </w:r>
      <w:r w:rsidRPr="005A7476">
        <w:rPr>
          <w:rFonts w:asciiTheme="majorHAnsi" w:hAnsiTheme="majorHAnsi"/>
          <w:b/>
          <w:bCs/>
          <w:highlight w:val="green"/>
          <w:u w:val="single"/>
        </w:rPr>
        <w:t>Categorical Imperative can be made for</w:t>
      </w:r>
      <w:r w:rsidRPr="005A7476">
        <w:rPr>
          <w:rFonts w:asciiTheme="majorHAnsi" w:hAnsiTheme="majorHAnsi"/>
          <w:b/>
          <w:bCs/>
          <w:u w:val="single"/>
        </w:rPr>
        <w:t xml:space="preserve"> the unwarranted </w:t>
      </w:r>
      <w:r w:rsidRPr="005A7476">
        <w:rPr>
          <w:rFonts w:asciiTheme="majorHAnsi" w:hAnsiTheme="majorHAnsi"/>
          <w:b/>
          <w:bCs/>
          <w:highlight w:val="green"/>
          <w:u w:val="single"/>
        </w:rPr>
        <w:t>theft of property</w:t>
      </w:r>
      <w:r w:rsidRPr="005A7476">
        <w:rPr>
          <w:rFonts w:asciiTheme="majorHAnsi" w:hAnsiTheme="majorHAnsi"/>
          <w:b/>
          <w:bCs/>
          <w:u w:val="single"/>
        </w:rPr>
        <w:t xml:space="preserve">, whether tangible or intangible, </w:t>
      </w:r>
      <w:r w:rsidRPr="005A7476">
        <w:rPr>
          <w:rFonts w:asciiTheme="majorHAnsi" w:hAnsiTheme="majorHAnsi"/>
          <w:sz w:val="14"/>
        </w:rPr>
        <w:t>apart from legitimate exigencies.</w:t>
      </w:r>
    </w:p>
    <w:p w14:paraId="29EB1E2B" w14:textId="77777777" w:rsidR="00870E6D" w:rsidRPr="005A7476" w:rsidRDefault="00870E6D" w:rsidP="00870E6D">
      <w:pPr>
        <w:pStyle w:val="Heading4"/>
      </w:pPr>
      <w:r w:rsidRPr="005A7476">
        <w:t xml:space="preserve">[3] No </w:t>
      </w:r>
      <w:proofErr w:type="spellStart"/>
      <w:r w:rsidRPr="005A7476">
        <w:t>aff</w:t>
      </w:r>
      <w:proofErr w:type="spellEnd"/>
      <w:r w:rsidRPr="005A7476">
        <w:t xml:space="preserve"> offense IP is considered a form of property under the </w:t>
      </w:r>
      <w:proofErr w:type="spellStart"/>
      <w:r w:rsidRPr="005A7476">
        <w:t>fw</w:t>
      </w:r>
      <w:proofErr w:type="spellEnd"/>
    </w:p>
    <w:p w14:paraId="3BF11609" w14:textId="77777777" w:rsidR="00870E6D" w:rsidRPr="005A7476" w:rsidRDefault="00870E6D" w:rsidP="00870E6D">
      <w:pPr>
        <w:rPr>
          <w:rFonts w:asciiTheme="majorHAnsi" w:hAnsiTheme="majorHAnsi"/>
          <w:b/>
          <w:sz w:val="26"/>
        </w:rPr>
      </w:pPr>
      <w:r w:rsidRPr="00EE4FBD">
        <w:rPr>
          <w:rStyle w:val="Style13ptBold"/>
          <w:rFonts w:asciiTheme="majorHAnsi" w:hAnsiTheme="majorHAnsi"/>
          <w:lang w:val="es-ES"/>
        </w:rPr>
        <w:t>Pozzo 06 (</w:t>
      </w:r>
      <w:r w:rsidRPr="00EE4FBD">
        <w:rPr>
          <w:rFonts w:asciiTheme="majorHAnsi" w:hAnsiTheme="majorHAnsi"/>
          <w:lang w:val="es-ES"/>
        </w:rPr>
        <w:t xml:space="preserve">POZZO, R. Immanuel Kant sobre propriedade intelectual. </w:t>
      </w:r>
      <w:r w:rsidRPr="005A7476">
        <w:rPr>
          <w:rFonts w:asciiTheme="majorHAnsi" w:hAnsiTheme="majorHAnsi"/>
        </w:rPr>
        <w:t>Trans/Form/</w:t>
      </w:r>
      <w:proofErr w:type="spellStart"/>
      <w:r w:rsidRPr="005A7476">
        <w:rPr>
          <w:rFonts w:asciiTheme="majorHAnsi" w:hAnsiTheme="majorHAnsi"/>
        </w:rPr>
        <w:t>Ação</w:t>
      </w:r>
      <w:proofErr w:type="spellEnd"/>
      <w:r w:rsidRPr="005A7476">
        <w:rPr>
          <w:rFonts w:asciiTheme="majorHAnsi" w:hAnsiTheme="majorHAnsi"/>
        </w:rPr>
        <w:t>, (São Paulo), v.29(2), 2006, p.11-18.)</w:t>
      </w:r>
    </w:p>
    <w:p w14:paraId="4FC385DE" w14:textId="03ADDD71" w:rsidR="0066312E" w:rsidRPr="000E45D7" w:rsidRDefault="00870E6D" w:rsidP="0066312E">
      <w:pPr>
        <w:rPr>
          <w:rFonts w:asciiTheme="majorHAnsi" w:hAnsiTheme="majorHAnsi"/>
          <w:sz w:val="14"/>
        </w:rPr>
      </w:pPr>
      <w:r w:rsidRPr="005A7476">
        <w:rPr>
          <w:rFonts w:asciiTheme="majorHAnsi" w:hAnsiTheme="majorHAnsi"/>
          <w:sz w:val="14"/>
        </w:rPr>
        <w:t xml:space="preserve">The peculiarity of </w:t>
      </w:r>
      <w:r w:rsidRPr="005A7476">
        <w:rPr>
          <w:rFonts w:asciiTheme="majorHAnsi" w:hAnsiTheme="majorHAnsi"/>
          <w:b/>
          <w:bCs/>
          <w:highlight w:val="green"/>
          <w:u w:val="single"/>
        </w:rPr>
        <w:t>intellectual property</w:t>
      </w:r>
      <w:r w:rsidRPr="005A7476">
        <w:rPr>
          <w:rFonts w:asciiTheme="majorHAnsi" w:hAnsiTheme="majorHAnsi"/>
          <w:sz w:val="14"/>
          <w:highlight w:val="green"/>
        </w:rPr>
        <w:t xml:space="preserve"> </w:t>
      </w:r>
      <w:r w:rsidRPr="005A7476">
        <w:rPr>
          <w:rFonts w:asciiTheme="majorHAnsi" w:hAnsiTheme="majorHAnsi"/>
          <w:sz w:val="14"/>
        </w:rPr>
        <w:t>cons</w:t>
      </w:r>
      <w:r w:rsidRPr="005A7476">
        <w:rPr>
          <w:rFonts w:asciiTheme="majorHAnsi" w:hAnsiTheme="majorHAnsi"/>
          <w:b/>
          <w:bCs/>
          <w:highlight w:val="green"/>
          <w:u w:val="single"/>
        </w:rPr>
        <w:t>is</w:t>
      </w:r>
      <w:r w:rsidRPr="005A7476">
        <w:rPr>
          <w:rFonts w:asciiTheme="majorHAnsi" w:hAnsiTheme="majorHAnsi"/>
          <w:sz w:val="14"/>
        </w:rPr>
        <w:t xml:space="preserve">ts thus first in being indeed a property, but </w:t>
      </w:r>
      <w:r w:rsidRPr="005A7476">
        <w:rPr>
          <w:rFonts w:asciiTheme="majorHAnsi" w:hAnsiTheme="majorHAnsi"/>
          <w:b/>
          <w:bCs/>
          <w:highlight w:val="green"/>
          <w:u w:val="single"/>
        </w:rPr>
        <w:t>property of an action</w:t>
      </w:r>
      <w:r w:rsidRPr="005A7476">
        <w:rPr>
          <w:rFonts w:asciiTheme="majorHAnsi" w:hAnsiTheme="majorHAnsi"/>
          <w:sz w:val="14"/>
        </w:rPr>
        <w:t xml:space="preserve">; and second in being indeed </w:t>
      </w:r>
      <w:r w:rsidRPr="005A7476">
        <w:rPr>
          <w:rFonts w:asciiTheme="majorHAnsi" w:hAnsiTheme="majorHAnsi"/>
          <w:b/>
          <w:bCs/>
          <w:highlight w:val="green"/>
          <w:u w:val="single"/>
        </w:rPr>
        <w:t>inalienable</w:t>
      </w:r>
      <w:r w:rsidRPr="005A7476">
        <w:rPr>
          <w:rFonts w:asciiTheme="majorHAnsi" w:hAnsiTheme="majorHAnsi"/>
          <w:sz w:val="14"/>
        </w:rPr>
        <w:t xml:space="preserve">, but also transferable in commission and license to a publisher. </w:t>
      </w:r>
      <w:r w:rsidRPr="005A7476">
        <w:rPr>
          <w:rFonts w:asciiTheme="majorHAnsi" w:hAnsiTheme="majorHAnsi"/>
          <w:b/>
          <w:bCs/>
          <w:highlight w:val="green"/>
          <w:u w:val="single"/>
        </w:rPr>
        <w:t>The bond</w:t>
      </w:r>
      <w:r w:rsidRPr="005A7476">
        <w:rPr>
          <w:rFonts w:asciiTheme="majorHAnsi" w:hAnsiTheme="majorHAnsi"/>
          <w:sz w:val="14"/>
          <w:highlight w:val="green"/>
        </w:rPr>
        <w:t xml:space="preserve"> </w:t>
      </w:r>
      <w:r w:rsidRPr="005A7476">
        <w:rPr>
          <w:rFonts w:asciiTheme="majorHAnsi" w:hAnsiTheme="majorHAnsi"/>
          <w:b/>
          <w:bCs/>
          <w:highlight w:val="green"/>
          <w:u w:val="single"/>
        </w:rPr>
        <w:t>the author has</w:t>
      </w:r>
      <w:r w:rsidRPr="005A7476">
        <w:rPr>
          <w:rFonts w:asciiTheme="majorHAnsi" w:hAnsiTheme="majorHAnsi"/>
          <w:sz w:val="14"/>
          <w:highlight w:val="green"/>
        </w:rPr>
        <w:t xml:space="preserve"> </w:t>
      </w:r>
      <w:r w:rsidRPr="005A7476">
        <w:rPr>
          <w:rFonts w:asciiTheme="majorHAnsi" w:hAnsiTheme="majorHAnsi"/>
          <w:b/>
          <w:bCs/>
          <w:highlight w:val="green"/>
          <w:u w:val="single"/>
        </w:rPr>
        <w:t>on</w:t>
      </w:r>
      <w:r w:rsidRPr="005A7476">
        <w:rPr>
          <w:rFonts w:asciiTheme="majorHAnsi" w:hAnsiTheme="majorHAnsi"/>
          <w:sz w:val="14"/>
        </w:rPr>
        <w:t xml:space="preserve"> his </w:t>
      </w:r>
      <w:r w:rsidRPr="005A7476">
        <w:rPr>
          <w:rFonts w:asciiTheme="majorHAnsi" w:hAnsiTheme="majorHAnsi"/>
          <w:b/>
          <w:bCs/>
          <w:highlight w:val="green"/>
          <w:u w:val="single"/>
        </w:rPr>
        <w:t>work confers</w:t>
      </w:r>
      <w:r w:rsidRPr="005A7476">
        <w:rPr>
          <w:rFonts w:asciiTheme="majorHAnsi" w:hAnsiTheme="majorHAnsi"/>
          <w:sz w:val="14"/>
          <w:highlight w:val="green"/>
        </w:rPr>
        <w:t xml:space="preserve"> </w:t>
      </w:r>
      <w:r w:rsidRPr="005A7476">
        <w:rPr>
          <w:rFonts w:asciiTheme="majorHAnsi" w:hAnsiTheme="majorHAnsi"/>
          <w:sz w:val="14"/>
        </w:rPr>
        <w:t xml:space="preserve">him </w:t>
      </w:r>
      <w:r w:rsidRPr="005A7476">
        <w:rPr>
          <w:rFonts w:asciiTheme="majorHAnsi" w:hAnsiTheme="majorHAnsi"/>
          <w:b/>
          <w:bCs/>
          <w:highlight w:val="green"/>
          <w:u w:val="single"/>
        </w:rPr>
        <w:t>a moral</w:t>
      </w:r>
      <w:r w:rsidRPr="005A7476">
        <w:rPr>
          <w:rFonts w:asciiTheme="majorHAnsi" w:hAnsiTheme="majorHAnsi"/>
          <w:sz w:val="14"/>
          <w:highlight w:val="green"/>
        </w:rPr>
        <w:t xml:space="preserve"> </w:t>
      </w:r>
      <w:r w:rsidRPr="005A7476">
        <w:rPr>
          <w:rFonts w:asciiTheme="majorHAnsi" w:hAnsiTheme="majorHAnsi"/>
          <w:sz w:val="14"/>
        </w:rPr>
        <w:t xml:space="preserve">right that is indeed a </w:t>
      </w:r>
      <w:r w:rsidRPr="005A7476">
        <w:rPr>
          <w:rFonts w:asciiTheme="majorHAnsi" w:hAnsiTheme="majorHAnsi"/>
          <w:b/>
          <w:bCs/>
          <w:highlight w:val="green"/>
          <w:u w:val="single"/>
        </w:rPr>
        <w:t>personal right</w:t>
      </w:r>
      <w:r w:rsidRPr="005A7476">
        <w:rPr>
          <w:rFonts w:asciiTheme="majorHAnsi" w:hAnsiTheme="majorHAnsi"/>
          <w:sz w:val="14"/>
        </w:rPr>
        <w:t xml:space="preserve">. It is also a right to exploit economically his work in all possible ways, a right of economic use, which is a patrimonial right. 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w:t>
      </w:r>
      <w:proofErr w:type="spellStart"/>
      <w:r w:rsidRPr="005A7476">
        <w:rPr>
          <w:rFonts w:asciiTheme="majorHAnsi" w:hAnsiTheme="majorHAnsi"/>
          <w:sz w:val="14"/>
        </w:rPr>
        <w:t>Reimarus</w:t>
      </w:r>
      <w:proofErr w:type="spellEnd"/>
      <w:r w:rsidRPr="005A7476">
        <w:rPr>
          <w:rFonts w:asciiTheme="majorHAnsi" w:hAnsiTheme="majorHAnsi"/>
          <w:sz w:val="14"/>
        </w:rPr>
        <w:t xml:space="preserve"> asked writers “instead of writing for the aristocracy, to write for the tiers </w:t>
      </w:r>
      <w:proofErr w:type="spellStart"/>
      <w:r w:rsidRPr="005A7476">
        <w:rPr>
          <w:rFonts w:asciiTheme="majorHAnsi" w:hAnsiTheme="majorHAnsi"/>
          <w:sz w:val="14"/>
        </w:rPr>
        <w:t>état</w:t>
      </w:r>
      <w:proofErr w:type="spellEnd"/>
      <w:r w:rsidRPr="005A7476">
        <w:rPr>
          <w:rFonts w:asciiTheme="majorHAnsi" w:hAnsiTheme="majorHAnsi"/>
          <w:sz w:val="14"/>
        </w:rPr>
        <w:t xml:space="preserve"> of the reader’s world.” (</w:t>
      </w:r>
      <w:proofErr w:type="spellStart"/>
      <w:r w:rsidRPr="005A7476">
        <w:rPr>
          <w:rFonts w:asciiTheme="majorHAnsi" w:hAnsiTheme="majorHAnsi"/>
          <w:sz w:val="14"/>
        </w:rPr>
        <w:t>Reimarus</w:t>
      </w:r>
      <w:proofErr w:type="spellEnd"/>
      <w:r w:rsidRPr="005A7476">
        <w:rPr>
          <w:rFonts w:asciiTheme="majorHAnsi" w:hAnsiTheme="majorHAnsi"/>
          <w:sz w:val="14"/>
        </w:rPr>
        <w:t xml:space="preserve">, 1791b, p.595). He saluted with enthusiasm the claim of disenfranchising from the monopoly of English publishers expressed in the American Act for the Encouragement of Learning of May 31, 1790. </w:t>
      </w:r>
      <w:r w:rsidRPr="005A7476">
        <w:rPr>
          <w:rFonts w:asciiTheme="majorHAnsi" w:hAnsiTheme="majorHAnsi"/>
          <w:b/>
          <w:bCs/>
          <w:highlight w:val="green"/>
          <w:u w:val="single"/>
        </w:rPr>
        <w:t>Kant</w:t>
      </w:r>
      <w:r w:rsidRPr="005A7476">
        <w:rPr>
          <w:rFonts w:asciiTheme="majorHAnsi" w:hAnsiTheme="majorHAnsi"/>
          <w:sz w:val="14"/>
        </w:rPr>
        <w:t xml:space="preserve">, however, </w:t>
      </w:r>
      <w:r w:rsidRPr="005A7476">
        <w:rPr>
          <w:rFonts w:asciiTheme="majorHAnsi" w:hAnsiTheme="majorHAnsi"/>
          <w:b/>
          <w:bCs/>
          <w:highlight w:val="green"/>
          <w:u w:val="single"/>
        </w:rPr>
        <w:t>was firm in embracing intellectual property</w:t>
      </w:r>
      <w:r w:rsidRPr="005A7476">
        <w:rPr>
          <w:rFonts w:asciiTheme="majorHAnsi" w:hAnsiTheme="majorHAnsi"/>
          <w:sz w:val="14"/>
        </w:rPr>
        <w:t xml:space="preserve">. Referring himself to Roman Law, he asked for its legislative formulation not only as patrimonial right, but also as a personal right. In Of the </w:t>
      </w:r>
      <w:proofErr w:type="spellStart"/>
      <w:r w:rsidRPr="005A7476">
        <w:rPr>
          <w:rFonts w:asciiTheme="majorHAnsi" w:hAnsiTheme="majorHAnsi"/>
          <w:sz w:val="14"/>
        </w:rPr>
        <w:t>Illegitimity</w:t>
      </w:r>
      <w:proofErr w:type="spellEnd"/>
      <w:r w:rsidRPr="005A7476">
        <w:rPr>
          <w:rFonts w:asciiTheme="majorHAnsi" w:hAnsiTheme="majorHAnsi"/>
          <w:sz w:val="14"/>
        </w:rPr>
        <w:t xml:space="preserve"> of Pirate Publishing, he considered the moral faculties related to </w:t>
      </w:r>
      <w:r w:rsidRPr="005A7476">
        <w:rPr>
          <w:rFonts w:asciiTheme="majorHAnsi" w:hAnsiTheme="majorHAnsi"/>
          <w:b/>
          <w:bCs/>
          <w:highlight w:val="green"/>
          <w:u w:val="single"/>
        </w:rPr>
        <w:t xml:space="preserve">intellectual property as </w:t>
      </w:r>
      <w:r w:rsidRPr="005A7476">
        <w:rPr>
          <w:rFonts w:asciiTheme="majorHAnsi" w:hAnsiTheme="majorHAnsi"/>
          <w:sz w:val="14"/>
        </w:rPr>
        <w:t>an “</w:t>
      </w:r>
      <w:r w:rsidRPr="005A7476">
        <w:rPr>
          <w:rFonts w:asciiTheme="majorHAnsi" w:hAnsiTheme="majorHAnsi"/>
          <w:b/>
          <w:bCs/>
          <w:highlight w:val="green"/>
          <w:u w:val="single"/>
        </w:rPr>
        <w:t xml:space="preserve">inalienable right </w:t>
      </w:r>
      <w:r w:rsidRPr="005A7476">
        <w:rPr>
          <w:rFonts w:asciiTheme="majorHAnsi" w:hAnsiTheme="majorHAnsi"/>
          <w:sz w:val="14"/>
        </w:rPr>
        <w:t>(</w:t>
      </w:r>
      <w:proofErr w:type="spellStart"/>
      <w:r w:rsidRPr="005A7476">
        <w:rPr>
          <w:rFonts w:asciiTheme="majorHAnsi" w:hAnsiTheme="majorHAnsi"/>
          <w:sz w:val="14"/>
        </w:rPr>
        <w:t>ius</w:t>
      </w:r>
      <w:proofErr w:type="spellEnd"/>
      <w:r w:rsidRPr="005A7476">
        <w:rPr>
          <w:rFonts w:asciiTheme="majorHAnsi" w:hAnsiTheme="majorHAnsi"/>
          <w:sz w:val="14"/>
        </w:rPr>
        <w:t xml:space="preserve"> </w:t>
      </w:r>
      <w:proofErr w:type="spellStart"/>
      <w:r w:rsidRPr="005A7476">
        <w:rPr>
          <w:rFonts w:asciiTheme="majorHAnsi" w:hAnsiTheme="majorHAnsi"/>
          <w:sz w:val="14"/>
        </w:rPr>
        <w:t>personalissimum</w:t>
      </w:r>
      <w:proofErr w:type="spellEnd"/>
      <w:r w:rsidRPr="005A7476">
        <w:rPr>
          <w:rFonts w:asciiTheme="majorHAnsi" w:hAnsiTheme="majorHAnsi"/>
          <w:sz w:val="14"/>
        </w:rPr>
        <w:t xml:space="preserve">) always himself to speak through anyone else, the right, that is, that </w:t>
      </w:r>
      <w:r w:rsidRPr="005A7476">
        <w:rPr>
          <w:rFonts w:asciiTheme="majorHAnsi" w:hAnsiTheme="majorHAnsi"/>
          <w:b/>
          <w:bCs/>
          <w:highlight w:val="green"/>
          <w:u w:val="single"/>
        </w:rPr>
        <w:t xml:space="preserve">no one may deliver the same speech to the public other than in his </w:t>
      </w:r>
      <w:r w:rsidRPr="005A7476">
        <w:rPr>
          <w:rFonts w:asciiTheme="majorHAnsi" w:hAnsiTheme="majorHAnsi"/>
          <w:sz w:val="14"/>
        </w:rPr>
        <w:t xml:space="preserve">(the author’s) </w:t>
      </w:r>
      <w:r w:rsidRPr="005A7476">
        <w:rPr>
          <w:rFonts w:asciiTheme="majorHAnsi" w:hAnsiTheme="majorHAnsi"/>
          <w:b/>
          <w:bCs/>
          <w:highlight w:val="green"/>
          <w:u w:val="single"/>
        </w:rPr>
        <w:t>name</w:t>
      </w:r>
      <w:r w:rsidRPr="005A7476">
        <w:rPr>
          <w:rFonts w:asciiTheme="majorHAnsi" w:hAnsiTheme="majorHAnsi"/>
          <w:sz w:val="14"/>
        </w:rPr>
        <w:t xml:space="preserve">” (Kant, 1902, t.8, p.85). Fichte went farther in the Demonstration of the </w:t>
      </w:r>
      <w:proofErr w:type="spellStart"/>
      <w:r w:rsidRPr="005A7476">
        <w:rPr>
          <w:rFonts w:asciiTheme="majorHAnsi" w:hAnsiTheme="majorHAnsi"/>
          <w:sz w:val="14"/>
        </w:rPr>
        <w:t>Illegitimity</w:t>
      </w:r>
      <w:proofErr w:type="spellEnd"/>
      <w:r w:rsidRPr="005A7476">
        <w:rPr>
          <w:rFonts w:asciiTheme="majorHAnsi" w:hAnsiTheme="majorHAnsi"/>
          <w:sz w:val="14"/>
        </w:rPr>
        <w:t xml:space="preserve"> of Pirate Publishing. He saw </w:t>
      </w:r>
      <w:r w:rsidRPr="005A7476">
        <w:rPr>
          <w:rFonts w:asciiTheme="majorHAnsi" w:hAnsiTheme="majorHAnsi"/>
          <w:b/>
          <w:bCs/>
          <w:highlight w:val="green"/>
          <w:u w:val="single"/>
        </w:rPr>
        <w:t>intellectual property</w:t>
      </w:r>
      <w:r w:rsidRPr="005A7476">
        <w:rPr>
          <w:rFonts w:asciiTheme="majorHAnsi" w:hAnsiTheme="majorHAnsi"/>
          <w:sz w:val="14"/>
        </w:rPr>
        <w:t xml:space="preserve"> as a </w:t>
      </w:r>
      <w:r w:rsidRPr="005A7476">
        <w:rPr>
          <w:rFonts w:asciiTheme="majorHAnsi" w:hAnsiTheme="majorHAnsi"/>
          <w:b/>
          <w:bCs/>
          <w:highlight w:val="green"/>
          <w:u w:val="single"/>
        </w:rPr>
        <w:t>part of</w:t>
      </w:r>
      <w:r w:rsidRPr="005A7476">
        <w:rPr>
          <w:rFonts w:asciiTheme="majorHAnsi" w:hAnsiTheme="majorHAnsi"/>
          <w:sz w:val="14"/>
          <w:highlight w:val="green"/>
        </w:rPr>
        <w:t xml:space="preserve"> </w:t>
      </w:r>
      <w:r w:rsidRPr="005A7476">
        <w:rPr>
          <w:rFonts w:asciiTheme="majorHAnsi" w:hAnsiTheme="majorHAnsi"/>
          <w:sz w:val="14"/>
        </w:rPr>
        <w:t xml:space="preserve">his </w:t>
      </w:r>
      <w:r w:rsidRPr="005A7476">
        <w:rPr>
          <w:rFonts w:asciiTheme="majorHAnsi" w:hAnsiTheme="majorHAnsi"/>
          <w:b/>
          <w:bCs/>
          <w:highlight w:val="green"/>
          <w:u w:val="single"/>
        </w:rPr>
        <w:t>metaphysical construction of intellectual activity</w:t>
      </w:r>
      <w:r w:rsidRPr="005A7476">
        <w:rPr>
          <w:rFonts w:asciiTheme="majorHAnsi" w:hAnsiTheme="majorHAnsi"/>
          <w:sz w:val="14"/>
        </w:rPr>
        <w:t xml:space="preserve">,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 (Fichte, 1964, </w:t>
      </w:r>
      <w:proofErr w:type="spellStart"/>
      <w:r w:rsidRPr="005A7476">
        <w:rPr>
          <w:rFonts w:asciiTheme="majorHAnsi" w:hAnsiTheme="majorHAnsi"/>
          <w:sz w:val="14"/>
        </w:rPr>
        <w:t>t.I</w:t>
      </w:r>
      <w:proofErr w:type="spellEnd"/>
      <w:r w:rsidRPr="005A7476">
        <w:rPr>
          <w:rFonts w:asciiTheme="majorHAnsi" w:hAnsiTheme="majorHAnsi"/>
          <w:sz w:val="14"/>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w:t>
      </w:r>
      <w:proofErr w:type="spellStart"/>
      <w:r w:rsidRPr="005A7476">
        <w:rPr>
          <w:rFonts w:asciiTheme="majorHAnsi" w:hAnsiTheme="majorHAnsi"/>
          <w:sz w:val="14"/>
        </w:rPr>
        <w:t>mysticum</w:t>
      </w:r>
      <w:proofErr w:type="spellEnd"/>
      <w:r w:rsidRPr="005A7476">
        <w:rPr>
          <w:rFonts w:asciiTheme="majorHAnsi" w:hAnsiTheme="majorHAnsi"/>
          <w:sz w:val="14"/>
        </w:rPr>
        <w:t>. He divided the latter into a formal and a material part. “</w:t>
      </w:r>
      <w:r w:rsidRPr="005A7476">
        <w:rPr>
          <w:rFonts w:asciiTheme="majorHAnsi" w:hAnsiTheme="majorHAnsi"/>
          <w:b/>
          <w:bCs/>
          <w:highlight w:val="green"/>
          <w:u w:val="single"/>
        </w:rPr>
        <w:t>This intellectual element</w:t>
      </w:r>
      <w:r w:rsidRPr="005A7476">
        <w:rPr>
          <w:rFonts w:asciiTheme="majorHAnsi" w:hAnsiTheme="majorHAnsi"/>
          <w:sz w:val="14"/>
          <w:highlight w:val="green"/>
        </w:rPr>
        <w:t xml:space="preserve"> </w:t>
      </w:r>
      <w:r w:rsidRPr="005A7476">
        <w:rPr>
          <w:rFonts w:asciiTheme="majorHAnsi" w:hAnsiTheme="majorHAnsi"/>
          <w:sz w:val="14"/>
        </w:rPr>
        <w:t xml:space="preserve">must be divided anew into what is material, the content of the book, the thoughts it presents; and the form of these thoughts, the manner in which, the connection </w:t>
      </w:r>
      <w:r w:rsidRPr="005A7476">
        <w:rPr>
          <w:rFonts w:asciiTheme="majorHAnsi" w:hAnsiTheme="majorHAnsi"/>
          <w:b/>
          <w:bCs/>
          <w:highlight w:val="green"/>
          <w:u w:val="single"/>
        </w:rPr>
        <w:t>in which</w:t>
      </w:r>
      <w:r w:rsidRPr="005A7476">
        <w:rPr>
          <w:rFonts w:asciiTheme="majorHAnsi" w:hAnsiTheme="majorHAnsi"/>
          <w:sz w:val="14"/>
        </w:rPr>
        <w:t xml:space="preserve">, the formulations and the words by means of which the book presents them” (Fichte, 1964, </w:t>
      </w:r>
      <w:proofErr w:type="spellStart"/>
      <w:r w:rsidRPr="005A7476">
        <w:rPr>
          <w:rFonts w:asciiTheme="majorHAnsi" w:hAnsiTheme="majorHAnsi"/>
          <w:sz w:val="14"/>
        </w:rPr>
        <w:t>t.I</w:t>
      </w:r>
      <w:proofErr w:type="spellEnd"/>
      <w:r w:rsidRPr="005A7476">
        <w:rPr>
          <w:rFonts w:asciiTheme="majorHAnsi" w:hAnsiTheme="majorHAnsi"/>
          <w:sz w:val="14"/>
        </w:rPr>
        <w:t xml:space="preserve">/1, p.411). Fichte’s underlining the </w:t>
      </w:r>
      <w:r w:rsidRPr="005A7476">
        <w:rPr>
          <w:rFonts w:asciiTheme="majorHAnsi" w:hAnsiTheme="majorHAnsi"/>
          <w:b/>
          <w:bCs/>
          <w:highlight w:val="green"/>
          <w:u w:val="single"/>
        </w:rPr>
        <w:t>author’s exclusive right</w:t>
      </w:r>
      <w:r w:rsidRPr="005A7476">
        <w:rPr>
          <w:rFonts w:asciiTheme="majorHAnsi" w:hAnsiTheme="majorHAnsi"/>
          <w:sz w:val="14"/>
          <w:highlight w:val="green"/>
        </w:rPr>
        <w:t xml:space="preserve"> </w:t>
      </w:r>
      <w:r w:rsidRPr="005A7476">
        <w:rPr>
          <w:rFonts w:asciiTheme="majorHAnsi" w:hAnsiTheme="majorHAnsi"/>
          <w:sz w:val="14"/>
        </w:rPr>
        <w:t xml:space="preserve">to the intellectual content of his book – “the appropriation of which </w:t>
      </w:r>
      <w:r w:rsidRPr="005A7476">
        <w:rPr>
          <w:rFonts w:asciiTheme="majorHAnsi" w:hAnsiTheme="majorHAnsi"/>
          <w:b/>
          <w:bCs/>
          <w:highlight w:val="green"/>
          <w:u w:val="single"/>
        </w:rPr>
        <w:t>through another is physically impossible</w:t>
      </w:r>
      <w:r w:rsidRPr="005A7476">
        <w:rPr>
          <w:rFonts w:asciiTheme="majorHAnsi" w:hAnsiTheme="majorHAnsi"/>
          <w:sz w:val="14"/>
        </w:rPr>
        <w:t>” (ibid.) – brought him to the extreme of prohibiting any form of copy that is not meant for personal use.</w:t>
      </w:r>
    </w:p>
    <w:p w14:paraId="04AD211D" w14:textId="7D175892" w:rsidR="00C5660E" w:rsidRDefault="000E45D7" w:rsidP="00C5660E">
      <w:pPr>
        <w:pStyle w:val="Heading2"/>
      </w:pPr>
      <w:r>
        <w:t>2</w:t>
      </w:r>
    </w:p>
    <w:p w14:paraId="087CE9CF" w14:textId="77777777" w:rsidR="005C20E5" w:rsidRDefault="005C20E5" w:rsidP="005C20E5">
      <w:pPr>
        <w:pStyle w:val="Heading4"/>
      </w:pPr>
    </w:p>
    <w:p w14:paraId="3B226551" w14:textId="77777777" w:rsidR="005C20E5" w:rsidRDefault="005C20E5" w:rsidP="005C20E5">
      <w:pPr>
        <w:pStyle w:val="Heading4"/>
      </w:pPr>
      <w:r>
        <w:t xml:space="preserve">Interpretation: “Medicines” is a generic bare plural in the resolution. The </w:t>
      </w:r>
      <w:proofErr w:type="spellStart"/>
      <w:r>
        <w:t>aff</w:t>
      </w:r>
      <w:proofErr w:type="spellEnd"/>
      <w:r>
        <w:t xml:space="preserve"> must not specify a medicine or a subset of medicines to be eliminated. </w:t>
      </w:r>
    </w:p>
    <w:p w14:paraId="3195BA54" w14:textId="44613513" w:rsidR="005C20E5" w:rsidRDefault="005C20E5" w:rsidP="005C20E5">
      <w:pPr>
        <w:pStyle w:val="Heading4"/>
      </w:pPr>
      <w:r>
        <w:t xml:space="preserve">Violation: They specify </w:t>
      </w:r>
      <w:r w:rsidR="00C0295D">
        <w:t>a covid waiver</w:t>
      </w:r>
      <w:r>
        <w:t xml:space="preserve"> which is a subset of all medicines. </w:t>
      </w:r>
    </w:p>
    <w:p w14:paraId="581A038D" w14:textId="77777777" w:rsidR="005C20E5" w:rsidRDefault="005C20E5" w:rsidP="005C20E5">
      <w:pPr>
        <w:pStyle w:val="Heading4"/>
      </w:pPr>
      <w:r>
        <w:t xml:space="preserve">Standards:  </w:t>
      </w:r>
    </w:p>
    <w:p w14:paraId="79072CA8" w14:textId="77777777" w:rsidR="005C20E5" w:rsidRPr="004774A9" w:rsidRDefault="005C20E5" w:rsidP="005C20E5">
      <w:pPr>
        <w:pStyle w:val="Heading4"/>
      </w:pPr>
      <w:r>
        <w:t xml:space="preserve">1] Generics – medicines is a generic bare plural without qualifiers. Generics can only be affirmed by defending all instances, not </w:t>
      </w:r>
      <w:proofErr w:type="spellStart"/>
      <w:r>
        <w:t>speccing</w:t>
      </w:r>
      <w:proofErr w:type="spellEnd"/>
      <w:r>
        <w:t xml:space="preserve">. </w:t>
      </w:r>
    </w:p>
    <w:p w14:paraId="23493393" w14:textId="77777777" w:rsidR="005C20E5" w:rsidRPr="004774A9" w:rsidRDefault="005C20E5" w:rsidP="005C20E5">
      <w:pPr>
        <w:rPr>
          <w:sz w:val="16"/>
          <w:szCs w:val="16"/>
        </w:rPr>
      </w:pPr>
      <w:proofErr w:type="spellStart"/>
      <w:r w:rsidRPr="004774A9">
        <w:rPr>
          <w:rStyle w:val="Heading4Char"/>
        </w:rPr>
        <w:t>Nebel</w:t>
      </w:r>
      <w:proofErr w:type="spellEnd"/>
      <w:r w:rsidRPr="004774A9">
        <w:rPr>
          <w:rStyle w:val="Heading4Char"/>
        </w:rPr>
        <w:t xml:space="preserve"> 19</w:t>
      </w:r>
      <w:r w:rsidRPr="004774A9">
        <w:rPr>
          <w:sz w:val="16"/>
          <w:szCs w:val="16"/>
        </w:rPr>
        <w:t xml:space="preserve">  (Jake </w:t>
      </w:r>
      <w:proofErr w:type="spellStart"/>
      <w:r w:rsidRPr="004774A9">
        <w:rPr>
          <w:sz w:val="16"/>
          <w:szCs w:val="16"/>
        </w:rPr>
        <w:t>Nebel</w:t>
      </w:r>
      <w:proofErr w:type="spellEnd"/>
      <w:r w:rsidRPr="004774A9">
        <w:rPr>
          <w:sz w:val="16"/>
          <w:szCs w:val="16"/>
        </w:rPr>
        <w:t xml:space="preserve">, 8-12-2019, "Genericity on the Standardized Tests Resolution," Briefly, </w:t>
      </w:r>
      <w:hyperlink r:id="rId8" w:history="1">
        <w:r w:rsidRPr="004774A9">
          <w:rPr>
            <w:rStyle w:val="Hyperlink"/>
            <w:sz w:val="16"/>
            <w:szCs w:val="16"/>
          </w:rPr>
          <w:t>http://www.vbriefly.com/2019/08/12/genericity-on-the-standardized-tests-resolution/</w:t>
        </w:r>
      </w:hyperlink>
      <w:r w:rsidRPr="004774A9">
        <w:rPr>
          <w:sz w:val="16"/>
          <w:szCs w:val="16"/>
        </w:rPr>
        <w:t xml:space="preserve">; Jake </w:t>
      </w:r>
      <w:proofErr w:type="spellStart"/>
      <w:r w:rsidRPr="004774A9">
        <w:rPr>
          <w:sz w:val="16"/>
          <w:szCs w:val="16"/>
        </w:rPr>
        <w:t>Nebel</w:t>
      </w:r>
      <w:proofErr w:type="spellEnd"/>
      <w:r w:rsidRPr="004774A9">
        <w:rPr>
          <w:sz w:val="16"/>
          <w:szCs w:val="16"/>
        </w:rPr>
        <w:t xml:space="preserve"> studies Philosophy at Oxford on a Marshall Scholarship. As a coach, his students have won the TOC, NDCA, </w:t>
      </w:r>
      <w:proofErr w:type="spellStart"/>
      <w:r w:rsidRPr="004774A9">
        <w:rPr>
          <w:sz w:val="16"/>
          <w:szCs w:val="16"/>
        </w:rPr>
        <w:t>Glenbrooks</w:t>
      </w:r>
      <w:proofErr w:type="spellEnd"/>
      <w:r w:rsidRPr="004774A9">
        <w:rPr>
          <w:sz w:val="16"/>
          <w:szCs w:val="16"/>
        </w:rPr>
        <w:t xml:space="preserve">, Bronx, Emory, TFA State, and the Harvard Round Robin. As a debater, he won six </w:t>
      </w:r>
      <w:proofErr w:type="spellStart"/>
      <w:r w:rsidRPr="004774A9">
        <w:rPr>
          <w:sz w:val="16"/>
          <w:szCs w:val="16"/>
        </w:rPr>
        <w:t>octos</w:t>
      </w:r>
      <w:proofErr w:type="spellEnd"/>
      <w:r w:rsidRPr="004774A9">
        <w:rPr>
          <w:sz w:val="16"/>
          <w:szCs w:val="16"/>
        </w:rPr>
        <w:t>-bid championships and was top speaker at the TOC and ten other major tournaments. He co-directs the Victory Briefs Institute.)</w:t>
      </w:r>
    </w:p>
    <w:p w14:paraId="4A4C62B2" w14:textId="77777777" w:rsidR="005C20E5" w:rsidRPr="00C45DEE" w:rsidRDefault="005C20E5" w:rsidP="005C20E5">
      <w:pPr>
        <w:rPr>
          <w:sz w:val="16"/>
        </w:rPr>
      </w:pPr>
      <w:r w:rsidRPr="00C45DEE">
        <w:rPr>
          <w:sz w:val="16"/>
        </w:rPr>
        <w:t>Both distinctions are important</w:t>
      </w:r>
      <w:r w:rsidRPr="00C45DEE">
        <w:rPr>
          <w:sz w:val="16"/>
          <w:highlight w:val="cyan"/>
        </w:rPr>
        <w:t xml:space="preserve">. </w:t>
      </w:r>
      <w:r w:rsidRPr="00C45DEE">
        <w:rPr>
          <w:rStyle w:val="StyleUnderline"/>
          <w:highlight w:val="cyan"/>
        </w:rPr>
        <w:t>Generic resolutions can’t be affirmed by specifying particular instances</w:t>
      </w:r>
      <w:r w:rsidRPr="00C45DEE">
        <w:rPr>
          <w:sz w:val="16"/>
        </w:rPr>
        <w:t xml:space="preserve">. But, </w:t>
      </w:r>
      <w:r w:rsidRPr="00C45DEE">
        <w:rPr>
          <w:rStyle w:val="StyleUnderline"/>
        </w:rPr>
        <w:t>since generics tolerate exceptions</w:t>
      </w:r>
      <w:r w:rsidRPr="00C45DEE">
        <w:rPr>
          <w:sz w:val="16"/>
        </w:rPr>
        <w:t>, plan-inclusive counterplans (</w:t>
      </w:r>
      <w:r w:rsidRPr="00C45DEE">
        <w:rPr>
          <w:rStyle w:val="StyleUnderline"/>
        </w:rPr>
        <w:t>PICs) do not negate generic resolutions.</w:t>
      </w:r>
      <w:r>
        <w:rPr>
          <w:rStyle w:val="StyleUnderline"/>
        </w:rPr>
        <w:t xml:space="preserve"> </w:t>
      </w:r>
      <w:r w:rsidRPr="00C45DEE">
        <w:rPr>
          <w:rStyle w:val="StyleUnderline"/>
          <w:highlight w:val="cyan"/>
        </w:rPr>
        <w:t>First, ask yourself</w:t>
      </w:r>
      <w:r w:rsidRPr="00C45DEE">
        <w:rPr>
          <w:sz w:val="16"/>
        </w:rPr>
        <w:t xml:space="preserve">, honestly, </w:t>
      </w:r>
      <w:r w:rsidRPr="00C45DEE">
        <w:rPr>
          <w:rStyle w:val="StyleUnderline"/>
          <w:highlight w:val="cyan"/>
        </w:rPr>
        <w:t>whether the following speech sounds good</w:t>
      </w:r>
      <w:r w:rsidRPr="00C45DEE">
        <w:rPr>
          <w:sz w:val="16"/>
        </w:rPr>
        <w:t xml:space="preserve"> to you: “</w:t>
      </w:r>
      <w:r w:rsidRPr="00C45DEE">
        <w:rPr>
          <w:rStyle w:val="StyleUnderline"/>
          <w:highlight w:val="cyan"/>
        </w:rPr>
        <w:t>Eight colleges</w:t>
      </w:r>
      <w:r w:rsidRPr="00C45DEE">
        <w:rPr>
          <w:rStyle w:val="StyleUnderline"/>
        </w:rPr>
        <w:t xml:space="preserve"> and universities</w:t>
      </w:r>
      <w:r w:rsidRPr="00C45DEE">
        <w:rPr>
          <w:sz w:val="16"/>
        </w:rPr>
        <w:t>—namely, those in the Ivy League—</w:t>
      </w:r>
      <w:r w:rsidRPr="00C45DEE">
        <w:rPr>
          <w:rStyle w:val="StyleUnderline"/>
          <w:highlight w:val="cyan"/>
        </w:rPr>
        <w:t>ought not consider standardized tests</w:t>
      </w:r>
      <w:r w:rsidRPr="00C45DEE">
        <w:rPr>
          <w:sz w:val="16"/>
        </w:rPr>
        <w:t xml:space="preserve"> in undergraduate admissions decisions. Maybe other colleges and universities ought to consider them, but not the Ivies. </w:t>
      </w:r>
      <w:r w:rsidRPr="00C45DEE">
        <w:rPr>
          <w:rStyle w:val="StyleUnderline"/>
          <w:highlight w:val="cyan"/>
        </w:rPr>
        <w:t>Therefore, in the U</w:t>
      </w:r>
      <w:r w:rsidRPr="00C45DEE">
        <w:rPr>
          <w:sz w:val="16"/>
        </w:rPr>
        <w:t xml:space="preserve">nited </w:t>
      </w:r>
      <w:r w:rsidRPr="00C45DEE">
        <w:rPr>
          <w:rStyle w:val="StyleUnderline"/>
          <w:highlight w:val="cyan"/>
        </w:rPr>
        <w:t>S</w:t>
      </w:r>
      <w:r w:rsidRPr="00C45DEE">
        <w:rPr>
          <w:sz w:val="16"/>
        </w:rPr>
        <w:t xml:space="preserve">tates, </w:t>
      </w:r>
      <w:r w:rsidRPr="00C45DEE">
        <w:rPr>
          <w:rStyle w:val="StyleUnderline"/>
          <w:highlight w:val="cyan"/>
        </w:rPr>
        <w:t>colleges</w:t>
      </w:r>
      <w:r w:rsidRPr="00C45DEE">
        <w:rPr>
          <w:rStyle w:val="StyleUnderline"/>
        </w:rPr>
        <w:t xml:space="preserve"> and universities </w:t>
      </w:r>
      <w:r w:rsidRPr="00C45DEE">
        <w:rPr>
          <w:rStyle w:val="StyleUnderline"/>
          <w:highlight w:val="cyan"/>
        </w:rPr>
        <w:t>ought not consider standardized tests</w:t>
      </w:r>
      <w:r w:rsidRPr="00C45DEE">
        <w:rPr>
          <w:sz w:val="16"/>
        </w:rPr>
        <w:t xml:space="preserve"> in undergraduate admissions decisions.” </w:t>
      </w:r>
      <w:r w:rsidRPr="00C45DEE">
        <w:rPr>
          <w:rStyle w:val="StyleUnderline"/>
          <w:highlight w:val="cyan"/>
        </w:rPr>
        <w:t>That is</w:t>
      </w:r>
      <w:r w:rsidRPr="00C45DEE">
        <w:rPr>
          <w:sz w:val="16"/>
        </w:rPr>
        <w:t xml:space="preserve"> obviously </w:t>
      </w:r>
      <w:r w:rsidRPr="00C45DEE">
        <w:rPr>
          <w:rStyle w:val="StyleUnderline"/>
          <w:highlight w:val="cyan"/>
        </w:rPr>
        <w:t>not</w:t>
      </w:r>
      <w:r w:rsidRPr="00C45DEE">
        <w:rPr>
          <w:rStyle w:val="StyleUnderline"/>
        </w:rPr>
        <w:t xml:space="preserve"> a </w:t>
      </w:r>
      <w:r w:rsidRPr="00C45DEE">
        <w:rPr>
          <w:rStyle w:val="StyleUnderline"/>
          <w:highlight w:val="cyan"/>
        </w:rPr>
        <w:t>valid</w:t>
      </w:r>
      <w:r w:rsidRPr="00C45DEE">
        <w:rPr>
          <w:rStyle w:val="StyleUnderline"/>
        </w:rPr>
        <w:t xml:space="preserve"> argument</w:t>
      </w:r>
      <w:r w:rsidRPr="00C45DEE">
        <w:rPr>
          <w:sz w:val="16"/>
        </w:rPr>
        <w:t xml:space="preserve">: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C45DEE">
        <w:rPr>
          <w:rStyle w:val="StyleUnderline"/>
        </w:rPr>
        <w:t>If the resolution were existential with respect to “colleges and universities</w:t>
      </w:r>
      <w:r w:rsidRPr="00C45DEE">
        <w:rPr>
          <w:sz w:val="16"/>
        </w:rPr>
        <w:t xml:space="preserve">,” </w:t>
      </w:r>
      <w:r w:rsidRPr="00C45DEE">
        <w:rPr>
          <w:rStyle w:val="StyleUnderline"/>
        </w:rPr>
        <w:t>then the</w:t>
      </w:r>
      <w:r w:rsidRPr="00C45DEE">
        <w:rPr>
          <w:sz w:val="16"/>
        </w:rPr>
        <w:t xml:space="preserve"> Ivy League </w:t>
      </w:r>
      <w:r w:rsidRPr="00C45DEE">
        <w:rPr>
          <w:rStyle w:val="StyleUnderline"/>
        </w:rPr>
        <w:t>argument above would be a valid inference.</w:t>
      </w:r>
      <w:r w:rsidRPr="00C45DEE">
        <w:rPr>
          <w:sz w:val="16"/>
        </w:rPr>
        <w:t xml:space="preserve"> </w:t>
      </w:r>
      <w:r w:rsidRPr="00C45DEE">
        <w:rPr>
          <w:rStyle w:val="StyleUnderline"/>
        </w:rPr>
        <w:t xml:space="preserve">Since it’s not </w:t>
      </w:r>
      <w:r w:rsidRPr="00C45DEE">
        <w:rPr>
          <w:sz w:val="16"/>
        </w:rPr>
        <w:t>a valid inference, “</w:t>
      </w:r>
      <w:r w:rsidRPr="00C45DEE">
        <w:rPr>
          <w:rStyle w:val="StyleUnderline"/>
          <w:highlight w:val="cyan"/>
        </w:rPr>
        <w:t>colleges</w:t>
      </w:r>
      <w:r w:rsidRPr="00C45DEE">
        <w:rPr>
          <w:rStyle w:val="StyleUnderline"/>
        </w:rPr>
        <w:t xml:space="preserve"> and universities” </w:t>
      </w:r>
      <w:r w:rsidRPr="00C45DEE">
        <w:rPr>
          <w:rStyle w:val="StyleUnderline"/>
          <w:highlight w:val="cyan"/>
        </w:rPr>
        <w:t>must be a generic bare plural</w:t>
      </w:r>
      <w:r w:rsidRPr="00C45DEE">
        <w:rPr>
          <w:sz w:val="16"/>
        </w:rPr>
        <w:t xml:space="preserve">. </w:t>
      </w:r>
      <w:r w:rsidRPr="00C45DEE">
        <w:rPr>
          <w:rStyle w:val="StyleUnderline"/>
          <w:highlight w:val="cyan"/>
        </w:rPr>
        <w:t>Second, “colleges</w:t>
      </w:r>
      <w:r w:rsidRPr="00C45DEE">
        <w:rPr>
          <w:rStyle w:val="StyleUnderline"/>
        </w:rPr>
        <w:t xml:space="preserve"> and universities” </w:t>
      </w:r>
      <w:r w:rsidRPr="00C45DEE">
        <w:rPr>
          <w:rStyle w:val="StyleUnderline"/>
          <w:highlight w:val="cyan"/>
        </w:rPr>
        <w:t>fails the upward-entailment test</w:t>
      </w:r>
      <w:r w:rsidRPr="00C45DEE">
        <w:rPr>
          <w:sz w:val="16"/>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w:t>
      </w:r>
      <w:r w:rsidRPr="00C45DEE">
        <w:rPr>
          <w:rStyle w:val="StyleUnderline"/>
          <w:highlight w:val="cyan"/>
        </w:rPr>
        <w:t>consider the sentence, “College</w:t>
      </w:r>
      <w:r w:rsidRPr="00C45DEE">
        <w:rPr>
          <w:rStyle w:val="StyleUnderline"/>
        </w:rPr>
        <w:t xml:space="preserve">s and universities </w:t>
      </w:r>
      <w:r w:rsidRPr="00C45DEE">
        <w:rPr>
          <w:rStyle w:val="StyleUnderline"/>
          <w:highlight w:val="cyan"/>
        </w:rPr>
        <w:t>ought not consider the SAT</w:t>
      </w:r>
      <w:r w:rsidRPr="00C45DEE">
        <w:rPr>
          <w:sz w:val="16"/>
        </w:rPr>
        <w:t xml:space="preserve">.” (To isolate “colleges and universities,” I’ve eliminated the other bare plurals in the resolution; it cannot plausibly be generic in the isolated case but existential in the resolution.) </w:t>
      </w:r>
      <w:r w:rsidRPr="00C45DEE">
        <w:rPr>
          <w:rStyle w:val="StyleUnderline"/>
          <w:highlight w:val="cyan"/>
        </w:rPr>
        <w:t>This</w:t>
      </w:r>
      <w:r w:rsidRPr="00C45DEE">
        <w:rPr>
          <w:rStyle w:val="StyleUnderline"/>
        </w:rPr>
        <w:t xml:space="preserve"> sentence </w:t>
      </w:r>
      <w:r w:rsidRPr="00C45DEE">
        <w:rPr>
          <w:rStyle w:val="StyleUnderline"/>
          <w:highlight w:val="cyan"/>
        </w:rPr>
        <w:t>does not entail the more general statement that educational institutions ought not consider the SAT</w:t>
      </w:r>
      <w:r w:rsidRPr="00C45DEE">
        <w:rPr>
          <w:rStyle w:val="StyleUnderline"/>
        </w:rPr>
        <w:t xml:space="preserve">. This shows that </w:t>
      </w:r>
      <w:r w:rsidRPr="00C45DEE">
        <w:rPr>
          <w:rStyle w:val="StyleUnderline"/>
          <w:highlight w:val="cyan"/>
        </w:rPr>
        <w:t>“</w:t>
      </w:r>
      <w:r w:rsidRPr="004774A9">
        <w:rPr>
          <w:rStyle w:val="StyleUnderline"/>
          <w:highlight w:val="cyan"/>
        </w:rPr>
        <w:t>colleges</w:t>
      </w:r>
      <w:r w:rsidRPr="004774A9">
        <w:rPr>
          <w:rStyle w:val="StyleUnderline"/>
        </w:rPr>
        <w:t xml:space="preserve"> and universities” </w:t>
      </w:r>
      <w:r w:rsidRPr="00C45DEE">
        <w:rPr>
          <w:rStyle w:val="StyleUnderline"/>
          <w:highlight w:val="cyan"/>
        </w:rPr>
        <w:t>is generic</w:t>
      </w:r>
      <w:r w:rsidRPr="00C45DEE">
        <w:rPr>
          <w:rStyle w:val="StyleUnderline"/>
        </w:rPr>
        <w:t xml:space="preserve">, because it fails the upward-entailment test </w:t>
      </w:r>
      <w:r w:rsidRPr="00C45DEE">
        <w:rPr>
          <w:sz w:val="16"/>
        </w:rPr>
        <w:t xml:space="preserve">for existential bare plurals. </w:t>
      </w:r>
      <w:r w:rsidRPr="00A634A4">
        <w:rPr>
          <w:rStyle w:val="StyleUnderline"/>
          <w:highlight w:val="cyan"/>
        </w:rPr>
        <w:t xml:space="preserve">Third, “colleges </w:t>
      </w:r>
      <w:r w:rsidRPr="004774A9">
        <w:rPr>
          <w:rStyle w:val="StyleUnderline"/>
        </w:rPr>
        <w:t xml:space="preserve">and universities” </w:t>
      </w:r>
      <w:r w:rsidRPr="00A634A4">
        <w:rPr>
          <w:rStyle w:val="StyleUnderline"/>
          <w:highlight w:val="cyan"/>
        </w:rPr>
        <w:t>fails the adverb of quantification test</w:t>
      </w:r>
      <w:r w:rsidRPr="00C45DEE">
        <w:rPr>
          <w:sz w:val="16"/>
        </w:rPr>
        <w:t xml:space="preserve">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 (e.g., always, sometimes, generally, often, seldom, never, ever). You cannot add any such adverb into the sentence without drastically changing its meaning. To apply this test to the resolution, </w:t>
      </w:r>
      <w:r w:rsidRPr="00C45DEE">
        <w:rPr>
          <w:rStyle w:val="StyleUnderline"/>
        </w:rPr>
        <w:t xml:space="preserve">let’s again isolate the bare plural subject: </w:t>
      </w:r>
      <w:r w:rsidRPr="00A634A4">
        <w:rPr>
          <w:rStyle w:val="StyleUnderline"/>
          <w:highlight w:val="cyan"/>
        </w:rPr>
        <w:t>“Colleges</w:t>
      </w:r>
      <w:r w:rsidRPr="00C45DEE">
        <w:rPr>
          <w:rStyle w:val="StyleUnderline"/>
        </w:rPr>
        <w:t xml:space="preserve"> and universities </w:t>
      </w:r>
      <w:r w:rsidRPr="00A634A4">
        <w:rPr>
          <w:rStyle w:val="StyleUnderline"/>
          <w:highlight w:val="cyan"/>
        </w:rPr>
        <w:t>ought not consider the SAT.”</w:t>
      </w:r>
      <w:r w:rsidRPr="00C45DEE">
        <w:rPr>
          <w:rStyle w:val="StyleUnderline"/>
        </w:rPr>
        <w:t xml:space="preserve"> </w:t>
      </w:r>
      <w:r w:rsidRPr="00A634A4">
        <w:rPr>
          <w:rStyle w:val="StyleUnderline"/>
          <w:highlight w:val="cyan"/>
        </w:rPr>
        <w:t>Adding generally</w:t>
      </w:r>
      <w:r w:rsidRPr="00C45DEE">
        <w:rPr>
          <w:sz w:val="16"/>
        </w:rPr>
        <w:t xml:space="preserve"> (“Colleges and universities generally ought not consider the SAT”) </w:t>
      </w:r>
      <w:r w:rsidRPr="00C45DEE">
        <w:rPr>
          <w:rStyle w:val="StyleUnderline"/>
        </w:rPr>
        <w:t>or ever</w:t>
      </w:r>
      <w:r w:rsidRPr="00C45DEE">
        <w:rPr>
          <w:sz w:val="16"/>
        </w:rPr>
        <w:t xml:space="preserve"> (“Colleges and universities ought not ever consider the SAT”) </w:t>
      </w:r>
      <w:r w:rsidRPr="00A634A4">
        <w:rPr>
          <w:rStyle w:val="StyleUnderline"/>
          <w:highlight w:val="cyan"/>
        </w:rPr>
        <w:t>result in</w:t>
      </w:r>
      <w:r w:rsidRPr="00C45DEE">
        <w:rPr>
          <w:rStyle w:val="StyleUnderline"/>
        </w:rPr>
        <w:t xml:space="preserve"> comparatively </w:t>
      </w:r>
      <w:r w:rsidRPr="00A634A4">
        <w:rPr>
          <w:rStyle w:val="StyleUnderline"/>
          <w:highlight w:val="cyan"/>
        </w:rPr>
        <w:t>minor changes of meaning</w:t>
      </w:r>
      <w:r w:rsidRPr="00C45DEE">
        <w:rPr>
          <w:sz w:val="16"/>
        </w:rPr>
        <w:t xml:space="preserve">. (Note that this test doesn’t require there to be no change of meaning and doesn’t have to work for every adverb of quantification.) This strongly suggests what we already know: that </w:t>
      </w:r>
      <w:r w:rsidRPr="00A634A4">
        <w:rPr>
          <w:rStyle w:val="StyleUnderline"/>
          <w:highlight w:val="cyan"/>
        </w:rPr>
        <w:t xml:space="preserve">[so] “colleges </w:t>
      </w:r>
      <w:r w:rsidRPr="004774A9">
        <w:rPr>
          <w:rStyle w:val="StyleUnderline"/>
        </w:rPr>
        <w:t>and universities</w:t>
      </w:r>
      <w:r w:rsidRPr="00A634A4">
        <w:rPr>
          <w:rStyle w:val="StyleUnderline"/>
          <w:highlight w:val="cyan"/>
        </w:rPr>
        <w:t>” is generic</w:t>
      </w:r>
      <w:r w:rsidRPr="00C45DEE">
        <w:rPr>
          <w:sz w:val="16"/>
        </w:rPr>
        <w:t xml:space="preserve"> rather than existential in the resolution.</w:t>
      </w:r>
    </w:p>
    <w:p w14:paraId="6F732DC3" w14:textId="77777777" w:rsidR="005C20E5" w:rsidRDefault="005C20E5" w:rsidP="005C20E5">
      <w:pPr>
        <w:pStyle w:val="Heading4"/>
      </w:pPr>
      <w:r>
        <w:t xml:space="preserve">Medicines is a generic bare plural -- </w:t>
      </w:r>
      <w:r w:rsidRPr="004774A9">
        <w:t>A)</w:t>
      </w:r>
      <w:r>
        <w:t xml:space="preserve"> The WTO ought to reduce intellectual property protections for </w:t>
      </w:r>
      <w:proofErr w:type="spellStart"/>
      <w:r>
        <w:t>tylenol</w:t>
      </w:r>
      <w:proofErr w:type="spellEnd"/>
      <w:r>
        <w:t xml:space="preserve"> so they ought to reduce protections for medicines is incoherent. B) Medicines fails the upwards entailment test: WTO ought to reduce protections for medicines doesn’t mean that they ought to reduce protections for medical materials C) Medicines fails the adverb of quantification test: the WTO ought to reduce protections generally for medicines result in minor changes of meaning. </w:t>
      </w:r>
    </w:p>
    <w:p w14:paraId="5A2685E1" w14:textId="603DFA09" w:rsidR="005C20E5" w:rsidRPr="00C90052" w:rsidRDefault="005C20E5" w:rsidP="00C0295D">
      <w:pPr>
        <w:pStyle w:val="Heading4"/>
      </w:pPr>
      <w:r>
        <w:t xml:space="preserve">2]  Semantics outweigh pragmatics and are an independent voter: </w:t>
      </w:r>
      <w:r>
        <w:rPr>
          <w:rFonts w:cstheme="minorBidi"/>
        </w:rPr>
        <w:t xml:space="preserve"> </w:t>
      </w:r>
      <w:r>
        <w:t xml:space="preserve">A] it justifies a stasis for predictability and pragmatic benefits- sequencing flips neg B] It’s the only thing that is inherent to topicality which questions your link to the topic. Pragmatic benefits don’t matter if your Non-T. C] Jurisdiction- judge is contracted by the tournament to vote inside the </w:t>
      </w:r>
      <w:proofErr w:type="spellStart"/>
      <w:r>
        <w:t>rez</w:t>
      </w:r>
      <w:proofErr w:type="spellEnd"/>
      <w:r>
        <w:t>.</w:t>
      </w:r>
      <w:r w:rsidRPr="00C90052">
        <w:t xml:space="preserve"> </w:t>
      </w:r>
      <w:r>
        <w:t xml:space="preserve">If you don’t debate the resolution, you aren’t following the pre-set resolution burden meaning that the judge cannot vote </w:t>
      </w:r>
      <w:proofErr w:type="spellStart"/>
      <w:r>
        <w:t>aff</w:t>
      </w:r>
      <w:proofErr w:type="spellEnd"/>
      <w:r>
        <w:t xml:space="preserve"> because there was no </w:t>
      </w:r>
      <w:proofErr w:type="spellStart"/>
      <w:r>
        <w:t>aff</w:t>
      </w:r>
      <w:proofErr w:type="spellEnd"/>
      <w:r>
        <w:t>.</w:t>
      </w:r>
    </w:p>
    <w:p w14:paraId="12EAF9E2" w14:textId="77777777" w:rsidR="005C20E5" w:rsidRDefault="005C20E5" w:rsidP="005C20E5">
      <w:pPr>
        <w:pStyle w:val="Heading4"/>
      </w:pPr>
      <w:r>
        <w:t xml:space="preserve">3] Limits/Ground - If the </w:t>
      </w:r>
      <w:proofErr w:type="spellStart"/>
      <w:r>
        <w:t>aff</w:t>
      </w:r>
      <w:proofErr w:type="spellEnd"/>
      <w:r>
        <w:t xml:space="preserve"> can choose whatever variation on the topic they want, there become infinite </w:t>
      </w:r>
      <w:proofErr w:type="spellStart"/>
      <w:r>
        <w:t>aff</w:t>
      </w:r>
      <w:proofErr w:type="spellEnd"/>
      <w:r>
        <w:t xml:space="preserve"> cases that the neg can’t possibly prep for. The  </w:t>
      </w:r>
      <w:proofErr w:type="spellStart"/>
      <w:r>
        <w:t>aff</w:t>
      </w:r>
      <w:proofErr w:type="spellEnd"/>
      <w:r>
        <w:t xml:space="preserve"> needs to defend the whole resolution otherwise they could choose abusive/obscure cases where there is no neg offense or the case is just true. Kills generic NCs (like innovation and medicine safety) which heavily skews neg </w:t>
      </w:r>
      <w:proofErr w:type="spellStart"/>
      <w:r>
        <w:t>strat</w:t>
      </w:r>
      <w:proofErr w:type="spellEnd"/>
      <w:r>
        <w:t xml:space="preserve">. Links into clash because the neg can’t engage. </w:t>
      </w:r>
    </w:p>
    <w:p w14:paraId="5B811137" w14:textId="77777777" w:rsidR="005C20E5" w:rsidRPr="00041C76" w:rsidRDefault="005C20E5" w:rsidP="005C20E5">
      <w:pPr>
        <w:pStyle w:val="Heading4"/>
      </w:pPr>
      <w:r>
        <w:t xml:space="preserve">4] TVA solves – You can read the </w:t>
      </w:r>
      <w:proofErr w:type="spellStart"/>
      <w:r>
        <w:t>aff</w:t>
      </w:r>
      <w:proofErr w:type="spellEnd"/>
      <w:r>
        <w:t xml:space="preserve"> as an advantage to a </w:t>
      </w:r>
      <w:proofErr w:type="spellStart"/>
      <w:r>
        <w:t>wholerez</w:t>
      </w:r>
      <w:proofErr w:type="spellEnd"/>
      <w:r>
        <w:t xml:space="preserve"> plan. Solves all their offense. </w:t>
      </w:r>
    </w:p>
    <w:p w14:paraId="017E5B14" w14:textId="77777777" w:rsidR="005C20E5" w:rsidRPr="00573653" w:rsidRDefault="005C20E5" w:rsidP="005C20E5"/>
    <w:p w14:paraId="6778B78D" w14:textId="77777777" w:rsidR="005C20E5" w:rsidRDefault="005C20E5" w:rsidP="005C20E5">
      <w:pPr>
        <w:pStyle w:val="Heading4"/>
      </w:pPr>
      <w:r>
        <w:t xml:space="preserve">Voters: </w:t>
      </w:r>
    </w:p>
    <w:p w14:paraId="1D26794A" w14:textId="77777777" w:rsidR="005C20E5" w:rsidRDefault="005C20E5" w:rsidP="005C20E5">
      <w:pPr>
        <w:pStyle w:val="Heading4"/>
        <w:rPr>
          <w:rFonts w:cstheme="minorBidi"/>
        </w:rPr>
      </w:pPr>
      <w:r>
        <w:t>Fairness – Debate is a competitive activity and key to participation</w:t>
      </w:r>
    </w:p>
    <w:p w14:paraId="6807BB63" w14:textId="77777777" w:rsidR="005C20E5" w:rsidRDefault="005C20E5" w:rsidP="005C20E5"/>
    <w:p w14:paraId="0BACA4F4" w14:textId="77777777" w:rsidR="005C20E5" w:rsidRDefault="005C20E5" w:rsidP="005C20E5">
      <w:pPr>
        <w:pStyle w:val="Heading4"/>
      </w:pPr>
      <w:r>
        <w:t xml:space="preserve">Drop the debater – 1] a loss deters future abuse 2] dropping the </w:t>
      </w:r>
      <w:proofErr w:type="spellStart"/>
      <w:r>
        <w:t>arg</w:t>
      </w:r>
      <w:proofErr w:type="spellEnd"/>
      <w:r>
        <w:t xml:space="preserve"> severs from your original advocacy which creates a 7-6 </w:t>
      </w:r>
      <w:proofErr w:type="spellStart"/>
      <w:r>
        <w:t>timeskew</w:t>
      </w:r>
      <w:proofErr w:type="spellEnd"/>
      <w:r>
        <w:t xml:space="preserve"> when you read new offense. </w:t>
      </w:r>
    </w:p>
    <w:p w14:paraId="7940CBE6" w14:textId="77777777" w:rsidR="005C20E5" w:rsidRDefault="005C20E5" w:rsidP="005C20E5"/>
    <w:p w14:paraId="45DB3DA6" w14:textId="77777777" w:rsidR="005C20E5" w:rsidRDefault="005C20E5" w:rsidP="005C20E5">
      <w:pPr>
        <w:pStyle w:val="Heading4"/>
      </w:pPr>
      <w:r>
        <w:t xml:space="preserve">Competing </w:t>
      </w:r>
      <w:proofErr w:type="spellStart"/>
      <w:r>
        <w:t>interps</w:t>
      </w:r>
      <w:proofErr w:type="spellEnd"/>
      <w:r>
        <w:t xml:space="preserve"> – 1] Your </w:t>
      </w:r>
      <w:proofErr w:type="spellStart"/>
      <w:r>
        <w:t>brightline</w:t>
      </w:r>
      <w:proofErr w:type="spellEnd"/>
      <w:r>
        <w:t xml:space="preserve"> is arbitrary and based on what you did rather than the best one. 2] Collapses – offense defense debate about your </w:t>
      </w:r>
      <w:proofErr w:type="spellStart"/>
      <w:r>
        <w:t>brightline</w:t>
      </w:r>
      <w:proofErr w:type="spellEnd"/>
      <w:r>
        <w:t xml:space="preserve"> is competing </w:t>
      </w:r>
      <w:proofErr w:type="spellStart"/>
      <w:r>
        <w:t>interps</w:t>
      </w:r>
      <w:proofErr w:type="spellEnd"/>
      <w:r>
        <w:t xml:space="preserve">. 3] you’ll say race to the top but that’s good for norming and creating the best </w:t>
      </w:r>
      <w:proofErr w:type="spellStart"/>
      <w:r>
        <w:t>interps</w:t>
      </w:r>
      <w:proofErr w:type="spellEnd"/>
      <w:r>
        <w:t xml:space="preserve"> for debate</w:t>
      </w:r>
    </w:p>
    <w:p w14:paraId="06D8F654" w14:textId="77777777" w:rsidR="005C20E5" w:rsidRPr="00D108C8" w:rsidRDefault="005C20E5" w:rsidP="005C20E5"/>
    <w:p w14:paraId="4C6EB301" w14:textId="77777777" w:rsidR="005C20E5" w:rsidRDefault="005C20E5" w:rsidP="005C20E5">
      <w:pPr>
        <w:pStyle w:val="Heading4"/>
      </w:pPr>
      <w:r>
        <w:t xml:space="preserve">No RVI on T – 1] logic – you shouldn’t win for being topical it’s a basic burden to meet– outweighs since logic is a litmus test for arguments. 2] they encourage you to read an abusive </w:t>
      </w:r>
      <w:proofErr w:type="spellStart"/>
      <w:r>
        <w:t>aff</w:t>
      </w:r>
      <w:proofErr w:type="spellEnd"/>
      <w:r>
        <w:t xml:space="preserve"> and prep out T.</w:t>
      </w:r>
    </w:p>
    <w:p w14:paraId="092E12E5" w14:textId="4D3F7D2F" w:rsidR="0066312E" w:rsidRDefault="0066312E" w:rsidP="0066312E"/>
    <w:p w14:paraId="17B24753" w14:textId="53563661" w:rsidR="00273C41" w:rsidRDefault="00273C41" w:rsidP="00273C41">
      <w:pPr>
        <w:pStyle w:val="Heading2"/>
      </w:pPr>
      <w:r>
        <w:t xml:space="preserve">Case </w:t>
      </w:r>
    </w:p>
    <w:p w14:paraId="2D71062D" w14:textId="6406A524" w:rsidR="00273C41" w:rsidRDefault="00273C41" w:rsidP="00273C41"/>
    <w:p w14:paraId="6DFA4A24" w14:textId="35FB2EC8" w:rsidR="00273C41" w:rsidRDefault="00273C41" w:rsidP="00273C41"/>
    <w:p w14:paraId="003E711F" w14:textId="77777777" w:rsidR="00273C41" w:rsidRPr="00273C41" w:rsidRDefault="00273C41" w:rsidP="00273C41"/>
    <w:p w14:paraId="1C7705BA" w14:textId="1D236E63" w:rsidR="0066312E" w:rsidRDefault="0066312E" w:rsidP="0066312E"/>
    <w:p w14:paraId="734EA02E" w14:textId="77777777" w:rsidR="0066312E" w:rsidRPr="0066312E" w:rsidRDefault="0066312E" w:rsidP="0066312E"/>
    <w:p w14:paraId="634CA809" w14:textId="77777777" w:rsidR="0066312E" w:rsidRPr="00870E6D" w:rsidRDefault="0066312E" w:rsidP="00870E6D"/>
    <w:sectPr w:rsidR="0066312E" w:rsidRPr="00870E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isplayBackgroundShape/>
  <w:proofState w:spelling="clean"/>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63731848"/>
    <w:docVar w:name="VerbatimVersion" w:val="5.1"/>
  </w:docVars>
  <w:rsids>
    <w:rsidRoot w:val="00210AA0"/>
    <w:rsid w:val="000139A3"/>
    <w:rsid w:val="000A79A2"/>
    <w:rsid w:val="000D5FC6"/>
    <w:rsid w:val="000E45D7"/>
    <w:rsid w:val="00100833"/>
    <w:rsid w:val="00104529"/>
    <w:rsid w:val="00105942"/>
    <w:rsid w:val="00107396"/>
    <w:rsid w:val="00144A4C"/>
    <w:rsid w:val="00176AB0"/>
    <w:rsid w:val="00177B7D"/>
    <w:rsid w:val="0018322D"/>
    <w:rsid w:val="001B5776"/>
    <w:rsid w:val="001E527A"/>
    <w:rsid w:val="001F78CE"/>
    <w:rsid w:val="00210AA0"/>
    <w:rsid w:val="00231FC9"/>
    <w:rsid w:val="00251FC7"/>
    <w:rsid w:val="00273C41"/>
    <w:rsid w:val="002855A7"/>
    <w:rsid w:val="002B146A"/>
    <w:rsid w:val="002B5E17"/>
    <w:rsid w:val="00315690"/>
    <w:rsid w:val="00316B75"/>
    <w:rsid w:val="00325646"/>
    <w:rsid w:val="00330393"/>
    <w:rsid w:val="003460F2"/>
    <w:rsid w:val="0038158C"/>
    <w:rsid w:val="003902BA"/>
    <w:rsid w:val="003A09E2"/>
    <w:rsid w:val="00407037"/>
    <w:rsid w:val="004605D6"/>
    <w:rsid w:val="004C60E8"/>
    <w:rsid w:val="004E3579"/>
    <w:rsid w:val="004E728B"/>
    <w:rsid w:val="004F39E0"/>
    <w:rsid w:val="00537BD5"/>
    <w:rsid w:val="0057268A"/>
    <w:rsid w:val="005C20E5"/>
    <w:rsid w:val="005D2912"/>
    <w:rsid w:val="006065BD"/>
    <w:rsid w:val="00645FA9"/>
    <w:rsid w:val="00647866"/>
    <w:rsid w:val="0066312E"/>
    <w:rsid w:val="00665003"/>
    <w:rsid w:val="0067546E"/>
    <w:rsid w:val="006A2AD0"/>
    <w:rsid w:val="006C2375"/>
    <w:rsid w:val="006D4ECC"/>
    <w:rsid w:val="00707CA0"/>
    <w:rsid w:val="00722258"/>
    <w:rsid w:val="007243E5"/>
    <w:rsid w:val="0073737F"/>
    <w:rsid w:val="00766EA0"/>
    <w:rsid w:val="00790F85"/>
    <w:rsid w:val="007A2226"/>
    <w:rsid w:val="007F5B66"/>
    <w:rsid w:val="00823A1C"/>
    <w:rsid w:val="00845B9D"/>
    <w:rsid w:val="00860984"/>
    <w:rsid w:val="00870E6D"/>
    <w:rsid w:val="008B3ECB"/>
    <w:rsid w:val="008B4E85"/>
    <w:rsid w:val="008C1B2E"/>
    <w:rsid w:val="008C3D21"/>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295D"/>
    <w:rsid w:val="00C13773"/>
    <w:rsid w:val="00C17CC8"/>
    <w:rsid w:val="00C5660E"/>
    <w:rsid w:val="00C83417"/>
    <w:rsid w:val="00C9604F"/>
    <w:rsid w:val="00CA19AA"/>
    <w:rsid w:val="00CC48B7"/>
    <w:rsid w:val="00CC5298"/>
    <w:rsid w:val="00CD736E"/>
    <w:rsid w:val="00CD798D"/>
    <w:rsid w:val="00CE161E"/>
    <w:rsid w:val="00CF59A8"/>
    <w:rsid w:val="00D325A9"/>
    <w:rsid w:val="00D36A8A"/>
    <w:rsid w:val="00D61409"/>
    <w:rsid w:val="00D6691E"/>
    <w:rsid w:val="00D71170"/>
    <w:rsid w:val="00DA1C92"/>
    <w:rsid w:val="00DA25D4"/>
    <w:rsid w:val="00DA6538"/>
    <w:rsid w:val="00DD37AE"/>
    <w:rsid w:val="00DE3D4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30F18"/>
  <w15:chartTrackingRefBased/>
  <w15:docId w15:val="{DD4199AF-BF46-451F-ABE1-8A4F6CB8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0AA0"/>
    <w:rPr>
      <w:rFonts w:ascii="Calibri" w:hAnsi="Calibri" w:cs="Calibri"/>
    </w:rPr>
  </w:style>
  <w:style w:type="paragraph" w:styleId="Heading1">
    <w:name w:val="heading 1"/>
    <w:aliases w:val="Pocket"/>
    <w:basedOn w:val="Normal"/>
    <w:next w:val="Normal"/>
    <w:link w:val="Heading1Char"/>
    <w:qFormat/>
    <w:rsid w:val="00210A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0A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0A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210A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0A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0AA0"/>
  </w:style>
  <w:style w:type="character" w:customStyle="1" w:styleId="Heading1Char">
    <w:name w:val="Heading 1 Char"/>
    <w:aliases w:val="Pocket Char"/>
    <w:basedOn w:val="DefaultParagraphFont"/>
    <w:link w:val="Heading1"/>
    <w:rsid w:val="00210A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0AA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0AA0"/>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210AA0"/>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210AA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0AA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10AA0"/>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NoSpacing"/>
    <w:uiPriority w:val="99"/>
    <w:unhideWhenUsed/>
    <w:rsid w:val="00210AA0"/>
    <w:rPr>
      <w:color w:val="auto"/>
      <w:u w:val="none"/>
    </w:rPr>
  </w:style>
  <w:style w:type="character" w:styleId="FollowedHyperlink">
    <w:name w:val="FollowedHyperlink"/>
    <w:basedOn w:val="DefaultParagraphFont"/>
    <w:uiPriority w:val="99"/>
    <w:semiHidden/>
    <w:unhideWhenUsed/>
    <w:rsid w:val="00210AA0"/>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66312E"/>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6312E"/>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StyleThickunderline1">
    <w:name w:val="Style Thick underline1"/>
    <w:basedOn w:val="DefaultParagraphFont"/>
    <w:rsid w:val="0066312E"/>
    <w:rPr>
      <w:u w:val="single"/>
    </w:rPr>
  </w:style>
  <w:style w:type="paragraph" w:styleId="NormalWeb">
    <w:name w:val="Normal (Web)"/>
    <w:basedOn w:val="Normal"/>
    <w:uiPriority w:val="99"/>
    <w:semiHidden/>
    <w:unhideWhenUsed/>
    <w:rsid w:val="006754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briefly.com/2019/08/12/genericity-on-the-standardized-tests-resolution/" TargetMode="External"/><Relationship Id="rId3" Type="http://schemas.openxmlformats.org/officeDocument/2006/relationships/styles" Target="styles.xml"/><Relationship Id="rId7" Type="http://schemas.openxmlformats.org/officeDocument/2006/relationships/hyperlink" Target="https://www.ipwatchdog.com/2018/07/17/categorical-imperative-innovation-patenting/id=9917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2018/07/17/categorical-imperative-innovation-patenting/id=9917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63</TotalTime>
  <Pages>1</Pages>
  <Words>2603</Words>
  <Characters>14843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21</cp:revision>
  <dcterms:created xsi:type="dcterms:W3CDTF">2021-09-18T18:35:00Z</dcterms:created>
  <dcterms:modified xsi:type="dcterms:W3CDTF">2021-09-18T19:56:00Z</dcterms:modified>
</cp:coreProperties>
</file>