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37989" w14:textId="77777777" w:rsidR="006136D6" w:rsidRDefault="006136D6" w:rsidP="006136D6">
      <w:pPr>
        <w:pStyle w:val="Heading2"/>
      </w:pPr>
      <w:r>
        <w:t>1</w:t>
      </w:r>
    </w:p>
    <w:p w14:paraId="5F8A77E0" w14:textId="77777777" w:rsidR="006136D6" w:rsidRPr="009F1EA9" w:rsidRDefault="006136D6" w:rsidP="006136D6">
      <w:pPr>
        <w:pStyle w:val="Heading4"/>
        <w:rPr>
          <w:bCs/>
        </w:rPr>
      </w:pPr>
      <w:r w:rsidRPr="009F1EA9">
        <w:rPr>
          <w:rFonts w:cs="Times New Roman"/>
        </w:rPr>
        <w:t xml:space="preserve">Permissibility and presumption negate – (a) the resolution indicates the aff has to prove an obligation, and permissibility would deny the existence of an obligation (b) </w:t>
      </w:r>
      <w:r w:rsidRPr="009F1EA9">
        <w:t>Statements are more often false than true because any part can be false. This means you negate if there is no offense because the resolution is probably false.</w:t>
      </w:r>
    </w:p>
    <w:p w14:paraId="5E25B6EC" w14:textId="654FC403" w:rsidR="006136D6" w:rsidRDefault="006136D6" w:rsidP="006136D6">
      <w:pPr>
        <w:pStyle w:val="Heading4"/>
      </w:pPr>
      <w:r w:rsidRPr="009F1EA9">
        <w:t xml:space="preserve">Morality must be grounded in a priori truth to guide action, otherwise everyone would have different ethical codes and follow different rules. And, truth exists independent of human experience since certain things can be self-proving, </w:t>
      </w:r>
      <w:proofErr w:type="gramStart"/>
      <w:r w:rsidRPr="009F1EA9">
        <w:t>i.e.</w:t>
      </w:r>
      <w:proofErr w:type="gramEnd"/>
      <w:r w:rsidRPr="009F1EA9">
        <w:t xml:space="preserv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690CDA96" w14:textId="77777777" w:rsidR="008109A5" w:rsidRDefault="008109A5" w:rsidP="008109A5">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D2AACB2" w14:textId="77777777" w:rsidR="008109A5" w:rsidRDefault="008109A5" w:rsidP="008109A5">
      <w:pPr>
        <w:pStyle w:val="Heading4"/>
      </w:pPr>
      <w:proofErr w:type="spellStart"/>
      <w:r>
        <w:t>Constitutivism</w:t>
      </w:r>
      <w:proofErr w:type="spellEnd"/>
      <w:r>
        <w:t xml:space="preserve"> solves – it allows for universal obligations among all agents but they are binding and cannot be opted out of.</w:t>
      </w:r>
    </w:p>
    <w:p w14:paraId="592FFA56" w14:textId="77777777" w:rsidR="008109A5" w:rsidRDefault="008109A5" w:rsidP="008109A5">
      <w:pPr>
        <w:pStyle w:val="Heading4"/>
      </w:pPr>
      <w:r>
        <w:t>Next, only practical reason is constitutive:</w:t>
      </w:r>
    </w:p>
    <w:p w14:paraId="3279E6AD" w14:textId="77777777" w:rsidR="006136D6" w:rsidRPr="00F5552E" w:rsidRDefault="006136D6" w:rsidP="006136D6">
      <w:pPr>
        <w:pStyle w:val="Heading4"/>
      </w:pPr>
      <w:r w:rsidRPr="00F5552E">
        <w:t>[1] Uncertainty – our experiences are inaccessible to others which allows people to say they don’t experience the same, however a priori principles are universally applied to all agents.</w:t>
      </w:r>
    </w:p>
    <w:p w14:paraId="09934FE5" w14:textId="77777777" w:rsidR="006136D6" w:rsidRPr="00DB062F" w:rsidRDefault="006136D6" w:rsidP="006136D6">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r>
        <w:t xml:space="preserve"> </w:t>
      </w:r>
    </w:p>
    <w:p w14:paraId="736CBDE2" w14:textId="77777777" w:rsidR="006136D6" w:rsidRPr="00104DB2" w:rsidRDefault="006136D6" w:rsidP="006136D6">
      <w:pPr>
        <w:pStyle w:val="Heading4"/>
        <w:spacing w:line="240" w:lineRule="auto"/>
        <w:rPr>
          <w:rFonts w:cs="Times New Roman"/>
          <w:color w:val="000000" w:themeColor="text1"/>
          <w:szCs w:val="16"/>
        </w:rPr>
      </w:pPr>
      <w:r w:rsidRPr="009F1EA9">
        <w:t xml:space="preserve">And, a priori </w:t>
      </w:r>
      <w:r>
        <w:t xml:space="preserve">truth has to apply to everyone: (a) absent </w:t>
      </w:r>
      <w:r w:rsidRPr="009F1EA9">
        <w:t xml:space="preserve">universal ethics, morality becomes arbitrary and fails to guide action, which means </w:t>
      </w:r>
      <w:r>
        <w:t xml:space="preserve">that ethics is rendered useless, (b) it’s a tautological </w:t>
      </w:r>
      <w:proofErr w:type="gramStart"/>
      <w:r>
        <w:t>contradiction  any</w:t>
      </w:r>
      <w:proofErr w:type="gramEnd"/>
      <w:r>
        <w:t xml:space="preserve"> </w:t>
      </w:r>
      <w:r w:rsidRPr="00104DB2">
        <w:rPr>
          <w:rFonts w:cs="Times New Roman"/>
          <w:color w:val="000000" w:themeColor="text1"/>
          <w:szCs w:val="16"/>
        </w:rPr>
        <w:t xml:space="preserve">non-universal norm justifies someone’s ability to impede on your ends, which also means universalizability acts as a side constraint on </w:t>
      </w:r>
      <w:r>
        <w:rPr>
          <w:rFonts w:cs="Times New Roman"/>
          <w:color w:val="000000" w:themeColor="text1"/>
          <w:szCs w:val="16"/>
        </w:rPr>
        <w:t>all other</w:t>
      </w:r>
      <w:r w:rsidRPr="00104DB2">
        <w:rPr>
          <w:rFonts w:cs="Times New Roman"/>
          <w:color w:val="000000" w:themeColor="text1"/>
          <w:szCs w:val="16"/>
        </w:rPr>
        <w:t xml:space="preserve"> frameworks. </w:t>
      </w:r>
    </w:p>
    <w:p w14:paraId="2DBD820F" w14:textId="77777777" w:rsidR="006136D6" w:rsidRPr="00104DB2" w:rsidRDefault="006136D6" w:rsidP="006136D6">
      <w:pPr>
        <w:spacing w:line="240" w:lineRule="auto"/>
        <w:rPr>
          <w:b/>
          <w:color w:val="000000" w:themeColor="text1"/>
          <w:szCs w:val="16"/>
        </w:rPr>
      </w:pPr>
      <w:proofErr w:type="spellStart"/>
      <w:r w:rsidRPr="00104DB2">
        <w:rPr>
          <w:b/>
          <w:color w:val="000000" w:themeColor="text1"/>
          <w:sz w:val="26"/>
          <w:szCs w:val="26"/>
        </w:rPr>
        <w:t>Siyar</w:t>
      </w:r>
      <w:proofErr w:type="spellEnd"/>
      <w:r w:rsidRPr="00104DB2">
        <w:rPr>
          <w:b/>
          <w:color w:val="000000" w:themeColor="text1"/>
          <w:sz w:val="26"/>
          <w:szCs w:val="26"/>
        </w:rPr>
        <w:t xml:space="preserve"> 99</w:t>
      </w:r>
      <w:r w:rsidRPr="00104DB2">
        <w:rPr>
          <w:color w:val="000000" w:themeColor="text1"/>
          <w:sz w:val="26"/>
          <w:szCs w:val="26"/>
        </w:rPr>
        <w:t xml:space="preserve"> </w:t>
      </w:r>
      <w:proofErr w:type="spellStart"/>
      <w:r w:rsidRPr="00104DB2">
        <w:rPr>
          <w:color w:val="000000" w:themeColor="text1"/>
          <w:sz w:val="18"/>
          <w:szCs w:val="18"/>
        </w:rPr>
        <w:t>Jamsheed</w:t>
      </w:r>
      <w:proofErr w:type="spellEnd"/>
      <w:r w:rsidRPr="00104DB2">
        <w:rPr>
          <w:color w:val="000000" w:themeColor="text1"/>
          <w:sz w:val="18"/>
          <w:szCs w:val="18"/>
        </w:rPr>
        <w:t xml:space="preserve"> </w:t>
      </w:r>
      <w:proofErr w:type="spellStart"/>
      <w:r w:rsidRPr="00104DB2">
        <w:rPr>
          <w:color w:val="000000" w:themeColor="text1"/>
          <w:sz w:val="18"/>
          <w:szCs w:val="18"/>
        </w:rPr>
        <w:t>Aiam</w:t>
      </w:r>
      <w:proofErr w:type="spellEnd"/>
      <w:r w:rsidRPr="00104DB2">
        <w:rPr>
          <w:color w:val="000000" w:themeColor="text1"/>
          <w:sz w:val="18"/>
          <w:szCs w:val="18"/>
        </w:rPr>
        <w:t xml:space="preserve"> </w:t>
      </w:r>
      <w:proofErr w:type="spellStart"/>
      <w:r w:rsidRPr="00104DB2">
        <w:rPr>
          <w:color w:val="000000" w:themeColor="text1"/>
          <w:sz w:val="18"/>
          <w:szCs w:val="18"/>
        </w:rPr>
        <w:t>Siyar</w:t>
      </w:r>
      <w:proofErr w:type="spellEnd"/>
      <w:r w:rsidRPr="00104DB2">
        <w:rPr>
          <w:color w:val="000000" w:themeColor="text1"/>
          <w:sz w:val="18"/>
          <w:szCs w:val="18"/>
        </w:rPr>
        <w:t>: Kant’s Conception of Practical Reason. Tufts University, 1999</w:t>
      </w:r>
      <w:r w:rsidRPr="00104DB2">
        <w:rPr>
          <w:b/>
          <w:color w:val="000000" w:themeColor="text1"/>
          <w:szCs w:val="16"/>
        </w:rPr>
        <w:t>:</w:t>
      </w:r>
    </w:p>
    <w:p w14:paraId="5A335622" w14:textId="7C799D66" w:rsidR="006136D6" w:rsidRDefault="006136D6" w:rsidP="006136D6">
      <w:pPr>
        <w:spacing w:line="240" w:lineRule="auto"/>
        <w:rPr>
          <w:color w:val="000000" w:themeColor="text1"/>
          <w:sz w:val="16"/>
        </w:rPr>
      </w:pPr>
      <w:r w:rsidRPr="00B81C15">
        <w:rPr>
          <w:color w:val="000000" w:themeColor="text1"/>
          <w:sz w:val="16"/>
        </w:rPr>
        <w:t xml:space="preserve">Now, </w:t>
      </w:r>
      <w:r w:rsidRPr="00852DAA">
        <w:rPr>
          <w:b/>
          <w:color w:val="000000" w:themeColor="text1"/>
          <w:highlight w:val="green"/>
          <w:u w:val="single"/>
        </w:rPr>
        <w:t>when I represent my end</w:t>
      </w:r>
      <w:r w:rsidRPr="00852DAA">
        <w:rPr>
          <w:b/>
          <w:color w:val="000000" w:themeColor="text1"/>
          <w:u w:val="single"/>
        </w:rPr>
        <w:t xml:space="preserve"> as to be done, </w:t>
      </w:r>
      <w:r w:rsidRPr="00852DAA">
        <w:rPr>
          <w:b/>
          <w:color w:val="000000" w:themeColor="text1"/>
          <w:highlight w:val="green"/>
          <w:u w:val="single"/>
        </w:rPr>
        <w:t>I represent it as binding me to certain courses of action</w:t>
      </w:r>
      <w:r w:rsidRPr="00B81C15">
        <w:rPr>
          <w:color w:val="000000" w:themeColor="text1"/>
          <w:sz w:val="16"/>
        </w:rPr>
        <w:t>, precluding other actions, etc.</w:t>
      </w:r>
      <w:r w:rsidRPr="00852DAA">
        <w:rPr>
          <w:b/>
          <w:color w:val="000000" w:themeColor="text1"/>
          <w:u w:val="single"/>
        </w:rPr>
        <w:t xml:space="preserve"> </w:t>
      </w:r>
      <w:r w:rsidRPr="00852DAA">
        <w:rPr>
          <w:b/>
          <w:color w:val="000000" w:themeColor="text1"/>
          <w:highlight w:val="green"/>
          <w:u w:val="single"/>
        </w:rPr>
        <w:t xml:space="preserve">Thus, my ends </w:t>
      </w:r>
      <w:r w:rsidRPr="00852DAA">
        <w:rPr>
          <w:b/>
          <w:color w:val="000000" w:themeColor="text1"/>
          <w:u w:val="single"/>
        </w:rPr>
        <w:t xml:space="preserve">function as constraints for me in that they </w:t>
      </w:r>
      <w:r w:rsidRPr="00852DAA">
        <w:rPr>
          <w:b/>
          <w:color w:val="000000" w:themeColor="text1"/>
          <w:highlight w:val="green"/>
          <w:u w:val="single"/>
        </w:rPr>
        <w:t>determine what I can</w:t>
      </w:r>
      <w:r w:rsidRPr="00B81C15">
        <w:rPr>
          <w:color w:val="000000" w:themeColor="text1"/>
          <w:sz w:val="16"/>
        </w:rPr>
        <w:t xml:space="preserve"> or must </w:t>
      </w:r>
      <w:r w:rsidRPr="00852DAA">
        <w:rPr>
          <w:b/>
          <w:color w:val="000000" w:themeColor="text1"/>
          <w:highlight w:val="green"/>
          <w:u w:val="single"/>
        </w:rPr>
        <w:t>do</w:t>
      </w:r>
      <w:r w:rsidRPr="00B81C15">
        <w:rPr>
          <w:color w:val="000000" w:themeColor="text1"/>
          <w:sz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852DAA">
        <w:rPr>
          <w:b/>
          <w:color w:val="000000" w:themeColor="text1"/>
          <w:highlight w:val="green"/>
          <w:u w:val="single"/>
        </w:rPr>
        <w:t>in representing an end, I</w:t>
      </w:r>
      <w:r w:rsidRPr="00852DAA">
        <w:rPr>
          <w:b/>
          <w:color w:val="000000" w:themeColor="text1"/>
          <w:u w:val="single"/>
        </w:rPr>
        <w:t xml:space="preserve"> </w:t>
      </w:r>
      <w:r w:rsidRPr="00B81C15">
        <w:rPr>
          <w:color w:val="000000" w:themeColor="text1"/>
          <w:sz w:val="16"/>
        </w:rPr>
        <w:t xml:space="preserve">in effect </w:t>
      </w:r>
      <w:r w:rsidRPr="00852DAA">
        <w:rPr>
          <w:b/>
          <w:color w:val="000000" w:themeColor="text1"/>
          <w:highlight w:val="green"/>
          <w:u w:val="single"/>
        </w:rPr>
        <w:t xml:space="preserve">demand recognition for it from other subjects: since the end functions as an objective </w:t>
      </w:r>
      <w:r w:rsidRPr="00852DAA">
        <w:rPr>
          <w:b/>
          <w:color w:val="000000" w:themeColor="text1"/>
          <w:u w:val="single"/>
        </w:rPr>
        <w:t xml:space="preserve">though self-imposed constraint </w:t>
      </w:r>
      <w:r w:rsidRPr="00852DAA">
        <w:rPr>
          <w:b/>
          <w:color w:val="000000" w:themeColor="text1"/>
          <w:highlight w:val="green"/>
          <w:u w:val="single"/>
        </w:rPr>
        <w:t>for me</w:t>
      </w:r>
      <w:r w:rsidRPr="00B81C15">
        <w:rPr>
          <w:color w:val="000000" w:themeColor="text1"/>
          <w:sz w:val="16"/>
          <w:highlight w:val="green"/>
        </w:rPr>
        <w:t>,</w:t>
      </w:r>
      <w:r w:rsidRPr="00B81C15">
        <w:rPr>
          <w:color w:val="000000" w:themeColor="text1"/>
          <w:sz w:val="16"/>
        </w:rPr>
        <w:t xml:space="preserve"> I must demand that this constraint be recognized as such. The thought here is simply that </w:t>
      </w:r>
      <w:r w:rsidRPr="00852DAA">
        <w:rPr>
          <w:b/>
          <w:color w:val="000000" w:themeColor="text1"/>
          <w:u w:val="single"/>
        </w:rPr>
        <w:t>if I am committed to some end,</w:t>
      </w:r>
      <w:r w:rsidRPr="00B81C15">
        <w:rPr>
          <w:color w:val="000000" w:themeColor="text1"/>
          <w:sz w:val="16"/>
        </w:rPr>
        <w:t xml:space="preserve"> </w:t>
      </w:r>
      <w:proofErr w:type="gramStart"/>
      <w:r w:rsidRPr="00B81C15">
        <w:rPr>
          <w:color w:val="000000" w:themeColor="text1"/>
          <w:sz w:val="16"/>
        </w:rPr>
        <w:t>e.g.</w:t>
      </w:r>
      <w:proofErr w:type="gramEnd"/>
      <w:r w:rsidRPr="00B81C15">
        <w:rPr>
          <w:color w:val="000000" w:themeColor="text1"/>
          <w:sz w:val="16"/>
        </w:rPr>
        <w:t xml:space="preserve"> my ice cream eating policy, I must act in certain ways to realize it. In this context, </w:t>
      </w:r>
      <w:r w:rsidRPr="00852DAA">
        <w:rPr>
          <w:b/>
          <w:color w:val="000000" w:themeColor="text1"/>
          <w:highlight w:val="green"/>
          <w:u w:val="single"/>
        </w:rPr>
        <w:t xml:space="preserve">I cannot be indifferent </w:t>
      </w:r>
      <w:r w:rsidRPr="00852DAA">
        <w:rPr>
          <w:b/>
          <w:color w:val="000000" w:themeColor="text1"/>
          <w:u w:val="single"/>
        </w:rPr>
        <w:t>to the</w:t>
      </w:r>
      <w:r w:rsidRPr="00B81C15">
        <w:rPr>
          <w:color w:val="000000" w:themeColor="text1"/>
          <w:sz w:val="16"/>
        </w:rPr>
        <w:t xml:space="preserve"> attitudes and </w:t>
      </w:r>
      <w:r w:rsidRPr="00852DAA">
        <w:rPr>
          <w:b/>
          <w:color w:val="000000" w:themeColor="text1"/>
          <w:u w:val="single"/>
        </w:rPr>
        <w:t xml:space="preserve">actions of others, for these may either help or hinder my pursuit of my end. </w:t>
      </w:r>
      <w:r w:rsidRPr="00852DAA">
        <w:rPr>
          <w:b/>
          <w:color w:val="000000" w:themeColor="text1"/>
          <w:highlight w:val="green"/>
          <w:u w:val="single"/>
        </w:rPr>
        <w:t>Hence, if I am</w:t>
      </w:r>
      <w:r w:rsidRPr="00852DAA">
        <w:rPr>
          <w:b/>
          <w:color w:val="000000" w:themeColor="text1"/>
          <w:u w:val="single"/>
        </w:rPr>
        <w:t xml:space="preserve"> </w:t>
      </w:r>
      <w:r w:rsidRPr="00B81C15">
        <w:rPr>
          <w:color w:val="000000" w:themeColor="text1"/>
          <w:sz w:val="16"/>
        </w:rPr>
        <w:t xml:space="preserve">in fact </w:t>
      </w:r>
      <w:r w:rsidRPr="00852DAA">
        <w:rPr>
          <w:b/>
          <w:color w:val="000000" w:themeColor="text1"/>
          <w:highlight w:val="green"/>
          <w:u w:val="single"/>
        </w:rPr>
        <w:t>committed to realizing my end,</w:t>
      </w:r>
      <w:r w:rsidRPr="00852DAA">
        <w:rPr>
          <w:b/>
          <w:color w:val="000000" w:themeColor="text1"/>
          <w:u w:val="single"/>
        </w:rPr>
        <w:t xml:space="preserve"> </w:t>
      </w:r>
      <w:proofErr w:type="gramStart"/>
      <w:r w:rsidRPr="00B81C15">
        <w:rPr>
          <w:color w:val="000000" w:themeColor="text1"/>
          <w:sz w:val="16"/>
        </w:rPr>
        <w:t>i.e.</w:t>
      </w:r>
      <w:proofErr w:type="gramEnd"/>
      <w:r w:rsidRPr="00B81C15">
        <w:rPr>
          <w:color w:val="000000" w:themeColor="text1"/>
          <w:sz w:val="16"/>
        </w:rPr>
        <w:t xml:space="preserve"> if I represent an end at all, </w:t>
      </w:r>
      <w:r w:rsidRPr="00852DAA">
        <w:rPr>
          <w:b/>
          <w:color w:val="000000" w:themeColor="text1"/>
          <w:highlight w:val="green"/>
          <w:u w:val="single"/>
        </w:rPr>
        <w:t>I must demand that the worth of my end</w:t>
      </w:r>
      <w:r w:rsidRPr="00B81C15">
        <w:rPr>
          <w:color w:val="000000" w:themeColor="text1"/>
          <w:sz w:val="16"/>
          <w:highlight w:val="green"/>
        </w:rPr>
        <w:t>,</w:t>
      </w:r>
      <w:r w:rsidRPr="00B81C15">
        <w:rPr>
          <w:color w:val="000000" w:themeColor="text1"/>
          <w:sz w:val="16"/>
        </w:rPr>
        <w:t xml:space="preserve"> its status as to be done, </w:t>
      </w:r>
      <w:r w:rsidRPr="00852DAA">
        <w:rPr>
          <w:b/>
          <w:color w:val="000000" w:themeColor="text1"/>
          <w:highlight w:val="green"/>
          <w:u w:val="single"/>
        </w:rPr>
        <w:t>be recognized by others.</w:t>
      </w:r>
      <w:r w:rsidRPr="00B81C15">
        <w:rPr>
          <w:color w:val="000000" w:themeColor="text1"/>
          <w:sz w:val="16"/>
        </w:rPr>
        <w:t xml:space="preserve"> </w:t>
      </w:r>
    </w:p>
    <w:p w14:paraId="1DC74447" w14:textId="719826E9" w:rsidR="006F1365" w:rsidRDefault="006F1365" w:rsidP="00AE3CB2">
      <w:pPr>
        <w:pStyle w:val="Heading4"/>
      </w:pPr>
      <w:r>
        <w:t xml:space="preserve">Prefer additionally: </w:t>
      </w:r>
    </w:p>
    <w:p w14:paraId="609858ED" w14:textId="46BB62BA" w:rsidR="00AE3CB2" w:rsidRDefault="006F1365" w:rsidP="00AE3CB2">
      <w:pPr>
        <w:pStyle w:val="Heading4"/>
      </w:pPr>
      <w:r>
        <w:t xml:space="preserve">1] </w:t>
      </w:r>
      <w:r w:rsidR="00AE3CB2" w:rsidRPr="00E63F3E">
        <w:t>Consequentialism</w:t>
      </w:r>
      <w:r w:rsidR="00AE3CB2" w:rsidRPr="001B1B98">
        <w:t xml:space="preserve"> fails – </w:t>
      </w:r>
      <w:r w:rsidR="00AE3CB2">
        <w:t>A] Predictions</w:t>
      </w:r>
      <w:r w:rsidR="00AE3CB2"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33B95C8B" w14:textId="1C7B716F" w:rsidR="00AB0883" w:rsidRPr="00CF7742" w:rsidRDefault="006F1365" w:rsidP="00AB0883">
      <w:pPr>
        <w:pStyle w:val="Heading4"/>
        <w:rPr>
          <w:rFonts w:cs="Calibri"/>
        </w:rPr>
      </w:pPr>
      <w:r>
        <w:rPr>
          <w:rFonts w:cs="Calibri"/>
        </w:rPr>
        <w:t xml:space="preserve">2] </w:t>
      </w:r>
      <w:r w:rsidR="00AB0883" w:rsidRPr="00CF7742">
        <w:rPr>
          <w:rFonts w:cs="Calibri"/>
        </w:rPr>
        <w:t>Actor spec: a) governments use side-constraints like constitutions in order to protect b) Governments are made to enforce equal restraints on the people. Ripstein 09</w:t>
      </w:r>
    </w:p>
    <w:p w14:paraId="6920038E" w14:textId="77777777" w:rsidR="00AB0883" w:rsidRPr="00CF7742" w:rsidRDefault="00AB0883" w:rsidP="00AB0883">
      <w:pPr>
        <w:rPr>
          <w:sz w:val="12"/>
          <w:szCs w:val="12"/>
        </w:rPr>
      </w:pPr>
      <w:r w:rsidRPr="00CF7742">
        <w:rPr>
          <w:sz w:val="12"/>
          <w:szCs w:val="12"/>
        </w:rPr>
        <w:t>Ripstein, Arthur.  Force and Freedom: Kant’s Legal and Political Philosophy. Harvard University Press, Cambridge, Massachusetts.  2009. Pg 194-196.</w:t>
      </w:r>
    </w:p>
    <w:p w14:paraId="7D2FF43A" w14:textId="7406F9A2" w:rsidR="00AB0883" w:rsidRPr="00AB0883" w:rsidRDefault="00AB0883" w:rsidP="00AB0883">
      <w:pPr>
        <w:rPr>
          <w:sz w:val="12"/>
        </w:rPr>
      </w:pPr>
      <w:r w:rsidRPr="00CF7742">
        <w:rPr>
          <w:b/>
          <w:u w:val="single"/>
        </w:rPr>
        <w:t>When officials act within their roles, they act for the state</w:t>
      </w:r>
      <w:r w:rsidRPr="00CF7742">
        <w:rPr>
          <w:sz w:val="12"/>
        </w:rPr>
        <w:t xml:space="preserve">; Kant also makes the </w:t>
      </w:r>
      <w:proofErr w:type="spellStart"/>
      <w:r w:rsidRPr="00CF7742">
        <w:rPr>
          <w:sz w:val="12"/>
        </w:rPr>
        <w:t>stron</w:t>
      </w:r>
      <w:proofErr w:type="spellEnd"/>
      <w:r w:rsidRPr="00CF7742">
        <w:rPr>
          <w:sz w:val="12"/>
        </w:rPr>
        <w:t xml:space="preserve"> ger claim that they act for the people. This might appear to collapse back into a private law model by presupposing conclusive </w:t>
      </w:r>
      <w:proofErr w:type="spellStart"/>
      <w:r w:rsidRPr="00CF7742">
        <w:rPr>
          <w:sz w:val="12"/>
        </w:rPr>
        <w:t>pri</w:t>
      </w:r>
      <w:proofErr w:type="spellEnd"/>
      <w:r w:rsidRPr="00CF7742">
        <w:rPr>
          <w:sz w:val="12"/>
        </w:rPr>
        <w:t xml:space="preserve">- </w:t>
      </w:r>
      <w:proofErr w:type="spellStart"/>
      <w:r w:rsidRPr="00CF7742">
        <w:rPr>
          <w:sz w:val="12"/>
        </w:rPr>
        <w:t>vate</w:t>
      </w:r>
      <w:proofErr w:type="spellEnd"/>
      <w:r w:rsidRPr="00CF7742">
        <w:rPr>
          <w:sz w:val="12"/>
        </w:rPr>
        <w:t xml:space="preserve"> rights as the basis for a civil condition. Kant’s claim, however, is not </w:t>
      </w:r>
      <w:proofErr w:type="gramStart"/>
      <w:r w:rsidRPr="00CF7742">
        <w:rPr>
          <w:sz w:val="12"/>
        </w:rPr>
        <w:t>that citizens</w:t>
      </w:r>
      <w:proofErr w:type="gramEnd"/>
      <w:r w:rsidRPr="00CF7742">
        <w:rPr>
          <w:sz w:val="12"/>
        </w:rPr>
        <w:t xml:space="preserve"> actively entrust their affairs to the state, nor even that of fi </w:t>
      </w:r>
      <w:proofErr w:type="spellStart"/>
      <w:r w:rsidRPr="00CF7742">
        <w:rPr>
          <w:sz w:val="12"/>
        </w:rPr>
        <w:t>cials</w:t>
      </w:r>
      <w:proofErr w:type="spellEnd"/>
      <w:r w:rsidRPr="00CF7742">
        <w:rPr>
          <w:sz w:val="12"/>
        </w:rPr>
        <w:t xml:space="preserve"> act for citizens considered separately. Instead, </w:t>
      </w:r>
      <w:r w:rsidRPr="00CF7742">
        <w:rPr>
          <w:b/>
          <w:highlight w:val="green"/>
          <w:u w:val="single"/>
        </w:rPr>
        <w:t>officials act for the citizens</w:t>
      </w:r>
      <w:r w:rsidRPr="00CF7742">
        <w:rPr>
          <w:b/>
          <w:u w:val="single"/>
        </w:rPr>
        <w:t xml:space="preserve"> considered </w:t>
      </w:r>
      <w:r w:rsidRPr="00CF7742">
        <w:rPr>
          <w:b/>
          <w:highlight w:val="green"/>
          <w:u w:val="single"/>
        </w:rPr>
        <w:t xml:space="preserve">as a collective </w:t>
      </w:r>
      <w:r w:rsidRPr="00CF7742">
        <w:rPr>
          <w:u w:val="single"/>
        </w:rPr>
        <w:t>body</w:t>
      </w:r>
      <w:r w:rsidRPr="00CF7742">
        <w:rPr>
          <w:b/>
          <w:u w:val="single"/>
        </w:rPr>
        <w:t xml:space="preserve">. </w:t>
      </w:r>
      <w:r w:rsidRPr="00CF7742">
        <w:rPr>
          <w:sz w:val="12"/>
        </w:rPr>
        <w:t xml:space="preserve">Kant introduces the term “people” as “a multitude of human beings”;16 taken together, they create what he characterizes in the Critique of Pure Reason as a “totality,” that is, a plurality considered as a unity.17 </w:t>
      </w:r>
      <w:r w:rsidRPr="00CF7742">
        <w:rPr>
          <w:bCs/>
          <w:u w:val="single"/>
        </w:rPr>
        <w:t xml:space="preserve">A multitude of human beings is a people just because institutions act for them; </w:t>
      </w:r>
      <w:r w:rsidRPr="00CF7742">
        <w:rPr>
          <w:u w:val="single"/>
        </w:rPr>
        <w:t>the</w:t>
      </w:r>
      <w:r w:rsidRPr="00CF7742">
        <w:rPr>
          <w:b/>
          <w:highlight w:val="green"/>
          <w:u w:val="single"/>
        </w:rPr>
        <w:t xml:space="preserve"> institutions are the principle of their unity,</w:t>
      </w:r>
      <w:r w:rsidRPr="00CF7742">
        <w:rPr>
          <w:b/>
          <w:u w:val="single"/>
        </w:rPr>
        <w:t xml:space="preserve"> </w:t>
      </w:r>
      <w:r w:rsidRPr="00CF7742">
        <w:rPr>
          <w:bCs/>
          <w:u w:val="single"/>
        </w:rPr>
        <w:t>and the acts of those institutions are the acts of the people</w:t>
      </w:r>
      <w:r w:rsidRPr="00CF7742">
        <w:rPr>
          <w:b/>
          <w:u w:val="single"/>
        </w:rPr>
        <w:t>.</w:t>
      </w:r>
      <w:r w:rsidRPr="00CF7742">
        <w:rPr>
          <w:sz w:val="12"/>
        </w:rPr>
        <w:t xml:space="preserve"> Kant’s claim is thus not that each citizen has in fact consented to or transferred power to the state, nor even that the people have somehow united themselves and then transferred power to the state, but that </w:t>
      </w:r>
      <w:r w:rsidRPr="00CF7742">
        <w:rPr>
          <w:b/>
          <w:u w:val="single"/>
        </w:rPr>
        <w:t xml:space="preserve">the state, </w:t>
      </w:r>
      <w:r w:rsidRPr="00CF7742">
        <w:rPr>
          <w:bCs/>
          <w:u w:val="single"/>
        </w:rPr>
        <w:t>through its institutions,</w:t>
      </w:r>
      <w:r w:rsidRPr="00CF7742">
        <w:rPr>
          <w:b/>
          <w:u w:val="single"/>
        </w:rPr>
        <w:t xml:space="preserve"> </w:t>
      </w:r>
      <w:r w:rsidRPr="00CF7742">
        <w:rPr>
          <w:sz w:val="12"/>
        </w:rPr>
        <w:t>creates the people, because</w:t>
      </w:r>
      <w:r w:rsidRPr="00CF7742">
        <w:rPr>
          <w:b/>
          <w:u w:val="single"/>
        </w:rPr>
        <w:t xml:space="preserve"> only through institutions can “a multitude of human beings” make itself into a people. </w:t>
      </w:r>
      <w:proofErr w:type="gramStart"/>
      <w:r w:rsidRPr="00CF7742">
        <w:rPr>
          <w:sz w:val="12"/>
        </w:rPr>
        <w:t>So</w:t>
      </w:r>
      <w:proofErr w:type="gramEnd"/>
      <w:r w:rsidRPr="00CF7742">
        <w:rPr>
          <w:sz w:val="12"/>
        </w:rPr>
        <w:t xml:space="preserve"> if a group of </w:t>
      </w:r>
      <w:proofErr w:type="spellStart"/>
      <w:r w:rsidRPr="00CF7742">
        <w:rPr>
          <w:sz w:val="12"/>
        </w:rPr>
        <w:t>of</w:t>
      </w:r>
      <w:proofErr w:type="spellEnd"/>
      <w:r w:rsidRPr="00CF7742">
        <w:rPr>
          <w:sz w:val="12"/>
        </w:rPr>
        <w:t xml:space="preserve"> fi </w:t>
      </w:r>
      <w:proofErr w:type="spellStart"/>
      <w:r w:rsidRPr="00CF7742">
        <w:rPr>
          <w:sz w:val="12"/>
        </w:rPr>
        <w:t>cials</w:t>
      </w:r>
      <w:proofErr w:type="spellEnd"/>
      <w:r w:rsidRPr="00CF7742">
        <w:rPr>
          <w:sz w:val="12"/>
        </w:rPr>
        <w:t xml:space="preserve"> make, apply, and enforce law in a given region of the Earth’s surface, in so doing they thereby unite the in </w:t>
      </w:r>
      <w:proofErr w:type="spellStart"/>
      <w:r w:rsidRPr="00CF7742">
        <w:rPr>
          <w:sz w:val="12"/>
        </w:rPr>
        <w:t>hab</w:t>
      </w:r>
      <w:proofErr w:type="spellEnd"/>
      <w:r w:rsidRPr="00CF7742">
        <w:rPr>
          <w:sz w:val="12"/>
        </w:rPr>
        <w:t xml:space="preserve"> </w:t>
      </w:r>
      <w:proofErr w:type="spellStart"/>
      <w:r w:rsidRPr="00CF7742">
        <w:rPr>
          <w:sz w:val="12"/>
        </w:rPr>
        <w:t>i</w:t>
      </w:r>
      <w:proofErr w:type="spellEnd"/>
      <w:r w:rsidRPr="00CF7742">
        <w:rPr>
          <w:sz w:val="12"/>
        </w:rPr>
        <w:t xml:space="preserve"> </w:t>
      </w:r>
      <w:proofErr w:type="spellStart"/>
      <w:r w:rsidRPr="00CF7742">
        <w:rPr>
          <w:sz w:val="12"/>
        </w:rPr>
        <w:t>tants</w:t>
      </w:r>
      <w:proofErr w:type="spellEnd"/>
      <w:r w:rsidRPr="00CF7742">
        <w:rPr>
          <w:sz w:val="12"/>
        </w:rPr>
        <w:t xml:space="preserve"> of that region into a people. By becoming an agent for the people, the state creates that people as a moral subject to whom its acts can be imputed. </w:t>
      </w:r>
      <w:r w:rsidRPr="00CF7742">
        <w:rPr>
          <w:b/>
          <w:u w:val="single"/>
        </w:rPr>
        <w:t>The state’s entitlement to rule does not depend on “whether a state began with an actual contract of submission</w:t>
      </w:r>
      <w:r w:rsidRPr="00CF7742">
        <w:rPr>
          <w:sz w:val="12"/>
        </w:rPr>
        <w:t xml:space="preserve"> (pactum </w:t>
      </w:r>
      <w:proofErr w:type="spellStart"/>
      <w:r w:rsidRPr="00CF7742">
        <w:rPr>
          <w:sz w:val="12"/>
        </w:rPr>
        <w:t>subiectionis</w:t>
      </w:r>
      <w:proofErr w:type="spellEnd"/>
      <w:r w:rsidRPr="00CF7742">
        <w:rPr>
          <w:sz w:val="12"/>
        </w:rPr>
        <w:t xml:space="preserve"> </w:t>
      </w:r>
      <w:proofErr w:type="spellStart"/>
      <w:r w:rsidRPr="00CF7742">
        <w:rPr>
          <w:sz w:val="12"/>
        </w:rPr>
        <w:t>civilis</w:t>
      </w:r>
      <w:proofErr w:type="spellEnd"/>
      <w:r w:rsidRPr="00CF7742">
        <w:rPr>
          <w:sz w:val="12"/>
        </w:rPr>
        <w:t xml:space="preserve">) as a fact, or whether power came first and law arrived only afterward, or even whether they should have followed in this order.”18 </w:t>
      </w:r>
      <w:r w:rsidRPr="00CF7742">
        <w:rPr>
          <w:bCs/>
          <w:u w:val="single"/>
        </w:rPr>
        <w:t>What matters is that officials create a rightful condition; if they do, it is a rightful condition for the people in it</w:t>
      </w:r>
      <w:r w:rsidRPr="00CF7742">
        <w:rPr>
          <w:sz w:val="12"/>
        </w:rPr>
        <w:t xml:space="preserve">. Kant can thus agree with Hobbes that a people is created by the institutions that act for it.19 The existence of representative institutions—that is, institutions in which the of fi </w:t>
      </w:r>
      <w:proofErr w:type="spellStart"/>
      <w:r w:rsidRPr="00CF7742">
        <w:rPr>
          <w:sz w:val="12"/>
        </w:rPr>
        <w:t>cials</w:t>
      </w:r>
      <w:proofErr w:type="spellEnd"/>
      <w:r w:rsidRPr="00CF7742">
        <w:rPr>
          <w:sz w:val="12"/>
        </w:rPr>
        <w:t xml:space="preserve"> act on behalf of the citizens considered as a collective body—makes it possible for the people to live together under laws and so to become a collective body.20 Its </w:t>
      </w:r>
      <w:proofErr w:type="spellStart"/>
      <w:r w:rsidRPr="00CF7742">
        <w:rPr>
          <w:sz w:val="12"/>
        </w:rPr>
        <w:t>sta</w:t>
      </w:r>
      <w:proofErr w:type="spellEnd"/>
      <w:r w:rsidRPr="00CF7742">
        <w:rPr>
          <w:sz w:val="12"/>
        </w:rPr>
        <w:t xml:space="preserve"> </w:t>
      </w:r>
      <w:proofErr w:type="spellStart"/>
      <w:r w:rsidRPr="00CF7742">
        <w:rPr>
          <w:sz w:val="12"/>
        </w:rPr>
        <w:t>tus</w:t>
      </w:r>
      <w:proofErr w:type="spellEnd"/>
      <w:r w:rsidRPr="00CF7742">
        <w:rPr>
          <w:sz w:val="12"/>
        </w:rPr>
        <w:t xml:space="preserve"> as a collective body is antecedent to any questions about its ability to rule itself through those institutions. Powers exercised within a rightful condition provide the </w:t>
      </w:r>
      <w:proofErr w:type="spellStart"/>
      <w:r w:rsidRPr="00CF7742">
        <w:rPr>
          <w:sz w:val="12"/>
        </w:rPr>
        <w:t>omnilateral</w:t>
      </w:r>
      <w:proofErr w:type="spellEnd"/>
      <w:r w:rsidRPr="00CF7742">
        <w:rPr>
          <w:sz w:val="12"/>
        </w:rPr>
        <w:t xml:space="preserve"> will required to repair each of the three defects in a state of nature. </w:t>
      </w:r>
      <w:r w:rsidRPr="00CF7742">
        <w:rPr>
          <w:b/>
          <w:highlight w:val="green"/>
          <w:u w:val="single"/>
        </w:rPr>
        <w:t>Public acts are</w:t>
      </w:r>
      <w:r w:rsidRPr="00CF7742">
        <w:rPr>
          <w:b/>
          <w:u w:val="single"/>
        </w:rPr>
        <w:t xml:space="preserve"> </w:t>
      </w:r>
      <w:proofErr w:type="spellStart"/>
      <w:r w:rsidRPr="00CF7742">
        <w:rPr>
          <w:bCs/>
          <w:u w:val="single"/>
        </w:rPr>
        <w:t>omnilateral</w:t>
      </w:r>
      <w:proofErr w:type="spellEnd"/>
      <w:r w:rsidRPr="00CF7742">
        <w:rPr>
          <w:bCs/>
          <w:u w:val="single"/>
        </w:rPr>
        <w:t xml:space="preserve"> because they are not any particular person’s unilateral choice, but instead are</w:t>
      </w:r>
      <w:r w:rsidRPr="00CF7742">
        <w:rPr>
          <w:b/>
          <w:u w:val="single"/>
        </w:rPr>
        <w:t xml:space="preserve"> </w:t>
      </w:r>
      <w:r w:rsidRPr="00CF7742">
        <w:rPr>
          <w:b/>
          <w:highlight w:val="green"/>
          <w:u w:val="single"/>
        </w:rPr>
        <w:t xml:space="preserve">exercised on behalf of the citizens </w:t>
      </w:r>
      <w:r w:rsidRPr="00CF7742">
        <w:rPr>
          <w:bCs/>
          <w:u w:val="single"/>
        </w:rPr>
        <w:t>considered as a collective body</w:t>
      </w:r>
      <w:r w:rsidRPr="00CF7742">
        <w:rPr>
          <w:b/>
          <w:u w:val="single"/>
        </w:rPr>
        <w:t xml:space="preserve">. </w:t>
      </w:r>
      <w:r w:rsidRPr="00CF7742">
        <w:rPr>
          <w:bCs/>
          <w:u w:val="single"/>
        </w:rPr>
        <w:t xml:space="preserve">They are also </w:t>
      </w:r>
      <w:proofErr w:type="spellStart"/>
      <w:r w:rsidRPr="00CF7742">
        <w:rPr>
          <w:bCs/>
          <w:u w:val="single"/>
        </w:rPr>
        <w:t>omnilateral</w:t>
      </w:r>
      <w:proofErr w:type="spellEnd"/>
      <w:r w:rsidRPr="00CF7742">
        <w:rPr>
          <w:bCs/>
          <w:u w:val="single"/>
        </w:rPr>
        <w:t xml:space="preserve"> in a further sense</w:t>
      </w:r>
      <w:r w:rsidRPr="00CF7742">
        <w:rPr>
          <w:u w:val="single"/>
        </w:rPr>
        <w:t>: a unilateral will always has some particular end, some</w:t>
      </w:r>
      <w:r w:rsidRPr="00CF7742">
        <w:rPr>
          <w:bCs/>
          <w:u w:val="single"/>
        </w:rPr>
        <w:t xml:space="preserve"> matter of choice.</w:t>
      </w:r>
      <w:r w:rsidRPr="00CF7742">
        <w:rPr>
          <w:b/>
          <w:u w:val="single"/>
        </w:rPr>
        <w:t xml:space="preserve"> </w:t>
      </w:r>
      <w:r w:rsidRPr="00CF7742">
        <w:rPr>
          <w:b/>
          <w:highlight w:val="green"/>
          <w:u w:val="single"/>
        </w:rPr>
        <w:t xml:space="preserve">The </w:t>
      </w:r>
      <w:proofErr w:type="spellStart"/>
      <w:r w:rsidRPr="00CF7742">
        <w:rPr>
          <w:b/>
          <w:highlight w:val="green"/>
          <w:u w:val="single"/>
        </w:rPr>
        <w:t>omnilateral</w:t>
      </w:r>
      <w:proofErr w:type="spellEnd"/>
      <w:r w:rsidRPr="00CF7742">
        <w:rPr>
          <w:b/>
          <w:highlight w:val="green"/>
          <w:u w:val="single"/>
        </w:rPr>
        <w:t xml:space="preserve"> will</w:t>
      </w:r>
      <w:r w:rsidRPr="00CF7742">
        <w:rPr>
          <w:b/>
          <w:u w:val="single"/>
        </w:rPr>
        <w:t xml:space="preserve"> </w:t>
      </w:r>
      <w:r w:rsidRPr="00CF7742">
        <w:rPr>
          <w:bCs/>
          <w:u w:val="single"/>
        </w:rPr>
        <w:t xml:space="preserve">is different, because all that it </w:t>
      </w:r>
      <w:r w:rsidRPr="00CF7742">
        <w:rPr>
          <w:b/>
          <w:highlight w:val="green"/>
          <w:u w:val="single"/>
        </w:rPr>
        <w:t>provides</w:t>
      </w:r>
      <w:r w:rsidRPr="00CF7742">
        <w:rPr>
          <w:b/>
          <w:u w:val="single"/>
        </w:rPr>
        <w:t xml:space="preserve"> </w:t>
      </w:r>
      <w:r w:rsidRPr="00CF7742">
        <w:rPr>
          <w:bCs/>
          <w:u w:val="single"/>
        </w:rPr>
        <w:t xml:space="preserve">is a form of choice, by providing </w:t>
      </w:r>
      <w:r w:rsidRPr="00CF7742">
        <w:rPr>
          <w:b/>
          <w:highlight w:val="green"/>
          <w:u w:val="single"/>
        </w:rPr>
        <w:t>procedures through which laws can be made</w:t>
      </w:r>
      <w:r w:rsidRPr="00CF7742">
        <w:rPr>
          <w:b/>
          <w:u w:val="single"/>
        </w:rPr>
        <w:t xml:space="preserve">, applied, and enforced. </w:t>
      </w:r>
      <w:r w:rsidRPr="00CF7742">
        <w:rPr>
          <w:sz w:val="12"/>
        </w:rPr>
        <w:t xml:space="preserve">To return to Kant’s initial example, when the state authorizes the acquisition of private property, it does not make the </w:t>
      </w:r>
      <w:proofErr w:type="spellStart"/>
      <w:r w:rsidRPr="00CF7742">
        <w:rPr>
          <w:sz w:val="12"/>
        </w:rPr>
        <w:t>having</w:t>
      </w:r>
      <w:proofErr w:type="spellEnd"/>
      <w:r w:rsidRPr="00CF7742">
        <w:rPr>
          <w:sz w:val="12"/>
        </w:rPr>
        <w:t xml:space="preserve"> of property, or the accumulation of wealth, its purpose. Its purpose is to enable individual human beings to have things as their own as against each other, in accordance with the postulate of private right. </w:t>
      </w:r>
      <w:r w:rsidRPr="00CF7742">
        <w:rPr>
          <w:b/>
          <w:u w:val="single"/>
        </w:rPr>
        <w:t>When the state acts to sustain a rightful condition</w:t>
      </w:r>
      <w:r w:rsidRPr="00CF7742">
        <w:rPr>
          <w:sz w:val="12"/>
        </w:rPr>
        <w:t>, in the ways to be discussed in Chapters 8 and 9</w:t>
      </w:r>
      <w:r w:rsidRPr="00CF7742">
        <w:rPr>
          <w:sz w:val="12"/>
          <w:highlight w:val="green"/>
        </w:rPr>
        <w:t xml:space="preserve">, </w:t>
      </w:r>
      <w:r w:rsidRPr="00CF7742">
        <w:rPr>
          <w:b/>
          <w:highlight w:val="green"/>
          <w:u w:val="single"/>
        </w:rPr>
        <w:t xml:space="preserve">it does not have the happiness </w:t>
      </w:r>
      <w:r w:rsidRPr="00CF7742">
        <w:rPr>
          <w:b/>
          <w:u w:val="single"/>
        </w:rPr>
        <w:t xml:space="preserve">of its citizens </w:t>
      </w:r>
      <w:r w:rsidRPr="00CF7742">
        <w:rPr>
          <w:b/>
          <w:highlight w:val="green"/>
          <w:u w:val="single"/>
        </w:rPr>
        <w:t xml:space="preserve">or the </w:t>
      </w:r>
      <w:r w:rsidRPr="00CF7742">
        <w:rPr>
          <w:b/>
          <w:u w:val="single"/>
        </w:rPr>
        <w:t xml:space="preserve">gross </w:t>
      </w:r>
      <w:r w:rsidRPr="00CF7742">
        <w:rPr>
          <w:b/>
          <w:highlight w:val="green"/>
          <w:u w:val="single"/>
        </w:rPr>
        <w:t>national product as its end</w:t>
      </w:r>
      <w:r w:rsidRPr="00CF7742">
        <w:rPr>
          <w:b/>
          <w:u w:val="single"/>
        </w:rPr>
        <w:t>; it only acts to preserve the formal conditions through which people can rule themselves</w:t>
      </w:r>
      <w:r w:rsidRPr="00CF7742">
        <w:rPr>
          <w:sz w:val="12"/>
        </w:rPr>
        <w:t>. And when the state punishes criminals, the topic of Chapter 10, it does not do so to prevent harm or to see to it that wrongdoers get what they deserve. It simply upholds the supremacy of its own law.</w:t>
      </w:r>
    </w:p>
    <w:p w14:paraId="7E7C4AA3" w14:textId="77777777" w:rsidR="006136D6" w:rsidRPr="00F5552E" w:rsidRDefault="006136D6" w:rsidP="006136D6">
      <w:pPr>
        <w:pStyle w:val="Heading4"/>
      </w:pPr>
      <w:r w:rsidRPr="00F5552E">
        <w:t>Freedom follows</w:t>
      </w:r>
      <w:r>
        <w:t xml:space="preserve"> </w:t>
      </w:r>
    </w:p>
    <w:p w14:paraId="01484BD3" w14:textId="77777777" w:rsidR="006136D6" w:rsidRPr="00F5552E" w:rsidRDefault="006136D6" w:rsidP="006136D6">
      <w:pPr>
        <w:pStyle w:val="Heading4"/>
      </w:pPr>
      <w:r w:rsidRPr="00F5552E">
        <w:t>[1] Its impossible to will a violation of freedom, since it necessarily entails a violation of your own freedom thus violating your will.</w:t>
      </w:r>
    </w:p>
    <w:p w14:paraId="4D9193D3" w14:textId="77777777" w:rsidR="006136D6" w:rsidRDefault="006136D6" w:rsidP="006136D6">
      <w:pPr>
        <w:pStyle w:val="Heading4"/>
      </w:pPr>
      <w:r w:rsidRPr="00F5552E">
        <w:t>[2] We could not hold agents responsible for their actions if we did not assume them to have the freedom to control their actions for themselves.</w:t>
      </w:r>
    </w:p>
    <w:p w14:paraId="64E0EC01" w14:textId="77777777" w:rsidR="006136D6" w:rsidRPr="004F1E29" w:rsidRDefault="006136D6" w:rsidP="006136D6">
      <w:pPr>
        <w:keepNext/>
        <w:keepLines/>
        <w:spacing w:before="40" w:after="0"/>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23CACC50" w14:textId="77777777" w:rsidR="006136D6" w:rsidRPr="004F1E29" w:rsidRDefault="006136D6" w:rsidP="006136D6">
      <w:pPr>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360CECC2" w14:textId="77777777" w:rsidR="006136D6" w:rsidRPr="002B2477" w:rsidRDefault="006136D6" w:rsidP="006136D6">
      <w:pPr>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28E3A432" w14:textId="77777777" w:rsidR="006136D6" w:rsidRPr="007A0FF8" w:rsidRDefault="006136D6" w:rsidP="006136D6">
      <w:pPr>
        <w:pStyle w:val="Heading4"/>
      </w:pPr>
      <w:r w:rsidRPr="00925D23">
        <w:rPr>
          <w:rFonts w:cs="Calibri"/>
        </w:rPr>
        <w:t>Thus, the standard is consistency with</w:t>
      </w:r>
      <w:r>
        <w:rPr>
          <w:rFonts w:cs="Calibri"/>
        </w:rPr>
        <w:t xml:space="preserve"> </w:t>
      </w:r>
      <w:proofErr w:type="spellStart"/>
      <w:r w:rsidRPr="004F1E29">
        <w:rPr>
          <w:rFonts w:eastAsia="Times New Roman"/>
        </w:rPr>
        <w:t>with</w:t>
      </w:r>
      <w:proofErr w:type="spellEnd"/>
      <w:r w:rsidRPr="004F1E29">
        <w:rPr>
          <w:rFonts w:eastAsia="Times New Roman"/>
        </w:rPr>
        <w:t xml:space="preserve"> a libertarian state of non-interference</w:t>
      </w:r>
      <w:r w:rsidRPr="00F5552E">
        <w:t xml:space="preserve">. </w:t>
      </w:r>
    </w:p>
    <w:p w14:paraId="401EE436" w14:textId="77777777" w:rsidR="006136D6" w:rsidRPr="00166B3E" w:rsidRDefault="006136D6" w:rsidP="006136D6">
      <w:pPr>
        <w:pStyle w:val="Heading3"/>
      </w:pPr>
      <w:r>
        <w:t xml:space="preserve"> Offense</w:t>
      </w:r>
    </w:p>
    <w:p w14:paraId="7C25C17B" w14:textId="77777777" w:rsidR="006136D6" w:rsidRDefault="006136D6" w:rsidP="006136D6">
      <w:pPr>
        <w:pStyle w:val="Heading4"/>
      </w:pPr>
      <w:r>
        <w:t xml:space="preserve">I </w:t>
      </w:r>
      <w:r w:rsidRPr="00361200">
        <w:t>negate: resolved: The appropriation of outer space by private entities is unjust.</w:t>
      </w:r>
      <w:r>
        <w:t xml:space="preserve"> </w:t>
      </w:r>
    </w:p>
    <w:p w14:paraId="4F7C9208" w14:textId="77777777" w:rsidR="006136D6" w:rsidRPr="008F5337" w:rsidRDefault="006136D6" w:rsidP="006136D6">
      <w:pPr>
        <w:pStyle w:val="Heading4"/>
      </w:pPr>
      <w:r w:rsidRPr="008F5337">
        <w:t>L</w:t>
      </w:r>
      <w:r>
        <w:t>i</w:t>
      </w:r>
      <w:r w:rsidRPr="008F5337">
        <w:t>bertarianism mandates a market-oriented approach to space—that negates</w:t>
      </w:r>
      <w:r>
        <w:t xml:space="preserve"> </w:t>
      </w:r>
    </w:p>
    <w:p w14:paraId="78FB0A9B" w14:textId="77777777" w:rsidR="006136D6" w:rsidRPr="008F5337" w:rsidRDefault="006136D6" w:rsidP="006136D6">
      <w:r w:rsidRPr="008F5337">
        <w:rPr>
          <w:rStyle w:val="TitleChar"/>
        </w:rPr>
        <w:t>Broker 20</w:t>
      </w:r>
      <w:r w:rsidRPr="008F5337">
        <w:t xml:space="preserve"> [(Tyler, work has been published in the Gonzaga Law Review, the Albany Law Review and the University of Memphis Law Review.) </w:t>
      </w:r>
      <w:r w:rsidRPr="008F5337">
        <w:rPr>
          <w:rStyle w:val="TitleChar"/>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51D2C402" w14:textId="77777777" w:rsidR="006136D6" w:rsidRPr="008F5337" w:rsidRDefault="006136D6" w:rsidP="006136D6">
      <w:pPr>
        <w:rPr>
          <w:rStyle w:val="TitleChar"/>
        </w:rPr>
      </w:pPr>
      <w:r w:rsidRPr="00197DF5">
        <w:rPr>
          <w:sz w:val="12"/>
        </w:rPr>
        <w:t xml:space="preserve">The impact on human daily life from a transition to the virtually unlimited resource reality of space cannot be overstated. </w:t>
      </w:r>
      <w:r w:rsidRPr="008F5337">
        <w:rPr>
          <w:rStyle w:val="TitleChar"/>
        </w:rPr>
        <w:t xml:space="preserve">However, </w:t>
      </w:r>
      <w:r w:rsidRPr="005749BB">
        <w:rPr>
          <w:rStyle w:val="TitleChar"/>
          <w:highlight w:val="green"/>
        </w:rPr>
        <w:t>when it comes to the law</w:t>
      </w:r>
      <w:r w:rsidRPr="008F5337">
        <w:rPr>
          <w:rStyle w:val="TitleChar"/>
        </w:rPr>
        <w:t xml:space="preserve">, a minimalist, dare I say </w:t>
      </w:r>
      <w:r w:rsidRPr="005749BB">
        <w:rPr>
          <w:rStyle w:val="TitleChar"/>
          <w:highlight w:val="green"/>
        </w:rPr>
        <w:t>libertarian, approach appears</w:t>
      </w:r>
      <w:r w:rsidRPr="008F5337">
        <w:rPr>
          <w:rStyle w:val="TitleChar"/>
        </w:rPr>
        <w:t xml:space="preserve"> </w:t>
      </w:r>
      <w:r w:rsidRPr="005749BB">
        <w:rPr>
          <w:rStyle w:val="TitleChar"/>
          <w:highlight w:val="green"/>
        </w:rPr>
        <w:t>as the only applicable system</w:t>
      </w:r>
      <w:r w:rsidRPr="008F5337">
        <w:rPr>
          <w:rStyle w:val="TitleChar"/>
        </w:rPr>
        <w:t>.</w:t>
      </w:r>
      <w:r>
        <w:rPr>
          <w:rStyle w:val="TitleChar"/>
        </w:rPr>
        <w:t xml:space="preserve"> </w:t>
      </w:r>
      <w:r w:rsidRPr="00197DF5">
        <w:rPr>
          <w:sz w:val="12"/>
        </w:rPr>
        <w:t xml:space="preserve">In the words of NASA, “2020 promises to be a big year for space exploration.” Yet, as Rand </w:t>
      </w:r>
      <w:proofErr w:type="spellStart"/>
      <w:r w:rsidRPr="00197DF5">
        <w:rPr>
          <w:sz w:val="12"/>
        </w:rPr>
        <w:t>Simberg</w:t>
      </w:r>
      <w:proofErr w:type="spellEnd"/>
      <w:r w:rsidRPr="00197DF5">
        <w:rPr>
          <w:sz w:val="12"/>
        </w:rPr>
        <w:t xml:space="preserve"> points out in Reason magazine, </w:t>
      </w:r>
      <w:r w:rsidRPr="008F5337">
        <w:rPr>
          <w:rStyle w:val="TitleChar"/>
        </w:rPr>
        <w:t xml:space="preserve">it is actually </w:t>
      </w:r>
      <w:r w:rsidRPr="005749BB">
        <w:rPr>
          <w:rStyle w:val="TitleChar"/>
          <w:highlight w:val="green"/>
        </w:rPr>
        <w:t>private American investment</w:t>
      </w:r>
      <w:r w:rsidRPr="008F5337">
        <w:rPr>
          <w:rStyle w:val="TitleChar"/>
        </w:rPr>
        <w:t xml:space="preserve"> </w:t>
      </w:r>
      <w:r w:rsidRPr="005749BB">
        <w:rPr>
          <w:rStyle w:val="TitleChar"/>
          <w:highlight w:val="green"/>
        </w:rPr>
        <w:t>that is currently moving space</w:t>
      </w:r>
      <w:r w:rsidRPr="008F5337">
        <w:rPr>
          <w:rStyle w:val="TitleChar"/>
        </w:rPr>
        <w:t xml:space="preserve"> </w:t>
      </w:r>
      <w:r w:rsidRPr="005749BB">
        <w:rPr>
          <w:rStyle w:val="TitleChar"/>
          <w:highlight w:val="green"/>
        </w:rPr>
        <w:t>exploration</w:t>
      </w:r>
      <w:r w:rsidRPr="008F5337">
        <w:rPr>
          <w:rStyle w:val="TitleChar"/>
        </w:rPr>
        <w:t xml:space="preserve"> to “a pace unseen since the 1960s.”</w:t>
      </w:r>
      <w:r w:rsidRPr="00197DF5">
        <w:rPr>
          <w:sz w:val="12"/>
        </w:rPr>
        <w:t xml:space="preserve"> According to </w:t>
      </w:r>
      <w:proofErr w:type="spellStart"/>
      <w:r w:rsidRPr="00197DF5">
        <w:rPr>
          <w:sz w:val="12"/>
        </w:rPr>
        <w:t>Simberg</w:t>
      </w:r>
      <w:proofErr w:type="spellEnd"/>
      <w:r w:rsidRPr="00197DF5">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197DF5">
        <w:rPr>
          <w:sz w:val="12"/>
        </w:rPr>
        <w:t>reality</w:t>
      </w:r>
      <w:proofErr w:type="gramEnd"/>
      <w:r w:rsidRPr="00197DF5">
        <w:rPr>
          <w:sz w:val="12"/>
        </w:rPr>
        <w:t xml:space="preserve"> the benefits that space can offer are far greater than any benefit currently attributed to any major policy proposal being discussed at the national level. The sheer </w:t>
      </w:r>
      <w:proofErr w:type="gramStart"/>
      <w:r w:rsidRPr="00197DF5">
        <w:rPr>
          <w:sz w:val="12"/>
        </w:rPr>
        <w:t>amount</w:t>
      </w:r>
      <w:proofErr w:type="gramEnd"/>
      <w:r w:rsidRPr="00197DF5">
        <w:rPr>
          <w:sz w:val="12"/>
        </w:rPr>
        <w:t xml:space="preserve"> of resources available within our current reach/capabilities simply speaks for itself. However, although those new realities will, as </w:t>
      </w:r>
      <w:proofErr w:type="spellStart"/>
      <w:r w:rsidRPr="00197DF5">
        <w:rPr>
          <w:sz w:val="12"/>
        </w:rPr>
        <w:t>Simberg</w:t>
      </w:r>
      <w:proofErr w:type="spellEnd"/>
      <w:r w:rsidRPr="00197DF5">
        <w:rPr>
          <w:sz w:val="12"/>
        </w:rPr>
        <w:t xml:space="preserve"> says, “bring to the fore a lot of ideological issues that up to now were just theoretical,” I believe it will also eliminate many economic and legal distinctions we currently utilize today. </w:t>
      </w:r>
      <w:r w:rsidRPr="008F5337">
        <w:rPr>
          <w:rStyle w:val="TitleChar"/>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TitleChar"/>
          <w:highlight w:val="green"/>
        </w:rPr>
        <w:t>because the resources available</w:t>
      </w:r>
      <w:r w:rsidRPr="008F5337">
        <w:rPr>
          <w:rStyle w:val="TitleChar"/>
        </w:rPr>
        <w:t xml:space="preserve"> within our solar system </w:t>
      </w:r>
      <w:r w:rsidRPr="005749BB">
        <w:rPr>
          <w:rStyle w:val="TitleChar"/>
          <w:highlight w:val="green"/>
        </w:rPr>
        <w:t>exist in such quantities, all goods will</w:t>
      </w:r>
      <w:r w:rsidRPr="008F5337">
        <w:rPr>
          <w:rStyle w:val="TitleChar"/>
        </w:rPr>
        <w:t xml:space="preserve"> </w:t>
      </w:r>
      <w:r w:rsidRPr="005749BB">
        <w:rPr>
          <w:rStyle w:val="TitleChar"/>
          <w:highlight w:val="green"/>
        </w:rPr>
        <w:t xml:space="preserve">become </w:t>
      </w:r>
      <w:proofErr w:type="spellStart"/>
      <w:r w:rsidRPr="005749BB">
        <w:rPr>
          <w:rStyle w:val="TitleChar"/>
          <w:highlight w:val="green"/>
        </w:rPr>
        <w:t>nonrivalrous</w:t>
      </w:r>
      <w:proofErr w:type="spellEnd"/>
      <w:r w:rsidRPr="008F5337">
        <w:rPr>
          <w:rStyle w:val="TitleChar"/>
        </w:rPr>
        <w:t xml:space="preserve"> in their consumption </w:t>
      </w:r>
      <w:r w:rsidRPr="005749BB">
        <w:rPr>
          <w:rStyle w:val="TitleChar"/>
          <w:highlight w:val="green"/>
        </w:rPr>
        <w:t>and nonexcludable</w:t>
      </w:r>
      <w:r w:rsidRPr="008F5337">
        <w:rPr>
          <w:rStyle w:val="TitleChar"/>
        </w:rPr>
        <w:t xml:space="preserve"> in their distribution.</w:t>
      </w:r>
      <w:r w:rsidRPr="00197DF5">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197DF5">
        <w:rPr>
          <w:sz w:val="12"/>
        </w:rPr>
        <w:t>Simberg</w:t>
      </w:r>
      <w:proofErr w:type="spellEnd"/>
      <w:r w:rsidRPr="00197DF5">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197DF5">
        <w:rPr>
          <w:sz w:val="12"/>
        </w:rPr>
        <w:t>amount</w:t>
      </w:r>
      <w:proofErr w:type="gramEnd"/>
      <w:r w:rsidRPr="00197DF5">
        <w:rPr>
          <w:sz w:val="12"/>
        </w:rPr>
        <w:t xml:space="preserve"> of resources within our solar system can sustain such an existence for every human being. </w:t>
      </w:r>
      <w:r w:rsidRPr="008F5337">
        <w:rPr>
          <w:rStyle w:val="TitleChar"/>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197DF5">
        <w:rPr>
          <w:sz w:val="12"/>
        </w:rPr>
        <w:t xml:space="preserve">, flag or no flag. We Americans know this is how a Wild West starts, where most regulation becomes the impractical pipe dream. </w:t>
      </w:r>
      <w:r w:rsidRPr="008F5337">
        <w:rPr>
          <w:rStyle w:val="TitleChar"/>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TitleChar"/>
        </w:rPr>
        <w:t>things</w:t>
      </w:r>
      <w:proofErr w:type="gramEnd"/>
      <w:r w:rsidRPr="008F5337">
        <w:rPr>
          <w:rStyle w:val="TitleChar"/>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199F8B8D" w14:textId="7DC008C6" w:rsidR="00A95652" w:rsidRDefault="00860EB6" w:rsidP="00860EB6">
      <w:pPr>
        <w:pStyle w:val="Heading2"/>
      </w:pPr>
      <w:r>
        <w:t>2</w:t>
      </w:r>
    </w:p>
    <w:p w14:paraId="06759ED3" w14:textId="77777777" w:rsidR="00E617AC" w:rsidRPr="008D7D1A" w:rsidRDefault="00E617AC" w:rsidP="00E617AC">
      <w:pPr>
        <w:pStyle w:val="Heading4"/>
      </w:pPr>
      <w:r w:rsidRPr="008D7D1A">
        <w:t>Interpretation: Debaters must not read theoretical justifications for their framework. To clarify, TJFs are bad</w:t>
      </w:r>
    </w:p>
    <w:p w14:paraId="695AA731" w14:textId="77777777" w:rsidR="00E617AC" w:rsidRPr="008D7D1A" w:rsidRDefault="00E617AC" w:rsidP="00E617AC">
      <w:pPr>
        <w:pStyle w:val="Heading4"/>
      </w:pPr>
      <w:r w:rsidRPr="008D7D1A">
        <w:t xml:space="preserve">Violation: they read predictability and topic ed to justify their </w:t>
      </w:r>
      <w:proofErr w:type="spellStart"/>
      <w:r w:rsidRPr="008D7D1A">
        <w:t>fw</w:t>
      </w:r>
      <w:proofErr w:type="spellEnd"/>
      <w:r w:rsidRPr="008D7D1A">
        <w:t xml:space="preserve"> </w:t>
      </w:r>
    </w:p>
    <w:p w14:paraId="55CCF8E3" w14:textId="77777777" w:rsidR="00E617AC" w:rsidRPr="008D7D1A" w:rsidRDefault="00E617AC" w:rsidP="00E617AC">
      <w:pPr>
        <w:pStyle w:val="Heading4"/>
      </w:pPr>
      <w:r w:rsidRPr="008D7D1A">
        <w:t>[</w:t>
      </w:r>
      <w:proofErr w:type="gramStart"/>
      <w:r w:rsidRPr="008D7D1A">
        <w:t>1]Phil</w:t>
      </w:r>
      <w:proofErr w:type="gramEnd"/>
      <w:r w:rsidRPr="008D7D1A">
        <w:t xml:space="preserve">-ed: kills </w:t>
      </w:r>
      <w:proofErr w:type="spellStart"/>
      <w:r w:rsidRPr="008D7D1A">
        <w:t>phil</w:t>
      </w:r>
      <w:proofErr w:type="spellEnd"/>
      <w:r w:rsidRPr="008D7D1A">
        <w:t xml:space="preserve"> ed by forcing a theory debate in framework when we are supposed to be learning about and debating philosophy. That’s an </w:t>
      </w:r>
      <w:proofErr w:type="spellStart"/>
      <w:r w:rsidRPr="008D7D1A">
        <w:t>indepedant</w:t>
      </w:r>
      <w:proofErr w:type="spellEnd"/>
      <w:r w:rsidRPr="008D7D1A">
        <w:t xml:space="preserve"> voter and controls the internal link to other voters because we need a concept of </w:t>
      </w:r>
      <w:proofErr w:type="spellStart"/>
      <w:r w:rsidRPr="008D7D1A">
        <w:t>noramtivity</w:t>
      </w:r>
      <w:proofErr w:type="spellEnd"/>
      <w:r w:rsidRPr="008D7D1A">
        <w:t xml:space="preserve"> to even care about fairness or education. </w:t>
      </w:r>
    </w:p>
    <w:p w14:paraId="3375007F" w14:textId="2DB49D87" w:rsidR="00E617AC" w:rsidRPr="008D7D1A" w:rsidRDefault="00E617AC" w:rsidP="00E617AC">
      <w:pPr>
        <w:pStyle w:val="Heading4"/>
      </w:pPr>
      <w:r w:rsidRPr="008D7D1A">
        <w:t>[</w:t>
      </w:r>
      <w:proofErr w:type="gramStart"/>
      <w:r w:rsidRPr="008D7D1A">
        <w:t>2]Strat</w:t>
      </w:r>
      <w:proofErr w:type="gramEnd"/>
      <w:r w:rsidRPr="008D7D1A">
        <w:t xml:space="preserve"> skew: TJFs force me to win on both theory and framework to win framework while you may only debate one, extending the other. Kills fairness since I have to engage on different layers with minimal time.</w:t>
      </w:r>
      <w:r w:rsidR="00EF1339">
        <w:t xml:space="preserve"> </w:t>
      </w:r>
    </w:p>
    <w:p w14:paraId="2AA0CE6C" w14:textId="77777777" w:rsidR="00E617AC" w:rsidRDefault="00E617AC" w:rsidP="00E617AC">
      <w:pPr>
        <w:pStyle w:val="Heading4"/>
      </w:pPr>
      <w:r w:rsidRPr="008D7D1A">
        <w:t xml:space="preserve">[3] Logic – </w:t>
      </w:r>
      <w:proofErr w:type="spellStart"/>
      <w:r w:rsidRPr="008D7D1A">
        <w:t>theoertical</w:t>
      </w:r>
      <w:proofErr w:type="spellEnd"/>
      <w:r w:rsidRPr="008D7D1A">
        <w:t xml:space="preserve"> justifications are bad </w:t>
      </w:r>
      <w:proofErr w:type="spellStart"/>
      <w:r w:rsidRPr="008D7D1A">
        <w:t>bc</w:t>
      </w:r>
      <w:proofErr w:type="spellEnd"/>
      <w:r w:rsidRPr="008D7D1A">
        <w:t xml:space="preserve"> regardless of whether or not the </w:t>
      </w:r>
      <w:proofErr w:type="spellStart"/>
      <w:r w:rsidRPr="008D7D1A">
        <w:t>fw</w:t>
      </w:r>
      <w:proofErr w:type="spellEnd"/>
      <w:r w:rsidRPr="008D7D1A">
        <w:t xml:space="preserve"> is </w:t>
      </w:r>
      <w:proofErr w:type="spellStart"/>
      <w:r w:rsidRPr="008D7D1A">
        <w:t>philosopohically</w:t>
      </w:r>
      <w:proofErr w:type="spellEnd"/>
      <w:r w:rsidRPr="008D7D1A">
        <w:t xml:space="preserve"> coherent </w:t>
      </w:r>
      <w:proofErr w:type="spellStart"/>
      <w:r w:rsidRPr="008D7D1A">
        <w:t>tjfs</w:t>
      </w:r>
      <w:proofErr w:type="spellEnd"/>
      <w:r w:rsidRPr="008D7D1A">
        <w:t xml:space="preserve"> ensure we apply illogical </w:t>
      </w:r>
      <w:proofErr w:type="spellStart"/>
      <w:r w:rsidRPr="008D7D1A">
        <w:t>args</w:t>
      </w:r>
      <w:proofErr w:type="spellEnd"/>
      <w:r w:rsidRPr="008D7D1A">
        <w:t xml:space="preserve"> for debates which kills education because </w:t>
      </w:r>
      <w:proofErr w:type="gramStart"/>
      <w:r w:rsidRPr="008D7D1A">
        <w:t>its</w:t>
      </w:r>
      <w:proofErr w:type="gramEnd"/>
      <w:r w:rsidRPr="008D7D1A">
        <w:t xml:space="preserve"> bad to learn about untrue things and fairness because disregarding rules of logic make it so that we’re unable to come up with argumentation – independently logic outweighs because it’s a litmus test for what counts as an argument in the first place </w:t>
      </w:r>
    </w:p>
    <w:p w14:paraId="22B796B4" w14:textId="008DE621" w:rsidR="00E617AC" w:rsidRDefault="00E617AC" w:rsidP="00E617AC">
      <w:pPr>
        <w:rPr>
          <w:rStyle w:val="Style13ptBold"/>
        </w:rPr>
      </w:pPr>
      <w:r w:rsidRPr="007D53D0">
        <w:rPr>
          <w:rStyle w:val="Style13ptBold"/>
        </w:rPr>
        <w:t xml:space="preserve">Voter—vote on fairness – debate is a competitive activity governed by rules. You can’t evaluate who did better debating if the round is structurally skewed, so fairness is a gateway to </w:t>
      </w:r>
      <w:proofErr w:type="spellStart"/>
      <w:r w:rsidRPr="007D53D0">
        <w:rPr>
          <w:rStyle w:val="Style13ptBold"/>
        </w:rPr>
        <w:t>substantivabe</w:t>
      </w:r>
      <w:proofErr w:type="spellEnd"/>
      <w:r w:rsidRPr="007D53D0">
        <w:rPr>
          <w:rStyle w:val="Style13ptBold"/>
        </w:rPr>
        <w:t xml:space="preserve"> debate.</w:t>
      </w:r>
      <w:r>
        <w:rPr>
          <w:rStyle w:val="Style13ptBold"/>
        </w:rPr>
        <w:t xml:space="preserve"> </w:t>
      </w:r>
      <w:r w:rsidRPr="001F4B3E">
        <w:rPr>
          <w:rStyle w:val="Style13ptBold"/>
        </w:rPr>
        <w:t xml:space="preserve">Drop the debater a) to set a precedent for the best norms of debate b) to deter future abuse. Use competing </w:t>
      </w:r>
      <w:proofErr w:type="spellStart"/>
      <w:r w:rsidRPr="001F4B3E">
        <w:rPr>
          <w:rStyle w:val="Style13ptBold"/>
        </w:rPr>
        <w:t>interps</w:t>
      </w:r>
      <w:proofErr w:type="spellEnd"/>
      <w:r w:rsidRPr="001F4B3E">
        <w:rPr>
          <w:rStyle w:val="Style13ptBold"/>
        </w:rPr>
        <w:t xml:space="preserve"> because 1] what is reasonably fair is arbitrary 2] reasonability encourages debaters to get away with increasingly unfair strategies through defense on theory. </w:t>
      </w:r>
    </w:p>
    <w:p w14:paraId="5E415267" w14:textId="77777777" w:rsidR="00EA2FE3" w:rsidRPr="00EA2FE3" w:rsidRDefault="00EA2FE3" w:rsidP="00EA2FE3"/>
    <w:p w14:paraId="69C1DA21" w14:textId="4CDA1880" w:rsidR="00AE3CB2" w:rsidRDefault="00AE3CB2" w:rsidP="00860EB6"/>
    <w:p w14:paraId="65EAD1A5" w14:textId="77777777" w:rsidR="00AE3CB2" w:rsidRPr="00860EB6" w:rsidRDefault="00AE3CB2" w:rsidP="00860EB6"/>
    <w:p w14:paraId="2768F86C" w14:textId="77777777" w:rsidR="000F669F" w:rsidRPr="00B55AD5" w:rsidRDefault="000F669F" w:rsidP="00B55AD5"/>
    <w:sectPr w:rsidR="000F669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2BC0"/>
    <w:rsid w:val="000139A3"/>
    <w:rsid w:val="00025C3C"/>
    <w:rsid w:val="000F669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36D6"/>
    <w:rsid w:val="00645FA9"/>
    <w:rsid w:val="00647866"/>
    <w:rsid w:val="00665003"/>
    <w:rsid w:val="006A2AD0"/>
    <w:rsid w:val="006C2375"/>
    <w:rsid w:val="006D4ECC"/>
    <w:rsid w:val="006F1365"/>
    <w:rsid w:val="00707CA0"/>
    <w:rsid w:val="00722258"/>
    <w:rsid w:val="007243E5"/>
    <w:rsid w:val="00766EA0"/>
    <w:rsid w:val="00790F85"/>
    <w:rsid w:val="007A2226"/>
    <w:rsid w:val="007F5B66"/>
    <w:rsid w:val="008109A5"/>
    <w:rsid w:val="00823A1C"/>
    <w:rsid w:val="00845B9D"/>
    <w:rsid w:val="00860984"/>
    <w:rsid w:val="00860EB6"/>
    <w:rsid w:val="008B3ECB"/>
    <w:rsid w:val="008B4E85"/>
    <w:rsid w:val="008C1B2E"/>
    <w:rsid w:val="008C3D21"/>
    <w:rsid w:val="008C69DD"/>
    <w:rsid w:val="0091627E"/>
    <w:rsid w:val="0097032B"/>
    <w:rsid w:val="009D2EAD"/>
    <w:rsid w:val="009D54B2"/>
    <w:rsid w:val="009E1922"/>
    <w:rsid w:val="009F7ED2"/>
    <w:rsid w:val="00A93661"/>
    <w:rsid w:val="00A95652"/>
    <w:rsid w:val="00AB0883"/>
    <w:rsid w:val="00AC0AB8"/>
    <w:rsid w:val="00AE3CB2"/>
    <w:rsid w:val="00B33C6D"/>
    <w:rsid w:val="00B4508F"/>
    <w:rsid w:val="00B55AD5"/>
    <w:rsid w:val="00B8057C"/>
    <w:rsid w:val="00BD6238"/>
    <w:rsid w:val="00BF593B"/>
    <w:rsid w:val="00BF773A"/>
    <w:rsid w:val="00BF7E81"/>
    <w:rsid w:val="00C11585"/>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2BC0"/>
    <w:rsid w:val="00DA6538"/>
    <w:rsid w:val="00DB5FE1"/>
    <w:rsid w:val="00DE3D4B"/>
    <w:rsid w:val="00E15E75"/>
    <w:rsid w:val="00E5262C"/>
    <w:rsid w:val="00E617AC"/>
    <w:rsid w:val="00EA2FE3"/>
    <w:rsid w:val="00EC7DC4"/>
    <w:rsid w:val="00ED30CF"/>
    <w:rsid w:val="00EF133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AE497"/>
  <w15:chartTrackingRefBased/>
  <w15:docId w15:val="{63C53002-EE03-4E5B-9361-E9C154F19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36D6"/>
    <w:rPr>
      <w:rFonts w:ascii="Calibri" w:hAnsi="Calibri" w:cs="Calibri"/>
    </w:rPr>
  </w:style>
  <w:style w:type="paragraph" w:styleId="Heading1">
    <w:name w:val="heading 1"/>
    <w:aliases w:val="Pocket"/>
    <w:basedOn w:val="Normal"/>
    <w:next w:val="Normal"/>
    <w:link w:val="Heading1Char"/>
    <w:qFormat/>
    <w:rsid w:val="00DA2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2B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2B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Big card,Normal Tag,heading 2,Ch,small text,No Spacing211,No Spacing12,no read,No Spacing2111,No Spacing4,No Spacing11111,tags,No Spacing5,No Spacing21,ta,TAG,T,t,Tag1,Heading 2 Char2 Char,No Spacing2,No Spacing1,Ch1,Card"/>
    <w:basedOn w:val="Normal"/>
    <w:next w:val="Normal"/>
    <w:link w:val="Heading4Char"/>
    <w:uiPriority w:val="3"/>
    <w:unhideWhenUsed/>
    <w:qFormat/>
    <w:rsid w:val="00DA2B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2B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2BC0"/>
  </w:style>
  <w:style w:type="character" w:customStyle="1" w:styleId="Heading1Char">
    <w:name w:val="Heading 1 Char"/>
    <w:aliases w:val="Pocket Char"/>
    <w:basedOn w:val="DefaultParagraphFont"/>
    <w:link w:val="Heading1"/>
    <w:rsid w:val="00DA2B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2B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A2BC0"/>
    <w:rPr>
      <w:rFonts w:ascii="Calibri" w:eastAsiaTheme="majorEastAsia" w:hAnsi="Calibri" w:cstheme="majorBidi"/>
      <w:b/>
      <w:sz w:val="32"/>
      <w:szCs w:val="24"/>
      <w:u w:val="single"/>
    </w:rPr>
  </w:style>
  <w:style w:type="character" w:customStyle="1" w:styleId="Heading4Char">
    <w:name w:val="Heading 4 Char"/>
    <w:aliases w:val="Tag Char,body Char,small space Char,Big card Char,Normal Tag Char,heading 2 Char,Ch Char,small text Char,No Spacing211 Char,No Spacing12 Char,no read Char,No Spacing2111 Char,No Spacing4 Char,No Spacing11111 Char,tags Char,ta Char,T Char"/>
    <w:basedOn w:val="DefaultParagraphFont"/>
    <w:link w:val="Heading4"/>
    <w:uiPriority w:val="3"/>
    <w:rsid w:val="00DA2BC0"/>
    <w:rPr>
      <w:rFonts w:ascii="Calibri" w:eastAsiaTheme="majorEastAsia" w:hAnsi="Calibri" w:cstheme="majorBidi"/>
      <w:b/>
      <w:iCs/>
      <w:sz w:val="26"/>
    </w:rPr>
  </w:style>
  <w:style w:type="character" w:styleId="Emphasis">
    <w:name w:val="Emphasis"/>
    <w:basedOn w:val="DefaultParagraphFont"/>
    <w:uiPriority w:val="7"/>
    <w:qFormat/>
    <w:rsid w:val="00DA2BC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2BC0"/>
    <w:rPr>
      <w:b/>
      <w:bCs/>
      <w:sz w:val="26"/>
      <w:u w:val="none"/>
    </w:rPr>
  </w:style>
  <w:style w:type="character" w:customStyle="1" w:styleId="StyleUnderline">
    <w:name w:val="Style Underline"/>
    <w:aliases w:val="Underline"/>
    <w:basedOn w:val="DefaultParagraphFont"/>
    <w:uiPriority w:val="6"/>
    <w:qFormat/>
    <w:rsid w:val="00DA2BC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DA2BC0"/>
    <w:rPr>
      <w:color w:val="auto"/>
      <w:u w:val="none"/>
    </w:rPr>
  </w:style>
  <w:style w:type="character" w:styleId="FollowedHyperlink">
    <w:name w:val="FollowedHyperlink"/>
    <w:basedOn w:val="DefaultParagraphFont"/>
    <w:uiPriority w:val="99"/>
    <w:semiHidden/>
    <w:unhideWhenUsed/>
    <w:rsid w:val="00DA2BC0"/>
    <w:rPr>
      <w:color w:val="auto"/>
      <w:u w:val="none"/>
    </w:rPr>
  </w:style>
  <w:style w:type="character" w:customStyle="1" w:styleId="TitleChar">
    <w:name w:val="Title Char"/>
    <w:basedOn w:val="DefaultParagraphFont"/>
    <w:link w:val="Title"/>
    <w:uiPriority w:val="6"/>
    <w:qFormat/>
    <w:rsid w:val="006136D6"/>
    <w:rPr>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6136D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basedOn w:val="Normal"/>
    <w:next w:val="Normal"/>
    <w:link w:val="TitleChar"/>
    <w:uiPriority w:val="6"/>
    <w:qFormat/>
    <w:rsid w:val="006136D6"/>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6136D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2712</Words>
  <Characters>15461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16</cp:revision>
  <dcterms:created xsi:type="dcterms:W3CDTF">2022-02-20T14:30:00Z</dcterms:created>
  <dcterms:modified xsi:type="dcterms:W3CDTF">2022-02-20T15:25:00Z</dcterms:modified>
</cp:coreProperties>
</file>