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225D4" w14:textId="37B92AD4" w:rsidR="00A95652" w:rsidRDefault="00A95652" w:rsidP="00B55AD5"/>
    <w:p w14:paraId="55ACE9FF" w14:textId="3D17F09E" w:rsidR="00C87FDE" w:rsidRDefault="00C87FDE" w:rsidP="00C87FDE">
      <w:pPr>
        <w:pStyle w:val="Heading2"/>
      </w:pPr>
      <w:r>
        <w:t xml:space="preserve">1 </w:t>
      </w:r>
    </w:p>
    <w:p w14:paraId="755C1926" w14:textId="77777777" w:rsidR="007A7AE4" w:rsidRPr="00245555" w:rsidRDefault="007A7AE4" w:rsidP="007A7AE4">
      <w:pPr>
        <w:pStyle w:val="Heading4"/>
        <w:spacing w:line="240" w:lineRule="auto"/>
      </w:pPr>
      <w:r w:rsidRPr="00245555">
        <w:rPr>
          <w:u w:val="single"/>
        </w:rPr>
        <w:t>Ethics must be constitutive</w:t>
      </w:r>
      <w:r w:rsidRPr="00245555">
        <w:t xml:space="preserve"> – for obligations to have normative force they must be categorically binding because otherwise actors could contingently disregard them.</w:t>
      </w:r>
    </w:p>
    <w:p w14:paraId="693DCC1A" w14:textId="77777777" w:rsidR="007A7AE4" w:rsidRPr="00245555" w:rsidRDefault="007A7AE4" w:rsidP="007A7AE4">
      <w:pPr>
        <w:pStyle w:val="Heading4"/>
        <w:spacing w:line="240" w:lineRule="auto"/>
      </w:pPr>
      <w:r w:rsidRPr="00245555">
        <w:rPr>
          <w:u w:val="single"/>
        </w:rPr>
        <w:t>Only agency is inescapable</w:t>
      </w:r>
      <w:r w:rsidRPr="00245555">
        <w:t xml:space="preserve"> – reasoning whether to engage in a practice is conducted external to that practice through intentional agency: this is exercising rationality. Even the assessment whether to be an agent is itself an instance of practical reasoning that is exclusively the role of agency.</w:t>
      </w:r>
    </w:p>
    <w:p w14:paraId="02CBE0AF" w14:textId="77777777" w:rsidR="007A7AE4" w:rsidRPr="00245555" w:rsidRDefault="007A7AE4" w:rsidP="007A7AE4">
      <w:pPr>
        <w:pStyle w:val="Heading4"/>
        <w:spacing w:line="240" w:lineRule="auto"/>
      </w:pPr>
      <w:r w:rsidRPr="00245555">
        <w:rPr>
          <w:u w:val="single"/>
        </w:rPr>
        <w:t>Rationality necessitates a free will</w:t>
      </w:r>
      <w:r w:rsidRPr="00245555">
        <w:t xml:space="preserve"> – rational action must set before itself objective ends that we can categorically pursue through setting and pursuing ends. All frameworks concede the validity of a free will because otherwise people can’t be held culpable for actions they didn’t cause.</w:t>
      </w:r>
    </w:p>
    <w:p w14:paraId="627747E1" w14:textId="77777777" w:rsidR="007A7AE4" w:rsidRPr="00245555" w:rsidRDefault="007A7AE4" w:rsidP="007A7AE4">
      <w:pPr>
        <w:pStyle w:val="Heading4"/>
        <w:spacing w:line="240" w:lineRule="auto"/>
      </w:pPr>
      <w:r w:rsidRPr="00245555">
        <w:rPr>
          <w:u w:val="single"/>
        </w:rPr>
        <w:t>Respect for freedom must be universal</w:t>
      </w:r>
      <w:r w:rsidRPr="00245555">
        <w:t xml:space="preserve"> – maxims should apply to everyone in all instances to guide action, which requires a priori abstraction from physical experience.</w:t>
      </w:r>
    </w:p>
    <w:p w14:paraId="150D6653" w14:textId="70D03DA0" w:rsidR="007A7AE4" w:rsidRDefault="00CE37CA" w:rsidP="00B574BA">
      <w:pPr>
        <w:pStyle w:val="Heading4"/>
      </w:pPr>
      <w:r>
        <w:t>Thus</w:t>
      </w:r>
      <w:r w:rsidRPr="00E76AFC">
        <w:t>,</w:t>
      </w:r>
      <w:r>
        <w:t xml:space="preserve"> counter-methodology: Vote negative to engage in a liberation strategy of universal reason. This entails a starting point where we abstract from individual perspectives to understand the universal, and use this starting point to apply it to empirical institutions and agents. No perms: Uniquely non-sensical in a method debate: It assumes a notion of fiat that doesn’t make sense without a plan. The 1AC role of the ballot forefronts the performative and methodological which a permutation steals away</w:t>
      </w:r>
      <w:r w:rsidR="008F355D">
        <w:t xml:space="preserve">. </w:t>
      </w:r>
    </w:p>
    <w:p w14:paraId="1BDD289F" w14:textId="77777777" w:rsidR="00C93C15" w:rsidRPr="00B622C5" w:rsidRDefault="00C93C15" w:rsidP="00C93C15">
      <w:pPr>
        <w:pStyle w:val="Heading4"/>
      </w:pP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0E6C2605" w14:textId="77777777" w:rsidR="00C93C15" w:rsidRPr="00B622C5" w:rsidRDefault="00C93C15" w:rsidP="00C93C15">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7FD91E61" w14:textId="730D4B87" w:rsidR="00C93C15" w:rsidRPr="00C93C15" w:rsidRDefault="00C93C15" w:rsidP="00C93C15">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17EDE0FE" w14:textId="77777777" w:rsidR="00C93C15" w:rsidRPr="00C93C15" w:rsidRDefault="00C93C15" w:rsidP="00C93C15"/>
    <w:p w14:paraId="3E1B31A1" w14:textId="59C5227E" w:rsidR="007A7AE4" w:rsidRPr="00245555" w:rsidRDefault="00B574BA" w:rsidP="007A7AE4">
      <w:pPr>
        <w:pStyle w:val="Heading4"/>
        <w:spacing w:line="240" w:lineRule="auto"/>
      </w:pPr>
      <w:r>
        <w:t>The</w:t>
      </w:r>
      <w:r w:rsidR="007A7AE4" w:rsidRPr="00245555">
        <w:rPr>
          <w:u w:val="single"/>
        </w:rPr>
        <w:t xml:space="preserve"> standard is respect for universal freedom.</w:t>
      </w:r>
      <w:r w:rsidR="007A7AE4" w:rsidRPr="00245555">
        <w:t xml:space="preserve"> Prefer it:</w:t>
      </w:r>
    </w:p>
    <w:p w14:paraId="344BBF29" w14:textId="77777777" w:rsidR="007A7AE4" w:rsidRPr="00245555" w:rsidRDefault="007A7AE4" w:rsidP="007A7AE4">
      <w:pPr>
        <w:pStyle w:val="Heading4"/>
        <w:spacing w:line="240" w:lineRule="auto"/>
      </w:pPr>
      <w:r w:rsidRPr="00245555">
        <w:t xml:space="preserve">[1] </w:t>
      </w:r>
      <w:r w:rsidRPr="00245555">
        <w:rPr>
          <w:u w:val="single"/>
        </w:rPr>
        <w:t>Motivation</w:t>
      </w:r>
      <w:r w:rsidRPr="00245555">
        <w:t xml:space="preserve"> – consequentialist theories hold agents responsible for consequences external to their will which removes any reason to act ethically because agents are punished for </w:t>
      </w:r>
      <w:proofErr w:type="gramStart"/>
      <w:r w:rsidRPr="00245555">
        <w:t>ends</w:t>
      </w:r>
      <w:proofErr w:type="gramEnd"/>
      <w:r w:rsidRPr="00245555">
        <w:t xml:space="preserve"> they did not intend.</w:t>
      </w:r>
    </w:p>
    <w:p w14:paraId="58F16148" w14:textId="77777777" w:rsidR="007A7AE4" w:rsidRPr="00245555" w:rsidRDefault="007A7AE4" w:rsidP="007A7AE4">
      <w:pPr>
        <w:pStyle w:val="Heading4"/>
        <w:spacing w:line="240" w:lineRule="auto"/>
      </w:pPr>
      <w:r w:rsidRPr="00245555">
        <w:t xml:space="preserve">[2] </w:t>
      </w:r>
      <w:r w:rsidRPr="00245555">
        <w:rPr>
          <w:u w:val="single"/>
        </w:rPr>
        <w:t>Induction fails</w:t>
      </w:r>
      <w:r w:rsidRPr="00245555">
        <w:t xml:space="preserve"> – induction is circular because it relies on the assumption that nature will hold uniform but we could only reach that conclusion through inductive reasoning based on observation of past events.</w:t>
      </w:r>
    </w:p>
    <w:p w14:paraId="370BAC80" w14:textId="7169230D" w:rsidR="007A7AE4" w:rsidRDefault="007A7AE4" w:rsidP="007A7AE4">
      <w:pPr>
        <w:pStyle w:val="Heading4"/>
        <w:spacing w:line="240" w:lineRule="auto"/>
      </w:pPr>
      <w:r w:rsidRPr="00245555">
        <w:t xml:space="preserve">[3] </w:t>
      </w:r>
      <w:r w:rsidRPr="00245555">
        <w:rPr>
          <w:u w:val="single"/>
        </w:rPr>
        <w:t>Side-constraint</w:t>
      </w:r>
      <w:r w:rsidRPr="00245555">
        <w:t xml:space="preserve"> – universal respect for freedom is a necessary condition of all ethical theories because they assume that others will refrain from impeding upon one’s ends </w:t>
      </w:r>
      <w:proofErr w:type="gramStart"/>
      <w:r w:rsidRPr="00245555">
        <w:t>i.e.</w:t>
      </w:r>
      <w:proofErr w:type="gramEnd"/>
      <w:r w:rsidRPr="00245555">
        <w:t xml:space="preserve"> if I desire to eat ice cream to bring me pleasure, I simultaneously will that others do not hinder me from pursuing the end of getting ice cream. That outweighs on a pre-fiat level – in giving a speech to justify your theory, you demand that others recognize the value of that end in order to achieve it.</w:t>
      </w:r>
    </w:p>
    <w:p w14:paraId="5A47B642" w14:textId="77777777" w:rsidR="00880C40" w:rsidRDefault="00880C40" w:rsidP="00880C40"/>
    <w:p w14:paraId="270D0F3A" w14:textId="16C9E44A" w:rsidR="00004C64" w:rsidRPr="004F1E29" w:rsidRDefault="00004C64" w:rsidP="00004C64">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3B0DFD4F" w14:textId="77777777" w:rsidR="00004C64" w:rsidRPr="004F1E29" w:rsidRDefault="00004C64" w:rsidP="00004C64">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22BBA65A" w14:textId="77777777" w:rsidR="00004C64" w:rsidRPr="004F1E29" w:rsidRDefault="00004C64" w:rsidP="00004C64">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6972B0F7" w14:textId="13E99EB1" w:rsidR="007A7AE4" w:rsidRDefault="007A7AE4" w:rsidP="007A7AE4"/>
    <w:p w14:paraId="0479B788" w14:textId="6B86C741" w:rsidR="00004C64" w:rsidRPr="007A7AE4" w:rsidRDefault="00004C64" w:rsidP="0036016F">
      <w:pPr>
        <w:pStyle w:val="Heading4"/>
      </w:pPr>
      <w:r>
        <w:t xml:space="preserve">Now negate: </w:t>
      </w:r>
    </w:p>
    <w:p w14:paraId="67B01238" w14:textId="2BCB731B" w:rsidR="007A7AE4" w:rsidRPr="008F5337" w:rsidRDefault="007A7AE4" w:rsidP="007A7AE4">
      <w:pPr>
        <w:pStyle w:val="Heading4"/>
      </w:pPr>
      <w:r w:rsidRPr="008F5337">
        <w:t>Libertarianism mandates a market-oriented approach to space—that negates</w:t>
      </w:r>
    </w:p>
    <w:p w14:paraId="68B7D91D" w14:textId="77777777" w:rsidR="007A7AE4" w:rsidRPr="008F5337" w:rsidRDefault="007A7AE4" w:rsidP="007A7AE4">
      <w:r w:rsidRPr="00C93C15">
        <w:rPr>
          <w:rStyle w:val="StyleUnderline"/>
          <w:rFonts w:eastAsiaTheme="majorEastAsia" w:cstheme="majorBidi"/>
          <w:b/>
          <w:iCs/>
          <w:sz w:val="26"/>
          <w:u w:val="none"/>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49678F6D" w14:textId="5B45596B" w:rsidR="007A7AE4" w:rsidRDefault="007A7AE4" w:rsidP="007A7AE4">
      <w:pPr>
        <w:rPr>
          <w:rStyle w:val="StyleUnderline"/>
        </w:rPr>
      </w:pPr>
      <w:r w:rsidRPr="008F5337">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r w:rsidR="00C93C15">
        <w:rPr>
          <w:rStyle w:val="StyleUnderline"/>
        </w:rPr>
        <w:t xml:space="preserve"> </w:t>
      </w:r>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actually </w:t>
      </w:r>
      <w:r w:rsidRPr="005749BB">
        <w:rPr>
          <w:rStyle w:val="StyleUnderline"/>
          <w:highlight w:val="green"/>
        </w:rPr>
        <w:t>private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r w:rsidR="00C93C15">
        <w:t xml:space="preserve"> </w:t>
      </w:r>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r w:rsidR="00C93C15">
        <w:t xml:space="preserve"> </w:t>
      </w:r>
      <w:r w:rsidRPr="008F5337">
        <w:t xml:space="preserve">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r w:rsidR="00C93C15">
        <w:t xml:space="preserve"> </w:t>
      </w: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r w:rsidR="00C93C15">
        <w:rPr>
          <w:rStyle w:val="StyleUnderline"/>
        </w:rPr>
        <w:t xml:space="preserve"> </w:t>
      </w:r>
      <w:r w:rsidRPr="008F5337">
        <w:rPr>
          <w:rStyle w:val="StyleUnderline"/>
        </w:rPr>
        <w:t>Property rights in space can be consistent with international law</w:t>
      </w:r>
      <w:r w:rsidR="00C93C15">
        <w:rPr>
          <w:rStyle w:val="StyleUnderline"/>
        </w:rPr>
        <w:t xml:space="preserve"> </w:t>
      </w:r>
      <w:proofErr w:type="spellStart"/>
      <w:r w:rsidRPr="008F5337">
        <w:rPr>
          <w:rStyle w:val="StyleUnderline"/>
        </w:rPr>
        <w:t>Simberg</w:t>
      </w:r>
      <w:proofErr w:type="spellEnd"/>
      <w:r w:rsidRPr="008F5337">
        <w:rPr>
          <w:rStyle w:val="StyleUnderline"/>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8F5337">
          <w:rPr>
            <w:rStyle w:val="Hyperlink"/>
          </w:rPr>
          <w:t>https://cei.org/wp-content/uploads/2012/04/Rand-Simberg-Homesteading-the-Final-Frontier.pdf</w:t>
        </w:r>
      </w:hyperlink>
      <w:r w:rsidRPr="008F5337">
        <w:rPr>
          <w:rStyle w:val="StyleUnderline"/>
        </w:rPr>
        <w:t>] TDI</w:t>
      </w:r>
      <w:r w:rsidR="00C93C15">
        <w:rPr>
          <w:rStyle w:val="StyleUnderline"/>
        </w:rPr>
        <w:t xml:space="preserve"> </w:t>
      </w: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 xml:space="preserve">a refutation of the notion that the Outer Space Treaty </w:t>
      </w:r>
      <w:proofErr w:type="gramStart"/>
      <w:r w:rsidRPr="005749BB">
        <w:rPr>
          <w:rStyle w:val="StyleUnderline"/>
          <w:highlight w:val="green"/>
        </w:rPr>
        <w:t>outlaws</w:t>
      </w:r>
      <w:proofErr w:type="gramEnd"/>
      <w:r w:rsidRPr="005749BB">
        <w:rPr>
          <w:rStyle w:val="StyleUnderline"/>
          <w:highlight w:val="green"/>
        </w:rPr>
        <w:t xml:space="preserve">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r w:rsidR="00C93C15">
        <w:rPr>
          <w:rStyle w:val="StyleUnderline"/>
        </w:rPr>
        <w:t xml:space="preserve"> </w:t>
      </w:r>
      <w:r w:rsidRPr="008F5337">
        <w:rPr>
          <w:rStyle w:val="StyleUnderli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8F5337">
        <w:rPr>
          <w:rStyle w:val="StyleUnderline"/>
        </w:rPr>
        <w:t>Gorove</w:t>
      </w:r>
      <w:proofErr w:type="spellEnd"/>
      <w:r w:rsidRPr="008F5337">
        <w:rPr>
          <w:rStyle w:val="StyleUnderline"/>
        </w:rPr>
        <w:t xml:space="preserve">, noted that under it, </w:t>
      </w:r>
      <w:r w:rsidRPr="005749BB">
        <w:rPr>
          <w:rStyle w:val="StyleUnderline"/>
          <w:highlight w:val="green"/>
        </w:rPr>
        <w:t>“[A]n individual acting on his own</w:t>
      </w:r>
      <w:r w:rsidRPr="008F5337">
        <w:rPr>
          <w:rStyle w:val="StyleUnderline"/>
        </w:rPr>
        <w:t xml:space="preserve"> </w:t>
      </w:r>
      <w:r w:rsidRPr="005749BB">
        <w:rPr>
          <w:rStyle w:val="StyleUnderline"/>
          <w:highlight w:val="green"/>
        </w:rPr>
        <w:t>behalf</w:t>
      </w:r>
      <w:r w:rsidRPr="008F5337">
        <w:rPr>
          <w:rStyle w:val="StyleUnderline"/>
        </w:rPr>
        <w:t xml:space="preserve"> or on behalf of another individual </w:t>
      </w:r>
      <w:r w:rsidRPr="005749BB">
        <w:rPr>
          <w:rStyle w:val="StyleUnderline"/>
          <w:highlight w:val="green"/>
        </w:rPr>
        <w:t>or a private association</w:t>
      </w:r>
      <w:r w:rsidRPr="008F5337">
        <w:rPr>
          <w:rStyle w:val="StyleUnderline"/>
        </w:rPr>
        <w:t xml:space="preserve"> or an international organization </w:t>
      </w:r>
      <w:r w:rsidRPr="005749BB">
        <w:rPr>
          <w:rStyle w:val="StyleUnderline"/>
          <w:highlight w:val="green"/>
        </w:rPr>
        <w:t>could</w:t>
      </w:r>
      <w:r w:rsidRPr="008F5337">
        <w:rPr>
          <w:rStyle w:val="StyleUnderline"/>
        </w:rPr>
        <w:t xml:space="preserve"> </w:t>
      </w:r>
      <w:r w:rsidRPr="005749BB">
        <w:rPr>
          <w:rStyle w:val="StyleUnderline"/>
          <w:highlight w:val="green"/>
        </w:rPr>
        <w:t>lawfully appropriate any part of outer space</w:t>
      </w:r>
      <w:r w:rsidRPr="008F5337">
        <w:rPr>
          <w:rStyle w:val="StyleUnderline"/>
        </w:rPr>
        <w:t>, including the [M]</w:t>
      </w:r>
      <w:proofErr w:type="spellStart"/>
      <w:r w:rsidRPr="008F5337">
        <w:rPr>
          <w:rStyle w:val="StyleUnderline"/>
        </w:rPr>
        <w:t>oon</w:t>
      </w:r>
      <w:proofErr w:type="spellEnd"/>
      <w:r w:rsidRPr="008F5337">
        <w:rPr>
          <w:rStyle w:val="StyleUnderline"/>
        </w:rPr>
        <w:t xml:space="preserve"> and other celestial bodies.”32 This clearly provides support for the concept of individual claims off planet under Article II.</w:t>
      </w:r>
      <w:r w:rsidRPr="005615EB">
        <w:rPr>
          <w:rStyle w:val="StyleUnderline"/>
        </w:rPr>
        <w:t xml:space="preserve"> </w:t>
      </w:r>
    </w:p>
    <w:p w14:paraId="5A76A182" w14:textId="77777777" w:rsidR="00C87FDE" w:rsidRPr="00C87FDE" w:rsidRDefault="00C87FDE" w:rsidP="00C87FDE"/>
    <w:sectPr w:rsidR="00C87FDE" w:rsidRPr="00C87F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4626"/>
    <w:rsid w:val="00004C64"/>
    <w:rsid w:val="000139A3"/>
    <w:rsid w:val="00084F9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016F"/>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A7AE4"/>
    <w:rsid w:val="007F5B66"/>
    <w:rsid w:val="00823A1C"/>
    <w:rsid w:val="00845B9D"/>
    <w:rsid w:val="00860984"/>
    <w:rsid w:val="00880C40"/>
    <w:rsid w:val="008B3ECB"/>
    <w:rsid w:val="008B4E85"/>
    <w:rsid w:val="008C1B2E"/>
    <w:rsid w:val="008C3D21"/>
    <w:rsid w:val="008F355D"/>
    <w:rsid w:val="0091627E"/>
    <w:rsid w:val="0097032B"/>
    <w:rsid w:val="009D291C"/>
    <w:rsid w:val="009D2EAD"/>
    <w:rsid w:val="009D54B2"/>
    <w:rsid w:val="009E1922"/>
    <w:rsid w:val="009F7ED2"/>
    <w:rsid w:val="00A93661"/>
    <w:rsid w:val="00A95652"/>
    <w:rsid w:val="00AC0AB8"/>
    <w:rsid w:val="00B33C6D"/>
    <w:rsid w:val="00B4508F"/>
    <w:rsid w:val="00B55AD5"/>
    <w:rsid w:val="00B574BA"/>
    <w:rsid w:val="00B8057C"/>
    <w:rsid w:val="00BD6238"/>
    <w:rsid w:val="00BF593B"/>
    <w:rsid w:val="00BF773A"/>
    <w:rsid w:val="00BF7E81"/>
    <w:rsid w:val="00C13773"/>
    <w:rsid w:val="00C17CC8"/>
    <w:rsid w:val="00C83417"/>
    <w:rsid w:val="00C87FDE"/>
    <w:rsid w:val="00C93C15"/>
    <w:rsid w:val="00C9604F"/>
    <w:rsid w:val="00CA19AA"/>
    <w:rsid w:val="00CC5298"/>
    <w:rsid w:val="00CD736E"/>
    <w:rsid w:val="00CD798D"/>
    <w:rsid w:val="00CE161E"/>
    <w:rsid w:val="00CE37CA"/>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462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642D5"/>
  <w15:chartTrackingRefBased/>
  <w15:docId w15:val="{4F90B1E7-86D9-4E27-8A72-D93FF98F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4626"/>
    <w:rPr>
      <w:rFonts w:ascii="Calibri" w:hAnsi="Calibri" w:cs="Calibri"/>
    </w:rPr>
  </w:style>
  <w:style w:type="paragraph" w:styleId="Heading1">
    <w:name w:val="heading 1"/>
    <w:aliases w:val="Pocket"/>
    <w:basedOn w:val="Normal"/>
    <w:next w:val="Normal"/>
    <w:link w:val="Heading1Char"/>
    <w:qFormat/>
    <w:rsid w:val="00F146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46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46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
    <w:basedOn w:val="Normal"/>
    <w:next w:val="Normal"/>
    <w:link w:val="Heading4Char"/>
    <w:uiPriority w:val="3"/>
    <w:unhideWhenUsed/>
    <w:qFormat/>
    <w:rsid w:val="00F146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46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626"/>
  </w:style>
  <w:style w:type="character" w:customStyle="1" w:styleId="Heading1Char">
    <w:name w:val="Heading 1 Char"/>
    <w:aliases w:val="Pocket Char"/>
    <w:basedOn w:val="DefaultParagraphFont"/>
    <w:link w:val="Heading1"/>
    <w:rsid w:val="00F146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46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462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F1462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146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462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1462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F14626"/>
    <w:rPr>
      <w:color w:val="auto"/>
      <w:u w:val="none"/>
    </w:rPr>
  </w:style>
  <w:style w:type="character" w:styleId="FollowedHyperlink">
    <w:name w:val="FollowedHyperlink"/>
    <w:basedOn w:val="DefaultParagraphFont"/>
    <w:uiPriority w:val="99"/>
    <w:semiHidden/>
    <w:unhideWhenUsed/>
    <w:rsid w:val="00F14626"/>
    <w:rPr>
      <w:color w:val="auto"/>
      <w:u w:val="none"/>
    </w:rPr>
  </w:style>
  <w:style w:type="paragraph" w:customStyle="1" w:styleId="textbold">
    <w:name w:val="text bold"/>
    <w:basedOn w:val="Normal"/>
    <w:link w:val="Emphasis"/>
    <w:uiPriority w:val="7"/>
    <w:qFormat/>
    <w:rsid w:val="007A7AE4"/>
    <w:pPr>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7A7A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ei.org/wp-content/uploads/2012/04/Rand-Simberg-Homesteading-the-Final-Frontie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2476</Words>
  <Characters>14114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12</cp:revision>
  <dcterms:created xsi:type="dcterms:W3CDTF">2021-12-18T15:38:00Z</dcterms:created>
  <dcterms:modified xsi:type="dcterms:W3CDTF">2021-12-18T15:54:00Z</dcterms:modified>
</cp:coreProperties>
</file>