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03E5" w14:textId="77777777" w:rsidR="00631FC0" w:rsidRPr="00631FC0" w:rsidRDefault="00631FC0" w:rsidP="00631FC0"/>
    <w:p w14:paraId="18C6922B" w14:textId="77777777" w:rsidR="000937B6" w:rsidRDefault="000937B6" w:rsidP="000937B6">
      <w:pPr>
        <w:pStyle w:val="Heading3"/>
      </w:pPr>
      <w:r>
        <w:t>FW</w:t>
      </w:r>
    </w:p>
    <w:p w14:paraId="7F41DE84" w14:textId="77777777" w:rsidR="008D2338" w:rsidRDefault="008D2338" w:rsidP="008D2338"/>
    <w:p w14:paraId="7456A231" w14:textId="640081F5" w:rsidR="008D2338" w:rsidRPr="006B3EBD" w:rsidRDefault="008D2338" w:rsidP="008D2338">
      <w:pPr>
        <w:pStyle w:val="Heading4"/>
      </w:pPr>
      <w:r>
        <w:t>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fw are arbitrary.</w:t>
      </w:r>
    </w:p>
    <w:p w14:paraId="3A9921AB" w14:textId="77777777" w:rsidR="008D2338" w:rsidRDefault="008D2338" w:rsidP="008D2338">
      <w:pPr>
        <w:pStyle w:val="Heading4"/>
      </w:pPr>
      <w:r>
        <w:t>Constitutivism solves – it allows for universal obligations among all agents but they are binding and cannot be opted out of.</w:t>
      </w:r>
    </w:p>
    <w:p w14:paraId="1FAD7E4E" w14:textId="77777777" w:rsidR="008D2338" w:rsidRPr="007A71B9" w:rsidRDefault="008D2338" w:rsidP="008D2338"/>
    <w:p w14:paraId="5DD3405D" w14:textId="77777777" w:rsidR="008D2338" w:rsidRDefault="008D2338" w:rsidP="008D2338">
      <w:pPr>
        <w:pStyle w:val="Heading4"/>
      </w:pPr>
      <w:r>
        <w:t>Next, only practical reason is constitutive:</w:t>
      </w:r>
    </w:p>
    <w:p w14:paraId="0C591B50" w14:textId="77777777" w:rsidR="008D2338" w:rsidRDefault="008D2338" w:rsidP="008D2338">
      <w:pPr>
        <w:pStyle w:val="Heading4"/>
      </w:pPr>
      <w:r>
        <w:t>[1] Regress – to question why one should reason concedes its authority since it is an act of reasoning itself which proves it’s binding and inescapable</w:t>
      </w:r>
    </w:p>
    <w:p w14:paraId="51797246" w14:textId="77777777" w:rsidR="008D2338" w:rsidRDefault="008D2338" w:rsidP="008D2338">
      <w:pPr>
        <w:pStyle w:val="Heading4"/>
      </w:pPr>
      <w:r>
        <w:t>[2] Agents can shift between different identities but doing so requires reason - it unifies the subject and is the only enterprise agents cannot escape</w:t>
      </w:r>
    </w:p>
    <w:p w14:paraId="3B21D9B2" w14:textId="77777777" w:rsidR="008D2338" w:rsidRPr="00E63F3E" w:rsidRDefault="008D2338" w:rsidP="008D2338">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CA95B95" w14:textId="77777777" w:rsidR="008D2338" w:rsidRDefault="008D2338" w:rsidP="008D2338">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82B1568" w14:textId="77777777" w:rsidR="008D2338" w:rsidRPr="0051320E" w:rsidRDefault="008D2338" w:rsidP="008D2338"/>
    <w:p w14:paraId="17E10C0D" w14:textId="77777777" w:rsidR="008D2338" w:rsidRDefault="008D2338" w:rsidP="008D2338">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F981D53" w14:textId="77777777" w:rsidR="008D2338" w:rsidRDefault="008D2338" w:rsidP="008D2338">
      <w:pPr>
        <w:pStyle w:val="Heading4"/>
      </w:pPr>
    </w:p>
    <w:p w14:paraId="79A9C161" w14:textId="77777777" w:rsidR="008D2338" w:rsidRPr="000129EE" w:rsidRDefault="008D2338" w:rsidP="008D2338">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006CAA57" w14:textId="77777777" w:rsidR="008D2338" w:rsidRPr="000129EE" w:rsidRDefault="008D2338" w:rsidP="008D2338">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63CF8812" w14:textId="77777777" w:rsidR="008D2338" w:rsidRPr="00D7645A" w:rsidRDefault="008D2338" w:rsidP="008D2338">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BA40AC9" w14:textId="77777777" w:rsidR="008D2338" w:rsidRDefault="008D2338" w:rsidP="008D2338">
      <w:pPr>
        <w:pStyle w:val="Heading4"/>
      </w:pPr>
    </w:p>
    <w:p w14:paraId="4F3E83B5" w14:textId="77777777" w:rsidR="008D2338" w:rsidRDefault="008D2338" w:rsidP="008D2338">
      <w:pPr>
        <w:pStyle w:val="Heading4"/>
      </w:pPr>
      <w:r w:rsidRPr="001B1B98">
        <w:t xml:space="preserve">Thus, the standard is </w:t>
      </w:r>
      <w:r>
        <w:t>reducing interference</w:t>
      </w:r>
      <w:r w:rsidRPr="001B1B98">
        <w:t>.</w:t>
      </w:r>
      <w:r>
        <w:t xml:space="preserve"> </w:t>
      </w:r>
    </w:p>
    <w:p w14:paraId="2C4F838F" w14:textId="77777777" w:rsidR="008D2338" w:rsidRDefault="008D2338" w:rsidP="008D2338"/>
    <w:p w14:paraId="0176BF66" w14:textId="77777777" w:rsidR="008D2338" w:rsidRPr="001B1B98" w:rsidRDefault="008D2338" w:rsidP="008D2338">
      <w:pPr>
        <w:pStyle w:val="Heading4"/>
      </w:pPr>
      <w:r>
        <w:t>Impact calc: Intentions first – only the intention in pursuing a certain end is relevant when considering whether or not it is universalizable. Prefer additionally:</w:t>
      </w:r>
    </w:p>
    <w:p w14:paraId="4399533E" w14:textId="7B8C997D" w:rsidR="008D2338" w:rsidRDefault="008D2338" w:rsidP="008D2338">
      <w:pPr>
        <w:pStyle w:val="Heading4"/>
      </w:pPr>
      <w:r>
        <w:t>[</w:t>
      </w:r>
      <w:r>
        <w:t>1</w:t>
      </w:r>
      <w:r>
        <w:t>] A posteriori ethics fail:</w:t>
      </w:r>
    </w:p>
    <w:p w14:paraId="6C1B4B49" w14:textId="77777777" w:rsidR="008D2338" w:rsidRPr="00DC394B" w:rsidRDefault="008D2338" w:rsidP="008D2338">
      <w:pPr>
        <w:pStyle w:val="Heading4"/>
      </w:pPr>
      <w:r>
        <w:t xml:space="preserve">[a] </w:t>
      </w:r>
      <w:r w:rsidRPr="00DC394B">
        <w:t>Problem of induction</w:t>
      </w:r>
    </w:p>
    <w:p w14:paraId="6E242C0C" w14:textId="77777777" w:rsidR="008D2338" w:rsidRPr="00DC394B" w:rsidRDefault="008D2338" w:rsidP="008D2338">
      <w:r w:rsidRPr="00DC394B">
        <w:rPr>
          <w:rStyle w:val="Heading4Char"/>
        </w:rPr>
        <w:t>Vickers 14</w:t>
      </w:r>
      <w:r w:rsidRPr="00DC394B">
        <w:t>, John Vickers, 2014, The Problem of Induction, https://plato.stanford.edu/entries/induction-problem/</w:t>
      </w:r>
    </w:p>
    <w:p w14:paraId="7CBAC45D" w14:textId="77777777" w:rsidR="008D2338" w:rsidRDefault="008D2338" w:rsidP="008D2338">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240C154E" w14:textId="77777777" w:rsidR="008D2338" w:rsidRPr="00331D90" w:rsidRDefault="008D2338" w:rsidP="008D2338">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E9A0C00" w14:textId="77777777" w:rsidR="008D2338" w:rsidRDefault="008D2338" w:rsidP="008D2338">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DAC271F" w14:textId="639743F2" w:rsidR="008D2338" w:rsidRDefault="008D2338" w:rsidP="008D2338">
      <w:pPr>
        <w:pStyle w:val="Heading4"/>
        <w:rPr>
          <w:rFonts w:asciiTheme="minorHAnsi" w:hAnsiTheme="minorHAnsi" w:cstheme="minorHAnsi"/>
        </w:rPr>
      </w:pPr>
      <w:r>
        <w:rPr>
          <w:rFonts w:eastAsia="Times New Roman"/>
          <w:bCs/>
          <w:color w:val="000000" w:themeColor="text1"/>
          <w:szCs w:val="26"/>
        </w:rPr>
        <w:t>[</w:t>
      </w:r>
      <w:r>
        <w:rPr>
          <w:rFonts w:eastAsia="Times New Roman"/>
          <w:b w:val="0"/>
          <w:bCs/>
          <w:color w:val="000000" w:themeColor="text1"/>
          <w:szCs w:val="26"/>
        </w:rPr>
        <w:t>2]</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1705A6F3" w14:textId="3065A6BB" w:rsidR="008D2338" w:rsidRDefault="008D2338" w:rsidP="008D2338"/>
    <w:p w14:paraId="4EE263A9" w14:textId="5E314160" w:rsidR="008D2338" w:rsidRPr="00702E59" w:rsidRDefault="008D2338" w:rsidP="008D2338">
      <w:r>
        <w:rPr>
          <w:b/>
          <w:bCs/>
          <w:color w:val="000000"/>
          <w:sz w:val="26"/>
          <w:szCs w:val="26"/>
        </w:rPr>
        <w:t>[</w:t>
      </w:r>
      <w:r w:rsidR="007C737D">
        <w:rPr>
          <w:b/>
          <w:bCs/>
          <w:color w:val="000000"/>
          <w:sz w:val="26"/>
          <w:szCs w:val="26"/>
        </w:rPr>
        <w:t>3</w:t>
      </w:r>
      <w:r>
        <w:rPr>
          <w:b/>
          <w:bCs/>
          <w:color w:val="000000"/>
          <w:sz w:val="26"/>
          <w:szCs w:val="26"/>
        </w:rPr>
        <w:t>]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5E162AC0" w14:textId="77777777" w:rsidR="008D2338" w:rsidRDefault="008D2338" w:rsidP="008D2338">
      <w:pPr>
        <w:spacing w:after="0" w:line="240" w:lineRule="auto"/>
        <w:rPr>
          <w:rStyle w:val="Emphasis"/>
          <w:sz w:val="26"/>
          <w:u w:val="none"/>
        </w:rPr>
      </w:pPr>
    </w:p>
    <w:p w14:paraId="1372F838" w14:textId="50DD24CC" w:rsidR="008D2338" w:rsidRPr="001B1B98" w:rsidRDefault="008D2338" w:rsidP="008D2338">
      <w:pPr>
        <w:spacing w:after="0" w:line="240" w:lineRule="auto"/>
        <w:rPr>
          <w:rFonts w:eastAsia="Times New Roman"/>
          <w:b/>
          <w:bCs/>
          <w:sz w:val="26"/>
          <w:szCs w:val="26"/>
        </w:rPr>
      </w:pPr>
      <w:r>
        <w:rPr>
          <w:rStyle w:val="Emphasis"/>
          <w:sz w:val="26"/>
          <w:u w:val="none"/>
        </w:rPr>
        <w:t>[</w:t>
      </w:r>
      <w:r w:rsidR="007C737D">
        <w:rPr>
          <w:rStyle w:val="Emphasis"/>
          <w:sz w:val="26"/>
          <w:u w:val="none"/>
        </w:rPr>
        <w:t>4</w:t>
      </w:r>
      <w:r>
        <w:rPr>
          <w:rStyle w:val="Emphasis"/>
          <w:sz w:val="26"/>
          <w:u w:val="none"/>
        </w:rPr>
        <w:t xml:space="preserve">]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3CA94879" w14:textId="77777777" w:rsidR="008D2338" w:rsidRPr="00331D90" w:rsidRDefault="008D2338" w:rsidP="008D2338">
      <w:pPr>
        <w:pStyle w:val="Heading4"/>
        <w:rPr>
          <w:rStyle w:val="Emphasis"/>
          <w:sz w:val="26"/>
          <w:u w:val="none"/>
        </w:rPr>
      </w:pPr>
    </w:p>
    <w:p w14:paraId="454E126A" w14:textId="77777777" w:rsidR="008D2338" w:rsidRPr="004E0F91" w:rsidRDefault="008D2338" w:rsidP="008D2338">
      <w:pPr>
        <w:pStyle w:val="Heading4"/>
        <w:rPr>
          <w:rStyle w:val="Emphasis"/>
          <w:b/>
          <w:iCs/>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etc </w:t>
      </w:r>
      <w:r w:rsidRPr="0014547F">
        <w:t>as long as I don’t abandon my maxim</w:t>
      </w:r>
      <w:r>
        <w:t>.</w:t>
      </w:r>
      <w:r w:rsidRPr="0014547F">
        <w:t xml:space="preserve"> </w:t>
      </w:r>
      <w:r>
        <w:t>For now enforcement is removing trips plus, and I defend all member nations and all medicines – ill defend certain nations or medicines though cuz its irrelevant under the fw</w:t>
      </w:r>
    </w:p>
    <w:p w14:paraId="5F2538C9" w14:textId="77777777" w:rsidR="008D2338" w:rsidRDefault="008D2338" w:rsidP="008D2338">
      <w:pPr>
        <w:pStyle w:val="Heading4"/>
      </w:pPr>
    </w:p>
    <w:p w14:paraId="32004D6A" w14:textId="77777777" w:rsidR="008D2338" w:rsidRPr="00224FE3" w:rsidRDefault="008D2338" w:rsidP="008D2338">
      <w:pPr>
        <w:rPr>
          <w:b/>
          <w:bCs/>
          <w:sz w:val="26"/>
          <w:szCs w:val="26"/>
        </w:rPr>
      </w:pPr>
      <w:r w:rsidRPr="00224FE3">
        <w:rPr>
          <w:b/>
          <w:bCs/>
          <w:sz w:val="26"/>
          <w:szCs w:val="26"/>
        </w:rPr>
        <w:t>Oxford defines:</w:t>
      </w:r>
    </w:p>
    <w:p w14:paraId="50A69F8B" w14:textId="77777777" w:rsidR="008D2338" w:rsidRPr="00224FE3" w:rsidRDefault="008D2338" w:rsidP="008D2338">
      <w:pPr>
        <w:spacing w:after="0" w:line="240" w:lineRule="auto"/>
        <w:rPr>
          <w:rFonts w:eastAsia="Times New Roman"/>
          <w:b/>
          <w:bCs/>
          <w:color w:val="202124"/>
          <w:sz w:val="26"/>
          <w:szCs w:val="26"/>
          <w:shd w:val="clear" w:color="auto" w:fill="FFFFFF"/>
        </w:rPr>
      </w:pPr>
      <w:r w:rsidRPr="00224FE3">
        <w:rPr>
          <w:b/>
          <w:bCs/>
          <w:sz w:val="26"/>
          <w:szCs w:val="26"/>
        </w:rPr>
        <w:t>Member as “</w:t>
      </w:r>
      <w:r w:rsidRPr="004D0DF0">
        <w:rPr>
          <w:rFonts w:eastAsia="Times New Roman"/>
          <w:b/>
          <w:bCs/>
          <w:sz w:val="26"/>
          <w:szCs w:val="26"/>
          <w:shd w:val="clear" w:color="auto" w:fill="FFFFFF"/>
        </w:rPr>
        <w:t xml:space="preserve">a </w:t>
      </w:r>
      <w:r w:rsidRPr="004D0DF0">
        <w:rPr>
          <w:rFonts w:eastAsia="Times New Roman"/>
          <w:b/>
          <w:bCs/>
          <w:sz w:val="26"/>
          <w:szCs w:val="26"/>
          <w:highlight w:val="green"/>
          <w:shd w:val="clear" w:color="auto" w:fill="FFFFFF"/>
        </w:rPr>
        <w:t>person, country, or organization that has joined a group</w:t>
      </w:r>
      <w:r w:rsidRPr="004D0DF0">
        <w:rPr>
          <w:rFonts w:eastAsia="Times New Roman"/>
          <w:b/>
          <w:bCs/>
          <w:sz w:val="26"/>
          <w:szCs w:val="26"/>
          <w:shd w:val="clear" w:color="auto" w:fill="FFFFFF"/>
        </w:rPr>
        <w:t>, society, or team.</w:t>
      </w:r>
      <w:r w:rsidRPr="00224FE3">
        <w:rPr>
          <w:rFonts w:eastAsia="Times New Roman"/>
          <w:b/>
          <w:bCs/>
          <w:color w:val="202124"/>
          <w:sz w:val="26"/>
          <w:szCs w:val="26"/>
          <w:shd w:val="clear" w:color="auto" w:fill="FFFFFF"/>
        </w:rPr>
        <w:t>”</w:t>
      </w:r>
    </w:p>
    <w:p w14:paraId="23436EA4" w14:textId="77777777" w:rsidR="008D2338" w:rsidRPr="00224FE3" w:rsidRDefault="008D2338" w:rsidP="008D2338">
      <w:pPr>
        <w:spacing w:after="0" w:line="240" w:lineRule="auto"/>
        <w:rPr>
          <w:rFonts w:eastAsia="Times New Roman"/>
          <w:b/>
          <w:bCs/>
          <w:color w:val="202124"/>
          <w:sz w:val="26"/>
          <w:szCs w:val="26"/>
          <w:shd w:val="clear" w:color="auto" w:fill="FFFFFF"/>
        </w:rPr>
      </w:pPr>
    </w:p>
    <w:p w14:paraId="6CF84691" w14:textId="77777777" w:rsidR="008D2338" w:rsidRDefault="008D2338" w:rsidP="008D2338">
      <w:pPr>
        <w:spacing w:after="0" w:line="240" w:lineRule="auto"/>
        <w:rPr>
          <w:rFonts w:eastAsia="Times New Roman"/>
          <w:b/>
          <w:bCs/>
          <w:color w:val="202124"/>
          <w:sz w:val="26"/>
          <w:szCs w:val="26"/>
          <w:shd w:val="clear" w:color="auto" w:fill="FFFFFF"/>
        </w:rPr>
      </w:pPr>
      <w:r w:rsidRPr="00224FE3">
        <w:rPr>
          <w:rFonts w:eastAsia="Times New Roman"/>
          <w:b/>
          <w:bCs/>
          <w:color w:val="202124"/>
          <w:sz w:val="26"/>
          <w:szCs w:val="26"/>
          <w:shd w:val="clear" w:color="auto" w:fill="FFFFFF"/>
        </w:rPr>
        <w:t>Nation as “</w:t>
      </w:r>
      <w:r w:rsidRPr="004D0DF0">
        <w:rPr>
          <w:rFonts w:eastAsia="Times New Roman"/>
          <w:b/>
          <w:bCs/>
          <w:color w:val="202124"/>
          <w:sz w:val="26"/>
          <w:szCs w:val="26"/>
          <w:highlight w:val="green"/>
          <w:shd w:val="clear" w:color="auto" w:fill="FFFFFF"/>
        </w:rPr>
        <w:t>a large body of people</w:t>
      </w:r>
      <w:r w:rsidRPr="00224FE3">
        <w:rPr>
          <w:rFonts w:eastAsia="Times New Roman"/>
          <w:b/>
          <w:bCs/>
          <w:color w:val="202124"/>
          <w:sz w:val="26"/>
          <w:szCs w:val="26"/>
          <w:shd w:val="clear" w:color="auto" w:fill="FFFFFF"/>
        </w:rPr>
        <w:t xml:space="preserve"> united by common descent, history, culture, or language, </w:t>
      </w:r>
      <w:r w:rsidRPr="004D0DF0">
        <w:rPr>
          <w:rFonts w:eastAsia="Times New Roman"/>
          <w:b/>
          <w:bCs/>
          <w:color w:val="202124"/>
          <w:sz w:val="26"/>
          <w:szCs w:val="26"/>
          <w:highlight w:val="green"/>
          <w:shd w:val="clear" w:color="auto" w:fill="FFFFFF"/>
        </w:rPr>
        <w:t xml:space="preserve">inhabiting a </w:t>
      </w:r>
      <w:r w:rsidRPr="004D0DF0">
        <w:rPr>
          <w:rFonts w:eastAsia="Times New Roman"/>
          <w:b/>
          <w:bCs/>
          <w:color w:val="202124"/>
          <w:sz w:val="26"/>
          <w:szCs w:val="26"/>
          <w:shd w:val="clear" w:color="auto" w:fill="FFFFFF"/>
        </w:rPr>
        <w:t xml:space="preserve">particular </w:t>
      </w:r>
      <w:r w:rsidRPr="004D0DF0">
        <w:rPr>
          <w:rFonts w:eastAsia="Times New Roman"/>
          <w:b/>
          <w:bCs/>
          <w:color w:val="202124"/>
          <w:sz w:val="26"/>
          <w:szCs w:val="26"/>
          <w:highlight w:val="green"/>
          <w:shd w:val="clear" w:color="auto" w:fill="FFFFFF"/>
        </w:rPr>
        <w:t>country or territory</w:t>
      </w:r>
      <w:r w:rsidRPr="00224FE3">
        <w:rPr>
          <w:rFonts w:eastAsia="Times New Roman"/>
          <w:b/>
          <w:bCs/>
          <w:color w:val="202124"/>
          <w:sz w:val="26"/>
          <w:szCs w:val="26"/>
          <w:shd w:val="clear" w:color="auto" w:fill="FFFFFF"/>
        </w:rPr>
        <w:t>.”</w:t>
      </w:r>
    </w:p>
    <w:p w14:paraId="0BB82356" w14:textId="77777777" w:rsidR="008D2338" w:rsidRDefault="008D2338" w:rsidP="008D2338">
      <w:pPr>
        <w:spacing w:after="0" w:line="240" w:lineRule="auto"/>
        <w:rPr>
          <w:rFonts w:eastAsia="Times New Roman"/>
          <w:b/>
          <w:bCs/>
          <w:color w:val="202124"/>
          <w:sz w:val="26"/>
          <w:szCs w:val="26"/>
          <w:shd w:val="clear" w:color="auto" w:fill="FFFFFF"/>
        </w:rPr>
      </w:pPr>
    </w:p>
    <w:p w14:paraId="32305B0E" w14:textId="77777777" w:rsidR="008D2338" w:rsidRDefault="008D2338" w:rsidP="008D2338">
      <w:pPr>
        <w:pStyle w:val="Heading4"/>
      </w:pPr>
      <w:r w:rsidRPr="004D0DF0">
        <w:t>Reduce as “</w:t>
      </w:r>
      <w:r w:rsidRPr="004D0DF0">
        <w:rPr>
          <w:highlight w:val="green"/>
        </w:rPr>
        <w:t>make smaller or less</w:t>
      </w:r>
      <w:r w:rsidRPr="004D0DF0">
        <w:t xml:space="preserve"> in amount, degree, or size.”</w:t>
      </w:r>
    </w:p>
    <w:p w14:paraId="04220680" w14:textId="77777777" w:rsidR="008D2338" w:rsidRDefault="008D2338" w:rsidP="008D2338"/>
    <w:p w14:paraId="28600AE2" w14:textId="77777777" w:rsidR="008D2338" w:rsidRPr="0074026E" w:rsidRDefault="008D2338" w:rsidP="008D2338">
      <w:pPr>
        <w:pStyle w:val="Heading4"/>
        <w:rPr>
          <w:rFonts w:ascii="Times New Roman" w:hAnsi="Times New Roman" w:cs="Times New Roman"/>
          <w:sz w:val="24"/>
        </w:rPr>
      </w:pPr>
      <w:r w:rsidRPr="004D0DF0">
        <w:t>Medicine as “</w:t>
      </w:r>
      <w:r w:rsidRPr="004D0DF0">
        <w:rPr>
          <w:highlight w:val="green"/>
          <w:shd w:val="clear" w:color="auto" w:fill="FFFFFF"/>
        </w:rPr>
        <w:t>a compound</w:t>
      </w:r>
      <w:r w:rsidRPr="004D0DF0">
        <w:rPr>
          <w:shd w:val="clear" w:color="auto" w:fill="FFFFFF"/>
        </w:rPr>
        <w:t xml:space="preserve"> or preparation </w:t>
      </w:r>
      <w:r w:rsidRPr="004D0DF0">
        <w:rPr>
          <w:highlight w:val="green"/>
          <w:shd w:val="clear" w:color="auto" w:fill="FFFFFF"/>
        </w:rPr>
        <w:t>used for the treatment or prevention of disease</w:t>
      </w:r>
      <w:r w:rsidRPr="004D0DF0">
        <w:rPr>
          <w:shd w:val="clear" w:color="auto" w:fill="FFFFFF"/>
        </w:rPr>
        <w:t>”</w:t>
      </w:r>
    </w:p>
    <w:p w14:paraId="078E444A" w14:textId="77777777" w:rsidR="008D2338" w:rsidRPr="0074026E" w:rsidRDefault="008D2338" w:rsidP="008D2338"/>
    <w:p w14:paraId="77DE8998" w14:textId="77777777" w:rsidR="008D2338" w:rsidRPr="0074026E" w:rsidRDefault="008D2338" w:rsidP="008D2338">
      <w:pPr>
        <w:pStyle w:val="Heading4"/>
        <w:rPr>
          <w:rFonts w:ascii="Times New Roman" w:hAnsi="Times New Roman"/>
          <w:sz w:val="24"/>
        </w:rPr>
      </w:pPr>
      <w:r w:rsidRPr="004D0DF0">
        <w:rPr>
          <w:shd w:val="clear" w:color="auto" w:fill="FFFFFF"/>
        </w:rPr>
        <w:t>Intellectual Property Protection is defined as “</w:t>
      </w:r>
      <w:r w:rsidRPr="004D0DF0">
        <w:rPr>
          <w:highlight w:val="green"/>
          <w:shd w:val="clear" w:color="auto" w:fill="FFFFFF"/>
        </w:rPr>
        <w:t>protection for inventions</w:t>
      </w:r>
      <w:r w:rsidRPr="004D0DF0">
        <w:rPr>
          <w:shd w:val="clear" w:color="auto" w:fill="FFFFFF"/>
        </w:rPr>
        <w:t xml:space="preserve">, literary and artistic works, symbols, names, and images </w:t>
      </w:r>
      <w:r w:rsidRPr="004D0DF0">
        <w:rPr>
          <w:highlight w:val="green"/>
          <w:shd w:val="clear" w:color="auto" w:fill="FFFFFF"/>
        </w:rPr>
        <w:t>created by the mind.”</w:t>
      </w:r>
    </w:p>
    <w:p w14:paraId="2F518DB2" w14:textId="77777777" w:rsidR="008D2338" w:rsidRDefault="008D2338" w:rsidP="008D2338">
      <w:pPr>
        <w:spacing w:after="0" w:line="240" w:lineRule="auto"/>
        <w:rPr>
          <w:rFonts w:eastAsia="Times New Roman"/>
          <w:b/>
          <w:bCs/>
          <w:color w:val="202124"/>
          <w:sz w:val="26"/>
          <w:szCs w:val="26"/>
          <w:shd w:val="clear" w:color="auto" w:fill="FFFFFF"/>
        </w:rPr>
      </w:pPr>
    </w:p>
    <w:p w14:paraId="66B5BAB5" w14:textId="77777777" w:rsidR="008D2338" w:rsidRDefault="008D2338" w:rsidP="008D2338">
      <w:pPr>
        <w:spacing w:after="0" w:line="240" w:lineRule="auto"/>
        <w:rPr>
          <w:rFonts w:eastAsia="Times New Roman"/>
          <w:b/>
          <w:bCs/>
          <w:color w:val="202124"/>
          <w:sz w:val="26"/>
          <w:szCs w:val="26"/>
          <w:shd w:val="clear" w:color="auto" w:fill="FFFFFF"/>
        </w:rPr>
      </w:pPr>
    </w:p>
    <w:p w14:paraId="64C891CF" w14:textId="77777777" w:rsidR="008D2338" w:rsidRPr="00224FE3" w:rsidRDefault="008D2338" w:rsidP="008D2338">
      <w:pPr>
        <w:spacing w:after="0" w:line="240" w:lineRule="auto"/>
        <w:rPr>
          <w:rFonts w:eastAsia="Times New Roman"/>
          <w:b/>
          <w:bCs/>
          <w:color w:val="000000" w:themeColor="text1"/>
          <w:sz w:val="26"/>
          <w:szCs w:val="26"/>
          <w:shd w:val="clear" w:color="auto" w:fill="FFFFFF"/>
        </w:rPr>
      </w:pPr>
    </w:p>
    <w:p w14:paraId="09B63C8A" w14:textId="3B2CB666" w:rsidR="000937B6" w:rsidRDefault="008D2338" w:rsidP="008D2338">
      <w:pPr>
        <w:spacing w:after="0" w:line="240" w:lineRule="auto"/>
        <w:rPr>
          <w:rFonts w:eastAsia="Times New Roman"/>
          <w:b/>
          <w:bCs/>
          <w:color w:val="000000" w:themeColor="text1"/>
          <w:sz w:val="26"/>
          <w:szCs w:val="26"/>
        </w:rPr>
      </w:pPr>
      <w:r w:rsidRPr="004D0DF0">
        <w:rPr>
          <w:rFonts w:eastAsia="Times New Roman"/>
          <w:b/>
          <w:bCs/>
          <w:sz w:val="26"/>
          <w:szCs w:val="26"/>
          <w:shd w:val="clear" w:color="auto" w:fill="FFFFFF"/>
        </w:rPr>
        <w:t>World Trade Organization is “</w:t>
      </w:r>
      <w:r w:rsidRPr="004D0DF0">
        <w:rPr>
          <w:rFonts w:eastAsia="Times New Roman"/>
          <w:b/>
          <w:bCs/>
          <w:sz w:val="26"/>
          <w:szCs w:val="26"/>
          <w:highlight w:val="green"/>
          <w:shd w:val="clear" w:color="auto" w:fill="FFFFFF"/>
        </w:rPr>
        <w:t>an</w:t>
      </w:r>
      <w:r w:rsidRPr="004D0DF0">
        <w:rPr>
          <w:rFonts w:eastAsia="Times New Roman"/>
          <w:b/>
          <w:bCs/>
          <w:sz w:val="26"/>
          <w:szCs w:val="26"/>
          <w:shd w:val="clear" w:color="auto" w:fill="FFFFFF"/>
        </w:rPr>
        <w:t xml:space="preserve"> </w:t>
      </w:r>
      <w:r w:rsidRPr="004D0DF0">
        <w:rPr>
          <w:rFonts w:eastAsia="Times New Roman"/>
          <w:b/>
          <w:bCs/>
          <w:sz w:val="26"/>
          <w:szCs w:val="26"/>
          <w:highlight w:val="green"/>
          <w:shd w:val="clear" w:color="auto" w:fill="FFFFFF"/>
        </w:rPr>
        <w:t>intergovernmental</w:t>
      </w:r>
      <w:r w:rsidRPr="004D0DF0">
        <w:rPr>
          <w:rFonts w:eastAsia="Times New Roman"/>
          <w:b/>
          <w:bCs/>
          <w:sz w:val="26"/>
          <w:szCs w:val="26"/>
          <w:shd w:val="clear" w:color="auto" w:fill="FFFFFF"/>
        </w:rPr>
        <w:t xml:space="preserve"> </w:t>
      </w:r>
      <w:r w:rsidRPr="004D0DF0">
        <w:rPr>
          <w:rFonts w:eastAsia="Times New Roman"/>
          <w:b/>
          <w:bCs/>
          <w:sz w:val="26"/>
          <w:szCs w:val="26"/>
          <w:highlight w:val="green"/>
          <w:shd w:val="clear" w:color="auto" w:fill="FFFFFF"/>
        </w:rPr>
        <w:t>organization that regulates</w:t>
      </w:r>
      <w:r w:rsidRPr="004D0DF0">
        <w:rPr>
          <w:rFonts w:eastAsia="Times New Roman"/>
          <w:b/>
          <w:bCs/>
          <w:sz w:val="26"/>
          <w:szCs w:val="26"/>
          <w:shd w:val="clear" w:color="auto" w:fill="FFFFFF"/>
        </w:rPr>
        <w:t xml:space="preserve"> and facilitates </w:t>
      </w:r>
      <w:r w:rsidRPr="004D0DF0">
        <w:rPr>
          <w:rFonts w:eastAsia="Times New Roman"/>
          <w:b/>
          <w:bCs/>
          <w:sz w:val="26"/>
          <w:szCs w:val="26"/>
          <w:highlight w:val="green"/>
          <w:shd w:val="clear" w:color="auto" w:fill="FFFFFF"/>
        </w:rPr>
        <w:t xml:space="preserve">international trade </w:t>
      </w:r>
      <w:r w:rsidRPr="004D0DF0">
        <w:rPr>
          <w:rFonts w:eastAsia="Times New Roman"/>
          <w:b/>
          <w:bCs/>
          <w:sz w:val="26"/>
          <w:szCs w:val="26"/>
          <w:shd w:val="clear" w:color="auto" w:fill="FFFFFF"/>
        </w:rPr>
        <w:t>between nations.”</w:t>
      </w:r>
      <w:r>
        <w:rPr>
          <w:rFonts w:eastAsia="Times New Roman"/>
          <w:b/>
          <w:bCs/>
          <w:color w:val="000000" w:themeColor="text1"/>
          <w:sz w:val="26"/>
          <w:szCs w:val="26"/>
          <w:shd w:val="clear" w:color="auto" w:fill="FFFFFF"/>
        </w:rPr>
        <w:t xml:space="preserve"> </w:t>
      </w:r>
    </w:p>
    <w:p w14:paraId="3D5E416B" w14:textId="77777777" w:rsidR="008D2338" w:rsidRPr="008D2338" w:rsidRDefault="008D2338" w:rsidP="008D2338">
      <w:pPr>
        <w:spacing w:after="0" w:line="240" w:lineRule="auto"/>
        <w:rPr>
          <w:rFonts w:eastAsia="Times New Roman"/>
          <w:b/>
          <w:bCs/>
          <w:color w:val="000000" w:themeColor="text1"/>
          <w:sz w:val="26"/>
          <w:szCs w:val="26"/>
        </w:rPr>
      </w:pPr>
    </w:p>
    <w:p w14:paraId="2F3D22BF" w14:textId="77777777" w:rsidR="000937B6" w:rsidRDefault="000937B6" w:rsidP="000937B6">
      <w:pPr>
        <w:pStyle w:val="Heading3"/>
      </w:pPr>
      <w:r>
        <w:t>Offense</w:t>
      </w:r>
    </w:p>
    <w:p w14:paraId="576ABE18" w14:textId="77777777" w:rsidR="000937B6" w:rsidRDefault="000937B6" w:rsidP="000937B6"/>
    <w:p w14:paraId="350B8E37" w14:textId="77777777" w:rsidR="000937B6" w:rsidRDefault="000937B6" w:rsidP="000937B6">
      <w:pPr>
        <w:pStyle w:val="Heading4"/>
      </w:pPr>
      <w:r>
        <w:t>[1] IPP unjustifiably restricts agents from setting and pursuing ends in healthcare because patents prevent people from taking part in scientific advancements in medicine – that violates freedom in multiple ways</w:t>
      </w:r>
    </w:p>
    <w:p w14:paraId="175B9240" w14:textId="77777777" w:rsidR="000937B6" w:rsidRDefault="000937B6" w:rsidP="000937B6">
      <w:pPr>
        <w:spacing w:before="15" w:after="180" w:line="240" w:lineRule="auto"/>
        <w:rPr>
          <w:rFonts w:ascii="Times New Roman" w:eastAsia="Times New Roman" w:hAnsi="Times New Roman" w:cs="Times New Roman"/>
          <w:sz w:val="24"/>
        </w:rPr>
      </w:pPr>
      <w:r>
        <w:rPr>
          <w:rFonts w:eastAsia="Times New Roman"/>
          <w:b/>
          <w:bCs/>
          <w:sz w:val="26"/>
          <w:szCs w:val="26"/>
        </w:rPr>
        <w:t>Hale 18</w:t>
      </w:r>
      <w:r>
        <w:rPr>
          <w:rFonts w:eastAsia="Times New Roman"/>
        </w:rPr>
        <w:t> </w:t>
      </w:r>
      <w:r>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Pr>
            <w:rStyle w:val="Hyperlink"/>
            <w:rFonts w:ascii="Arial" w:eastAsia="Times New Roman" w:hAnsi="Arial" w:cs="Arial"/>
            <w:color w:val="000000"/>
            <w:u w:val="single"/>
          </w:rPr>
          <w:t>https://ualr.edu/socialchange/2018/04/04/patently-unfair/</w:t>
        </w:r>
      </w:hyperlink>
      <w:r>
        <w:rPr>
          <w:rFonts w:ascii="Arial" w:eastAsia="Times New Roman" w:hAnsi="Arial" w:cs="Arial"/>
        </w:rPr>
        <w:t>) BHHS AK</w:t>
      </w:r>
    </w:p>
    <w:p w14:paraId="2F06528E" w14:textId="77777777" w:rsidR="000937B6" w:rsidRDefault="000937B6" w:rsidP="000937B6">
      <w:pPr>
        <w:rPr>
          <w:rFonts w:eastAsiaTheme="minorEastAsia"/>
        </w:rPr>
      </w:pPr>
      <w:r>
        <w:t xml:space="preserve">Although the right to the protection of “moral and material interests resulting from any scientific, literary, or artistic production,”[32] is a human right as defined in the UDHR and the ICESCR, </w:t>
      </w:r>
      <w:r>
        <w:rPr>
          <w:u w:val="single"/>
        </w:rPr>
        <w:t xml:space="preserve">the current system of </w:t>
      </w:r>
      <w:r>
        <w:rPr>
          <w:highlight w:val="green"/>
          <w:u w:val="single"/>
        </w:rPr>
        <w:t>intellectual property protection</w:t>
      </w:r>
      <w:r>
        <w:rPr>
          <w:u w:val="single"/>
        </w:rPr>
        <w:t xml:space="preserve"> conflicts with and even </w:t>
      </w:r>
      <w:r>
        <w:rPr>
          <w:highlight w:val="green"/>
          <w:u w:val="single"/>
        </w:rPr>
        <w:t>violates</w:t>
      </w:r>
      <w:r>
        <w:rPr>
          <w:u w:val="single"/>
        </w:rPr>
        <w:t xml:space="preserve"> rights that are considered to be fundamental to human life. Although intellectual property instruments are certainly used to violate essential </w:t>
      </w:r>
      <w:r>
        <w:rPr>
          <w:highlight w:val="green"/>
          <w:u w:val="single"/>
        </w:rPr>
        <w:t>civil and political freedom</w:t>
      </w:r>
      <w:r>
        <w:rPr>
          <w:u w:val="single"/>
        </w:rPr>
        <w:t xml:space="preserve">s like the freedom </w:t>
      </w:r>
      <w:r>
        <w:rPr>
          <w:highlight w:val="green"/>
          <w:u w:val="single"/>
        </w:rPr>
        <w:t>of expression</w:t>
      </w:r>
      <w:r>
        <w:rPr>
          <w:u w:val="single"/>
        </w:rPr>
        <w:t xml:space="preserve">, and </w:t>
      </w:r>
      <w:r>
        <w:rPr>
          <w:highlight w:val="green"/>
          <w:u w:val="single"/>
        </w:rPr>
        <w:t>economic</w:t>
      </w:r>
      <w:r>
        <w:rPr>
          <w:u w:val="single"/>
        </w:rPr>
        <w:t xml:space="preserve"> and social </w:t>
      </w:r>
      <w:r>
        <w:rPr>
          <w:highlight w:val="green"/>
          <w:u w:val="single"/>
        </w:rPr>
        <w:t>freedom</w:t>
      </w:r>
      <w:r>
        <w:rPr>
          <w:u w:val="single"/>
        </w:rPr>
        <w:t xml:space="preserve">s like the </w:t>
      </w:r>
      <w:r>
        <w:rPr>
          <w:highlight w:val="green"/>
          <w:u w:val="single"/>
        </w:rPr>
        <w:t>freedom to share in the scientific advancements</w:t>
      </w:r>
      <w:r>
        <w:rPr>
          <w:u w:val="single"/>
        </w:rPr>
        <w:t xml:space="preserve"> of society, </w:t>
      </w:r>
      <w:r>
        <w:rPr>
          <w:highlight w:val="green"/>
          <w:u w:val="single"/>
        </w:rPr>
        <w:t>the most blatant violations</w:t>
      </w:r>
      <w:r>
        <w:rPr>
          <w:u w:val="single"/>
        </w:rPr>
        <w:t xml:space="preserve"> of human rights caused </w:t>
      </w:r>
      <w:r>
        <w:rPr>
          <w:highlight w:val="green"/>
          <w:u w:val="single"/>
        </w:rPr>
        <w:t>by intellectual property protection occur in</w:t>
      </w:r>
      <w:r>
        <w:rPr>
          <w:u w:val="single"/>
        </w:rPr>
        <w:t xml:space="preserve"> the fields of nutrition, </w:t>
      </w:r>
      <w:r>
        <w:rPr>
          <w:highlight w:val="green"/>
          <w:u w:val="single"/>
        </w:rPr>
        <w:t>healthcare</w:t>
      </w:r>
      <w:r>
        <w:rPr>
          <w:u w:val="single"/>
        </w:rPr>
        <w:t>, a</w:t>
      </w:r>
      <w:r>
        <w:rPr>
          <w:rStyle w:val="StyleUnderline"/>
        </w:rPr>
        <w:t>nd culture.[33] Of these essential entitlements, the rights to food and health are made even more significant by their relationship to the most fundamental of all human rights: the right to life.</w:t>
      </w:r>
    </w:p>
    <w:p w14:paraId="2099D8FF" w14:textId="77777777" w:rsidR="000937B6" w:rsidRDefault="000937B6" w:rsidP="000937B6"/>
    <w:p w14:paraId="49266615" w14:textId="77777777" w:rsidR="000937B6" w:rsidRDefault="000937B6" w:rsidP="000937B6">
      <w:pPr>
        <w:pStyle w:val="Heading4"/>
        <w:spacing w:before="0"/>
        <w:rPr>
          <w:rFonts w:ascii="Times New Roman" w:hAnsi="Times New Roman" w:cs="Times New Roman"/>
          <w:sz w:val="24"/>
        </w:rPr>
      </w:pPr>
      <w:r>
        <w:rPr>
          <w:rFonts w:cs="Calibri"/>
        </w:rPr>
        <w:t>[2] IPP is inconsistent with free market principles</w:t>
      </w:r>
    </w:p>
    <w:p w14:paraId="61271D5A" w14:textId="77777777" w:rsidR="000937B6" w:rsidRDefault="000937B6" w:rsidP="000937B6">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8" w:history="1">
        <w:r>
          <w:rPr>
            <w:rStyle w:val="Hyperlink"/>
            <w:rFonts w:ascii="Arial" w:eastAsiaTheme="majorEastAsia" w:hAnsi="Arial" w:cs="Arial"/>
            <w:color w:val="000000"/>
            <w:sz w:val="22"/>
            <w:szCs w:val="22"/>
            <w:u w:val="single"/>
          </w:rPr>
          <w:t>https://fee.org/articles/how-intellectual-property-hampers-the-free-market/</w:t>
        </w:r>
      </w:hyperlink>
      <w:r>
        <w:rPr>
          <w:rFonts w:ascii="Arial" w:hAnsi="Arial" w:cs="Arial"/>
          <w:sz w:val="22"/>
          <w:szCs w:val="22"/>
        </w:rPr>
        <w:t>) BHHS AK</w:t>
      </w:r>
    </w:p>
    <w:p w14:paraId="349DEAD9" w14:textId="77777777" w:rsidR="000937B6" w:rsidRDefault="000937B6" w:rsidP="000937B6">
      <w:pPr>
        <w:rPr>
          <w:rStyle w:val="StyleUnderline"/>
        </w:rPr>
      </w:pPr>
      <w:r>
        <w:rPr>
          <w:sz w:val="16"/>
        </w:rPr>
        <w:t xml:space="preserve">But are they? </w:t>
      </w:r>
      <w:r>
        <w:rPr>
          <w:rStyle w:val="StyleUnderline"/>
        </w:rPr>
        <w:t xml:space="preserve">There are good reasons to think that </w:t>
      </w:r>
      <w:r>
        <w:rPr>
          <w:rStyle w:val="StyleUnderline"/>
          <w:highlight w:val="green"/>
        </w:rPr>
        <w:t>IP is not</w:t>
      </w:r>
      <w:r>
        <w:rPr>
          <w:rStyle w:val="StyleUnderline"/>
        </w:rPr>
        <w:t xml:space="preserve"> actually </w:t>
      </w:r>
      <w:r>
        <w:rPr>
          <w:rStyle w:val="StyleUnderline"/>
          <w:highlight w:val="green"/>
        </w:rPr>
        <w:t>property</w:t>
      </w:r>
      <w:r>
        <w:rPr>
          <w:rStyle w:val="StyleUnderline"/>
        </w:rPr>
        <w:t xml:space="preserve">—that </w:t>
      </w:r>
      <w:r>
        <w:rPr>
          <w:rStyle w:val="StyleUnderline"/>
          <w:highlight w:val="green"/>
        </w:rPr>
        <w:t>it is</w:t>
      </w:r>
      <w:r>
        <w:rPr>
          <w:rStyle w:val="StyleUnderline"/>
        </w:rPr>
        <w:t xml:space="preserve"> actually </w:t>
      </w:r>
      <w:r>
        <w:rPr>
          <w:rStyle w:val="StyleUnderline"/>
          <w:highlight w:val="green"/>
        </w:rPr>
        <w:t>antithetical</w:t>
      </w:r>
      <w:r>
        <w:rPr>
          <w:rStyle w:val="StyleUnderline"/>
        </w:rPr>
        <w:t xml:space="preserve"> </w:t>
      </w:r>
      <w:r>
        <w:rPr>
          <w:rStyle w:val="StyleUnderline"/>
          <w:highlight w:val="green"/>
        </w:rPr>
        <w:t>to a</w:t>
      </w:r>
      <w:r>
        <w:rPr>
          <w:rStyle w:val="StyleUnderline"/>
        </w:rPr>
        <w:t xml:space="preserve"> private-property, </w:t>
      </w:r>
      <w:r>
        <w:rPr>
          <w:rStyle w:val="StyleUnderline"/>
          <w:highlight w:val="green"/>
        </w:rPr>
        <w:t>free-market</w:t>
      </w:r>
      <w:r>
        <w:rPr>
          <w:rStyle w:val="StyleUnderline"/>
        </w:rPr>
        <w:t xml:space="preserve"> order.</w:t>
      </w:r>
      <w:r>
        <w:rPr>
          <w:sz w:val="16"/>
        </w:rPr>
        <w:t xml:space="preserve"> </w:t>
      </w:r>
      <w:r>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Pr>
          <w:sz w:val="16"/>
        </w:rPr>
        <w:t xml:space="preserve"> </w:t>
      </w:r>
      <w:r>
        <w:rPr>
          <w:rStyle w:val="StyleUnderline"/>
        </w:rPr>
        <w:t xml:space="preserve">So </w:t>
      </w:r>
      <w:r>
        <w:rPr>
          <w:rStyle w:val="StyleUnderline"/>
          <w:highlight w:val="green"/>
        </w:rPr>
        <w:t>companies</w:t>
      </w:r>
      <w:r>
        <w:rPr>
          <w:rStyle w:val="StyleUnderline"/>
        </w:rPr>
        <w:t xml:space="preserve"> spend millions of dollars to </w:t>
      </w:r>
      <w:r>
        <w:rPr>
          <w:rStyle w:val="StyleUnderline"/>
          <w:highlight w:val="green"/>
        </w:rPr>
        <w:t>obtain patents for defensive purposes.</w:t>
      </w:r>
      <w:r>
        <w:rPr>
          <w:rStyle w:val="StyleUnderline"/>
        </w:rPr>
        <w:t xml:space="preserve"> </w:t>
      </w:r>
      <w:r>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Pr>
          <w:rStyle w:val="StyleUnderline"/>
        </w:rPr>
        <w:t xml:space="preserve">So </w:t>
      </w:r>
      <w:r>
        <w:rPr>
          <w:rStyle w:val="StyleUnderline"/>
          <w:highlight w:val="green"/>
        </w:rPr>
        <w:t>patents amount to a barrier to entry</w:t>
      </w:r>
      <w:r>
        <w:rPr>
          <w:rStyle w:val="StyleUnderline"/>
        </w:rPr>
        <w:t>, the modern version of mercantilist protectionism</w:t>
      </w:r>
      <w:r>
        <w:rPr>
          <w:sz w:val="16"/>
        </w:rPr>
        <w:t xml:space="preserve">. </w:t>
      </w:r>
      <w:r>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Pr>
          <w:sz w:val="16"/>
        </w:rPr>
        <w:t xml:space="preserve"> </w:t>
      </w:r>
      <w:r>
        <w:rPr>
          <w:rStyle w:val="StyleUnderline"/>
        </w:rPr>
        <w:t xml:space="preserve">In the case of patents we have a modern statute administered by a huge </w:t>
      </w:r>
      <w:r>
        <w:rPr>
          <w:rStyle w:val="StyleUnderline"/>
          <w:highlight w:val="green"/>
        </w:rPr>
        <w:t>federal bureaucracy</w:t>
      </w:r>
      <w:r>
        <w:rPr>
          <w:rStyle w:val="StyleUnderline"/>
        </w:rPr>
        <w:t xml:space="preserve"> that </w:t>
      </w:r>
      <w:r>
        <w:rPr>
          <w:rStyle w:val="StyleUnderline"/>
          <w:highlight w:val="green"/>
        </w:rPr>
        <w:t>grants monopolies</w:t>
      </w:r>
      <w:r>
        <w:rPr>
          <w:rStyle w:val="StyleUnderline"/>
        </w:rPr>
        <w:t xml:space="preserve"> on the production and trade of various things, which means </w:t>
      </w:r>
      <w:r>
        <w:rPr>
          <w:rStyle w:val="StyleUnderline"/>
          <w:highlight w:val="green"/>
        </w:rPr>
        <w:t>holders may</w:t>
      </w:r>
      <w:r>
        <w:rPr>
          <w:rStyle w:val="StyleUnderline"/>
        </w:rPr>
        <w:t xml:space="preserve"> ask the federal courts to </w:t>
      </w:r>
      <w:r>
        <w:rPr>
          <w:rStyle w:val="StyleUnderline"/>
          <w:highlight w:val="green"/>
        </w:rPr>
        <w:t>order the use of force to stop competitors</w:t>
      </w:r>
      <w:r>
        <w:rPr>
          <w:rStyle w:val="StyleUnderline"/>
        </w:rPr>
        <w:t xml:space="preserve">. But </w:t>
      </w:r>
      <w:r>
        <w:rPr>
          <w:rStyle w:val="StyleUnderline"/>
          <w:highlight w:val="green"/>
        </w:rPr>
        <w:t>the competitors have not done anything</w:t>
      </w:r>
      <w:r>
        <w:rPr>
          <w:rStyle w:val="StyleUnderline"/>
        </w:rPr>
        <w:t xml:space="preserve"> that justifies force. They merely have used information to guide their actions with respect to their own property. Is that compatible with private property and the free market?</w:t>
      </w:r>
    </w:p>
    <w:p w14:paraId="294768EA" w14:textId="77777777" w:rsidR="000937B6" w:rsidRDefault="000937B6" w:rsidP="000937B6"/>
    <w:p w14:paraId="3390A9EE" w14:textId="77777777" w:rsidR="000937B6" w:rsidRDefault="000937B6" w:rsidP="000937B6">
      <w:pPr>
        <w:pStyle w:val="Heading4"/>
      </w:pPr>
      <w:r>
        <w:t>That affirms: Free market economies are the only ones that allow people to be free to pursue their own interests.</w:t>
      </w:r>
    </w:p>
    <w:p w14:paraId="4FD3EFE5" w14:textId="77777777" w:rsidR="000937B6" w:rsidRDefault="000937B6" w:rsidP="000937B6">
      <w:r>
        <w:rPr>
          <w:b/>
          <w:bCs/>
          <w:sz w:val="26"/>
          <w:szCs w:val="26"/>
        </w:rPr>
        <w:t>Richman 12</w:t>
      </w:r>
      <w:r>
        <w:t xml:space="preserve"> [Sheldon Richman, 8-5-2012, "The Free Market Doesn't Need Government Regulation," Reason, </w:t>
      </w:r>
      <w:hyperlink r:id="rId9" w:history="1">
        <w:r>
          <w:rPr>
            <w:rStyle w:val="Hyperlink"/>
            <w:color w:val="000000"/>
            <w:u w:val="single"/>
          </w:rPr>
          <w:t>https://reason.com/2012/08/05/the-free-market-doesnt-need-government-r/</w:t>
        </w:r>
      </w:hyperlink>
      <w:r>
        <w:t>] // SJ AME</w:t>
      </w:r>
    </w:p>
    <w:p w14:paraId="10A6F544" w14:textId="77777777" w:rsidR="000937B6" w:rsidRDefault="000937B6" w:rsidP="000937B6">
      <w:pPr>
        <w:rPr>
          <w:sz w:val="16"/>
        </w:rPr>
      </w:pPr>
      <w:r>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Pr>
          <w:highlight w:val="green"/>
          <w:u w:val="single"/>
        </w:rPr>
        <w:t>in a free</w:t>
      </w:r>
      <w:r>
        <w:rPr>
          <w:u w:val="single"/>
        </w:rPr>
        <w:t xml:space="preserve">d </w:t>
      </w:r>
      <w:r>
        <w:rPr>
          <w:highlight w:val="green"/>
          <w:u w:val="single"/>
        </w:rPr>
        <w:t>market</w:t>
      </w:r>
      <w:r>
        <w:rPr>
          <w:sz w:val="16"/>
        </w:rPr>
        <w:t xml:space="preserve"> because other </w:t>
      </w:r>
      <w:r>
        <w:rPr>
          <w:highlight w:val="green"/>
          <w:u w:val="single"/>
        </w:rPr>
        <w:t>people are free</w:t>
      </w:r>
      <w:r>
        <w:rPr>
          <w:u w:val="single"/>
        </w:rPr>
        <w:t xml:space="preserve"> </w:t>
      </w:r>
      <w:r>
        <w:rPr>
          <w:highlight w:val="green"/>
          <w:u w:val="single"/>
        </w:rPr>
        <w:t>to counteract them and it's in their interest to do so</w:t>
      </w:r>
      <w:r>
        <w:rPr>
          <w:u w:val="single"/>
        </w:rPr>
        <w:t xml:space="preserve">. </w:t>
      </w:r>
      <w:r>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Pr>
          <w:highlight w:val="green"/>
          <w:u w:val="single"/>
        </w:rPr>
        <w:t>Bureaucrats</w:t>
      </w:r>
      <w:r>
        <w:rPr>
          <w:sz w:val="16"/>
        </w:rPr>
        <w:t xml:space="preserve">, who necessarily have limited knowledge and perverse incentives, </w:t>
      </w:r>
      <w:r>
        <w:rPr>
          <w:highlight w:val="green"/>
          <w:u w:val="single"/>
        </w:rPr>
        <w:t>regulate by threat of physical force</w:t>
      </w:r>
      <w:r>
        <w:rPr>
          <w:u w:val="single"/>
        </w:rPr>
        <w:t>.</w:t>
      </w:r>
      <w:r>
        <w:rPr>
          <w:sz w:val="16"/>
        </w:rPr>
        <w:t xml:space="preserve"> </w:t>
      </w:r>
      <w:r>
        <w:rPr>
          <w:u w:val="single"/>
        </w:rPr>
        <w:t xml:space="preserve">In contrast, </w:t>
      </w:r>
      <w:r>
        <w:rPr>
          <w:highlight w:val="green"/>
          <w:u w:val="single"/>
        </w:rPr>
        <w:t>market forces operate peacefully through millions of cooperating participants</w:t>
      </w:r>
      <w:r>
        <w:rPr>
          <w:u w:val="single"/>
        </w:rPr>
        <w:t>, each with intimate knowledge of her own personal circumstances and looking out for her own well-being</w:t>
      </w:r>
      <w:r>
        <w:rPr>
          <w:sz w:val="16"/>
        </w:rPr>
        <w:t xml:space="preserve">. </w:t>
      </w:r>
      <w:r>
        <w:rPr>
          <w:highlight w:val="green"/>
          <w:u w:val="single"/>
        </w:rPr>
        <w:t>Bureaucratic regulation</w:t>
      </w:r>
      <w:r>
        <w:rPr>
          <w:u w:val="single"/>
        </w:rPr>
        <w:t xml:space="preserve"> </w:t>
      </w:r>
      <w:r>
        <w:rPr>
          <w:highlight w:val="green"/>
          <w:u w:val="single"/>
        </w:rPr>
        <w:t>is</w:t>
      </w:r>
      <w:r>
        <w:rPr>
          <w:sz w:val="16"/>
        </w:rPr>
        <w:t xml:space="preserve"> likely to be </w:t>
      </w:r>
      <w:r>
        <w:rPr>
          <w:highlight w:val="green"/>
          <w:u w:val="single"/>
        </w:rPr>
        <w:t>irrelevant</w:t>
      </w:r>
      <w:r>
        <w:rPr>
          <w:sz w:val="16"/>
        </w:rPr>
        <w:t xml:space="preserve"> or (more likely) </w:t>
      </w:r>
      <w:r>
        <w:rPr>
          <w:u w:val="single"/>
        </w:rPr>
        <w:t xml:space="preserve">inimical </w:t>
      </w:r>
      <w:r>
        <w:rPr>
          <w:highlight w:val="green"/>
          <w:u w:val="single"/>
        </w:rPr>
        <w:t>to what people in the market care about</w:t>
      </w:r>
      <w:r>
        <w:rPr>
          <w:sz w:val="16"/>
        </w:rPr>
        <w:t>. Not so regulation by market forces.</w:t>
      </w:r>
    </w:p>
    <w:p w14:paraId="701BF9B5" w14:textId="77777777" w:rsidR="000937B6" w:rsidRDefault="000937B6" w:rsidP="000937B6"/>
    <w:p w14:paraId="7C4783F2" w14:textId="77777777" w:rsidR="000937B6" w:rsidRDefault="000937B6" w:rsidP="000937B6">
      <w:pPr>
        <w:pStyle w:val="Heading4"/>
      </w:pPr>
      <w:r>
        <w:t>[3] IPP is nonuniversalizable – universalizing the act of restricting the production of a certain medicine terminates in a contradiction because it entails that you restrict your own ability to produce the medicine</w:t>
      </w:r>
    </w:p>
    <w:p w14:paraId="6D44F009" w14:textId="77777777" w:rsidR="00631FC0" w:rsidRPr="00631FC0" w:rsidRDefault="00631FC0" w:rsidP="00631FC0"/>
    <w:p w14:paraId="4DED7A88" w14:textId="77777777" w:rsidR="00631FC0" w:rsidRPr="00631FC0" w:rsidRDefault="00631FC0" w:rsidP="00631FC0"/>
    <w:p w14:paraId="6FAD81D2" w14:textId="16067CE3" w:rsidR="00631FC0" w:rsidRPr="00631FC0" w:rsidRDefault="00701281" w:rsidP="00701281">
      <w:pPr>
        <w:pStyle w:val="Heading2"/>
      </w:pPr>
      <w:r>
        <w:t>UV</w:t>
      </w:r>
    </w:p>
    <w:p w14:paraId="2693490F" w14:textId="77777777" w:rsidR="00631FC0" w:rsidRDefault="00631FC0" w:rsidP="00631FC0"/>
    <w:p w14:paraId="786BF7D6" w14:textId="5849E998" w:rsidR="00631FC0" w:rsidRPr="0014547F" w:rsidRDefault="00631FC0" w:rsidP="00631FC0">
      <w:pPr>
        <w:pStyle w:val="Heading4"/>
      </w:pPr>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Aff theory first – it’s a much larger strategic loss because 1min is ¼ of the 1AR vs 1/7 of the 1NC which means there’s more abuse if I’m devoting a larger fraction of time. </w:t>
      </w:r>
    </w:p>
    <w:p w14:paraId="610FB8F0" w14:textId="77777777" w:rsidR="00631FC0" w:rsidRPr="0014547F" w:rsidRDefault="00631FC0" w:rsidP="00631FC0"/>
    <w:p w14:paraId="3336B41E" w14:textId="77777777" w:rsidR="00631FC0" w:rsidRPr="0014547F" w:rsidRDefault="00631FC0" w:rsidP="00631FC0">
      <w:pPr>
        <w:pStyle w:val="Heading4"/>
      </w:pPr>
      <w:r w:rsidRPr="0014547F">
        <w:t>2] Fairness is a voter – it’s an intrinsic aspect of a competitive activity like debate. Education is a voter – it’s the only portable skill from debate.</w:t>
      </w:r>
    </w:p>
    <w:p w14:paraId="54A8B013" w14:textId="77777777" w:rsidR="00631FC0" w:rsidRPr="0014547F" w:rsidRDefault="00631FC0" w:rsidP="00631FC0"/>
    <w:p w14:paraId="6677A630" w14:textId="77777777" w:rsidR="00631FC0" w:rsidRPr="0014547F" w:rsidRDefault="00631FC0" w:rsidP="00631FC0">
      <w:pPr>
        <w:pStyle w:val="Heading4"/>
      </w:pPr>
      <w:r w:rsidRPr="0014547F">
        <w:t xml:space="preserve">3] Permissibility affirms: </w:t>
      </w:r>
    </w:p>
    <w:p w14:paraId="172F5EC0" w14:textId="77777777" w:rsidR="00631FC0" w:rsidRPr="0014547F" w:rsidRDefault="00631FC0" w:rsidP="00631FC0">
      <w:pPr>
        <w:pStyle w:val="Heading4"/>
      </w:pPr>
      <w:r w:rsidRPr="0014547F">
        <w:t>A] Dictionary.com defines “ought”: as a verb “used to express justice, moral rightness, or the like” and “wrong” as “not in accordance with what is morally right or good” – proving something isn’t wrong means it’s right.</w:t>
      </w:r>
    </w:p>
    <w:p w14:paraId="0F52A107" w14:textId="77777777" w:rsidR="00631FC0" w:rsidRPr="0014547F" w:rsidRDefault="00631FC0" w:rsidP="00631FC0">
      <w:pPr>
        <w:pStyle w:val="Heading4"/>
      </w:pPr>
      <w:r w:rsidRPr="0014547F">
        <w:t xml:space="preserve">B] We don’t have to justify doing morally neutral things like drinking water </w:t>
      </w:r>
    </w:p>
    <w:p w14:paraId="6FF842A3" w14:textId="77777777" w:rsidR="00631FC0" w:rsidRPr="0014547F" w:rsidRDefault="00631FC0" w:rsidP="00631FC0">
      <w:pPr>
        <w:rPr>
          <w:b/>
          <w:sz w:val="26"/>
          <w:szCs w:val="26"/>
        </w:rPr>
      </w:pPr>
    </w:p>
    <w:p w14:paraId="222150CA" w14:textId="77777777" w:rsidR="00631FC0" w:rsidRPr="0014547F" w:rsidRDefault="00631FC0" w:rsidP="00631FC0">
      <w:pPr>
        <w:pStyle w:val="Heading4"/>
      </w:pPr>
      <w:r w:rsidRPr="0014547F">
        <w:t>4] Presumption affirms:</w:t>
      </w:r>
    </w:p>
    <w:p w14:paraId="73252CAC" w14:textId="77777777" w:rsidR="00631FC0" w:rsidRPr="0014547F" w:rsidRDefault="00631FC0" w:rsidP="00631FC0">
      <w:pPr>
        <w:pStyle w:val="Heading4"/>
      </w:pPr>
      <w:r w:rsidRPr="0014547F">
        <w:t xml:space="preserve">A] We always default to assuming something true until proven false – if I told you my name is </w:t>
      </w:r>
      <w:r>
        <w:t>Bryan</w:t>
      </w:r>
      <w:r w:rsidRPr="0014547F">
        <w:t xml:space="preserve">, you would believe me. </w:t>
      </w:r>
    </w:p>
    <w:p w14:paraId="742FB3C6" w14:textId="77777777" w:rsidR="00631FC0" w:rsidRPr="0014547F" w:rsidRDefault="00631FC0" w:rsidP="00631FC0">
      <w:pPr>
        <w:pStyle w:val="Heading4"/>
      </w:pPr>
      <w:r w:rsidRPr="0014547F">
        <w:t>B] Affirming is harder. Prefer an empirical analysis – it accounts for all possible factors</w:t>
      </w:r>
    </w:p>
    <w:p w14:paraId="6510A558" w14:textId="77777777" w:rsidR="00631FC0" w:rsidRPr="0014547F" w:rsidRDefault="00631FC0" w:rsidP="00631FC0">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0">
        <w:r w:rsidRPr="0014547F">
          <w:rPr>
            <w:color w:val="000000"/>
          </w:rPr>
          <w:t>http://nsdupdate.com/2020/a-statistical-analysis-of-side-bias-on-the-2020-january-february-lincoln-douglas-debate-topic-by-sachin-shah/?fbclid=IwAR2P0AZqQtSiwMZlCpia-Fy1zFOdHn6JrGtcYgGulqeimd-V0a1xbaIMYYs</w:t>
        </w:r>
      </w:hyperlink>
    </w:p>
    <w:p w14:paraId="4AA408E5" w14:textId="77777777" w:rsidR="00631FC0" w:rsidRDefault="00631FC0" w:rsidP="00631FC0">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11F61090" w14:textId="77777777" w:rsidR="00631FC0" w:rsidRPr="00630B88" w:rsidRDefault="00631FC0" w:rsidP="00631FC0">
      <w:pPr>
        <w:rPr>
          <w:sz w:val="16"/>
        </w:rPr>
      </w:pPr>
    </w:p>
    <w:p w14:paraId="27E60FD9" w14:textId="77777777" w:rsidR="00631FC0" w:rsidRPr="0014547F" w:rsidRDefault="00631FC0" w:rsidP="00631FC0">
      <w:pPr>
        <w:pStyle w:val="Heading4"/>
      </w:pPr>
      <w:r>
        <w:t>5</w:t>
      </w:r>
      <w:r w:rsidRPr="0014547F">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friv theory which kills topic ed c) pre-round checks – you can contact me before the round for spec which solves all your offense </w:t>
      </w:r>
    </w:p>
    <w:p w14:paraId="78A7DEEF" w14:textId="77777777" w:rsidR="00A95652" w:rsidRPr="00631FC0" w:rsidRDefault="00A95652" w:rsidP="00631FC0"/>
    <w:sectPr w:rsidR="00A95652" w:rsidRPr="00631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26099008"/>
    <w:docVar w:name="VerbatimVersion" w:val="5.1"/>
  </w:docVars>
  <w:rsids>
    <w:rsidRoot w:val="00274258"/>
    <w:rsid w:val="000139A3"/>
    <w:rsid w:val="000937B6"/>
    <w:rsid w:val="00100833"/>
    <w:rsid w:val="00104529"/>
    <w:rsid w:val="00105942"/>
    <w:rsid w:val="00107396"/>
    <w:rsid w:val="00121A44"/>
    <w:rsid w:val="00144A4C"/>
    <w:rsid w:val="00176AB0"/>
    <w:rsid w:val="00177B7D"/>
    <w:rsid w:val="0018322D"/>
    <w:rsid w:val="001B5776"/>
    <w:rsid w:val="001E527A"/>
    <w:rsid w:val="001F78CE"/>
    <w:rsid w:val="00251FC7"/>
    <w:rsid w:val="00274258"/>
    <w:rsid w:val="002855A7"/>
    <w:rsid w:val="002B146A"/>
    <w:rsid w:val="002B5E17"/>
    <w:rsid w:val="00315690"/>
    <w:rsid w:val="00316B75"/>
    <w:rsid w:val="00325646"/>
    <w:rsid w:val="003460F2"/>
    <w:rsid w:val="0038158C"/>
    <w:rsid w:val="0039027A"/>
    <w:rsid w:val="003902BA"/>
    <w:rsid w:val="003A09E2"/>
    <w:rsid w:val="00407037"/>
    <w:rsid w:val="004605D6"/>
    <w:rsid w:val="004C60E8"/>
    <w:rsid w:val="004E3579"/>
    <w:rsid w:val="004E728B"/>
    <w:rsid w:val="004F39E0"/>
    <w:rsid w:val="00537BD5"/>
    <w:rsid w:val="0057268A"/>
    <w:rsid w:val="005D2912"/>
    <w:rsid w:val="006065BD"/>
    <w:rsid w:val="00631FC0"/>
    <w:rsid w:val="00645FA9"/>
    <w:rsid w:val="00647866"/>
    <w:rsid w:val="00665003"/>
    <w:rsid w:val="006A2AD0"/>
    <w:rsid w:val="006C2375"/>
    <w:rsid w:val="006D4ECC"/>
    <w:rsid w:val="00701281"/>
    <w:rsid w:val="00707CA0"/>
    <w:rsid w:val="00722258"/>
    <w:rsid w:val="007243E5"/>
    <w:rsid w:val="00766EA0"/>
    <w:rsid w:val="00790F85"/>
    <w:rsid w:val="007A2226"/>
    <w:rsid w:val="007C737D"/>
    <w:rsid w:val="007E1FD9"/>
    <w:rsid w:val="007F5B66"/>
    <w:rsid w:val="00823A1C"/>
    <w:rsid w:val="00845B9D"/>
    <w:rsid w:val="00860984"/>
    <w:rsid w:val="008B3ECB"/>
    <w:rsid w:val="008B4E85"/>
    <w:rsid w:val="008C1B2E"/>
    <w:rsid w:val="008C3D21"/>
    <w:rsid w:val="008D233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5466"/>
  <w15:chartTrackingRefBased/>
  <w15:docId w15:val="{37567655-E69F-4290-BC73-1808E3B93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2338"/>
    <w:rPr>
      <w:rFonts w:ascii="Calibri" w:hAnsi="Calibri" w:cs="Calibri"/>
    </w:rPr>
  </w:style>
  <w:style w:type="paragraph" w:styleId="Heading1">
    <w:name w:val="heading 1"/>
    <w:aliases w:val="Pocket"/>
    <w:basedOn w:val="Normal"/>
    <w:next w:val="Normal"/>
    <w:link w:val="Heading1Char"/>
    <w:qFormat/>
    <w:rsid w:val="008D23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23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23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g"/>
    <w:basedOn w:val="Normal"/>
    <w:next w:val="Normal"/>
    <w:link w:val="Heading4Char"/>
    <w:uiPriority w:val="3"/>
    <w:unhideWhenUsed/>
    <w:qFormat/>
    <w:rsid w:val="008D23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23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338"/>
  </w:style>
  <w:style w:type="character" w:customStyle="1" w:styleId="Heading1Char">
    <w:name w:val="Heading 1 Char"/>
    <w:aliases w:val="Pocket Char"/>
    <w:basedOn w:val="DefaultParagraphFont"/>
    <w:link w:val="Heading1"/>
    <w:rsid w:val="008D23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23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233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D2338"/>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8D233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D233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8D233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8D2338"/>
    <w:rPr>
      <w:color w:val="auto"/>
      <w:u w:val="none"/>
    </w:rPr>
  </w:style>
  <w:style w:type="character" w:styleId="FollowedHyperlink">
    <w:name w:val="FollowedHyperlink"/>
    <w:basedOn w:val="DefaultParagraphFont"/>
    <w:uiPriority w:val="99"/>
    <w:semiHidden/>
    <w:unhideWhenUsed/>
    <w:rsid w:val="008D2338"/>
    <w:rPr>
      <w:color w:val="auto"/>
      <w:u w:val="none"/>
    </w:rPr>
  </w:style>
  <w:style w:type="paragraph" w:customStyle="1" w:styleId="textbold">
    <w:name w:val="text bold"/>
    <w:basedOn w:val="Normal"/>
    <w:link w:val="Emphasis"/>
    <w:uiPriority w:val="7"/>
    <w:qFormat/>
    <w:rsid w:val="000937B6"/>
    <w:pPr>
      <w:widowControl w:val="0"/>
      <w:spacing w:after="0" w:line="240" w:lineRule="auto"/>
      <w:ind w:left="720"/>
      <w:jc w:val="both"/>
    </w:pPr>
    <w:rPr>
      <w:b/>
      <w:iCs/>
      <w:u w:val="single"/>
    </w:rPr>
  </w:style>
  <w:style w:type="paragraph" w:styleId="NormalWeb">
    <w:name w:val="Normal (Web)"/>
    <w:basedOn w:val="Normal"/>
    <w:uiPriority w:val="99"/>
    <w:semiHidden/>
    <w:unhideWhenUsed/>
    <w:rsid w:val="000937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3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3336</Words>
  <Characters>19019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9</cp:revision>
  <dcterms:created xsi:type="dcterms:W3CDTF">2021-09-17T20:17:00Z</dcterms:created>
  <dcterms:modified xsi:type="dcterms:W3CDTF">2021-09-17T20:31:00Z</dcterms:modified>
</cp:coreProperties>
</file>