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463F" w14:textId="77777777" w:rsidR="00A423B8" w:rsidRDefault="00A423B8" w:rsidP="00A423B8">
      <w:pPr>
        <w:pStyle w:val="Heading2"/>
      </w:pPr>
      <w:r>
        <w:t>Framing</w:t>
      </w:r>
    </w:p>
    <w:p w14:paraId="5A119954" w14:textId="37DD7AC4" w:rsidR="00A423B8" w:rsidRDefault="00A423B8" w:rsidP="00A423B8">
      <w:pPr>
        <w:pStyle w:val="Heading4"/>
        <w:rPr>
          <w:shd w:val="clear" w:color="auto" w:fill="FFFFFF"/>
        </w:rPr>
      </w:pPr>
      <w:r>
        <w:rPr>
          <w:shd w:val="clear" w:color="auto" w:fill="FFFFFF"/>
        </w:rPr>
        <w:t xml:space="preserve">Philosophy is not an isolated, investigative project, but rather a way of life – we cannot allow ourselves to be assimilated by any given system, for this alienates us from our individual human nature, which constrains what our obligations are meant to be. </w:t>
      </w:r>
    </w:p>
    <w:p w14:paraId="46BB7204" w14:textId="77777777" w:rsidR="00110E06" w:rsidRPr="00110E06" w:rsidRDefault="00110E06" w:rsidP="00110E06"/>
    <w:p w14:paraId="70341F6E" w14:textId="77777777" w:rsidR="00A423B8" w:rsidRDefault="00A423B8" w:rsidP="00A423B8">
      <w:pPr>
        <w:pStyle w:val="Heading4"/>
        <w:rPr>
          <w:shd w:val="clear" w:color="auto" w:fill="FFFFFF"/>
        </w:rPr>
      </w:pPr>
      <w:r>
        <w:rPr>
          <w:shd w:val="clear" w:color="auto" w:fill="FFFFFF"/>
        </w:rPr>
        <w:t>This brings us to the question of ethics as a way of life. Dominant theorization splits ethics between theories of facticity and transcendence – facticity attempts to ground normative truths in material reality – transcendence attempts to establish a unified, a priori system for ethics. Both approaches fail:</w:t>
      </w:r>
    </w:p>
    <w:p w14:paraId="1AA6AFBB" w14:textId="77777777" w:rsidR="00A423B8" w:rsidRDefault="00A423B8" w:rsidP="00A423B8">
      <w:pPr>
        <w:pStyle w:val="Heading4"/>
      </w:pPr>
      <w:r>
        <w:t>A] Facticity is too narrow – people confer value unto things external to them – for example, I might like video games and you might not, but video games aren’t objectively valuable – the capacity to choose comes before that which is chosen.</w:t>
      </w:r>
    </w:p>
    <w:p w14:paraId="07B05AA6" w14:textId="2011E1DD" w:rsidR="00A423B8" w:rsidRDefault="00A423B8" w:rsidP="00A423B8">
      <w:pPr>
        <w:pStyle w:val="Heading4"/>
      </w:pPr>
      <w:r>
        <w:t xml:space="preserve">B] Transcendence cannot account for </w:t>
      </w:r>
      <w:proofErr w:type="spellStart"/>
      <w:r>
        <w:t>i</w:t>
      </w:r>
      <w:proofErr w:type="spellEnd"/>
      <w:r>
        <w:t xml:space="preserve">. How everyone relates to the world differently and has varied moral circumstances – universalizability presumes one possesses the epistemic information to determine if their situations are similar and ii. How the objects of our perception are situated within the material world, just as we are. </w:t>
      </w:r>
    </w:p>
    <w:p w14:paraId="6912B007" w14:textId="77777777" w:rsidR="00110E06" w:rsidRPr="00110E06" w:rsidRDefault="00110E06" w:rsidP="00110E06"/>
    <w:p w14:paraId="1392513F" w14:textId="77777777" w:rsidR="00A423B8" w:rsidRDefault="00A423B8" w:rsidP="00A423B8">
      <w:pPr>
        <w:pStyle w:val="Heading4"/>
      </w:pPr>
      <w:r>
        <w:t>The solution to this dichotomy is existential phenomenology – a recognition that the individual is grounded in the world around them, while also accepting the authority of freedom. Existence is inherently absurd, since when I commit an action, it becomes an aspect of the world and is no longer a “free action,” for it is a product of my consciousness – this means that in becoming myself, for existence is defined by choice, I must also be a “thing” of the world – we must face the absurd and embrace authenticity.</w:t>
      </w:r>
    </w:p>
    <w:p w14:paraId="6F43A78A" w14:textId="77777777" w:rsidR="00A423B8" w:rsidRDefault="00A423B8" w:rsidP="00A423B8">
      <w:r>
        <w:rPr>
          <w:rStyle w:val="Style13ptBold"/>
        </w:rPr>
        <w:t>De Beauvoir 47</w:t>
      </w:r>
      <w:r>
        <w:t xml:space="preserve"> (bracketed for gendered language) [Simon de Beauvoir. a French writer, intellectual, existentialist philosopher, political activist, feminist and social theorist, “The Ethics of Ambiguity.” Webster University Philosophy Department. Translated by Bernard </w:t>
      </w:r>
      <w:proofErr w:type="spellStart"/>
      <w:r>
        <w:t>Frechtman</w:t>
      </w:r>
      <w:proofErr w:type="spellEnd"/>
      <w:r>
        <w:t xml:space="preserve">. </w:t>
      </w:r>
      <w:hyperlink r:id="rId6" w:history="1">
        <w:r>
          <w:rPr>
            <w:rStyle w:val="Hyperlink"/>
            <w:color w:val="000000"/>
            <w:u w:val="single"/>
          </w:rPr>
          <w:t>https://www.marxists.org/reference/subject/ethics/de-beauvoir/ambiguity/ch01.htm</w:t>
        </w:r>
      </w:hyperlink>
      <w:r>
        <w:t xml:space="preserve">] TVS KK // </w:t>
      </w:r>
      <w:proofErr w:type="spellStart"/>
      <w:r>
        <w:t>shs</w:t>
      </w:r>
      <w:proofErr w:type="spellEnd"/>
      <w:r>
        <w:t xml:space="preserve"> bs</w:t>
      </w:r>
    </w:p>
    <w:p w14:paraId="117F482E" w14:textId="77777777" w:rsidR="00A423B8" w:rsidRPr="00064E90" w:rsidRDefault="00A423B8" w:rsidP="00A423B8">
      <w:pPr>
        <w:rPr>
          <w:rStyle w:val="StyleUnderline"/>
        </w:rPr>
      </w:pPr>
      <w:r w:rsidRPr="00C25B7D">
        <w:rPr>
          <w:sz w:val="14"/>
        </w:rPr>
        <w:t>The failure described in Being and Nothingness is definitive, but it is also ambiguous. Man, Sartre tells us, is “</w:t>
      </w:r>
      <w:r w:rsidRPr="007D3247">
        <w:rPr>
          <w:rStyle w:val="StyleUnderline"/>
        </w:rPr>
        <w:t xml:space="preserve">a being who makes </w:t>
      </w:r>
      <w:r w:rsidRPr="00C25B7D">
        <w:rPr>
          <w:sz w:val="14"/>
        </w:rPr>
        <w:t>himself</w:t>
      </w:r>
      <w:r w:rsidRPr="007D3247">
        <w:rPr>
          <w:rStyle w:val="StyleUnderline"/>
        </w:rPr>
        <w:t xml:space="preserve"> a lack of being in order that there might be being.”</w:t>
      </w:r>
      <w:r w:rsidRPr="00C25B7D">
        <w:rPr>
          <w:sz w:val="14"/>
        </w:rPr>
        <w:t xml:space="preserve"> That means, first of all, that his </w:t>
      </w:r>
      <w:r w:rsidRPr="00F97669">
        <w:rPr>
          <w:rStyle w:val="StyleUnderline"/>
          <w:highlight w:val="cyan"/>
        </w:rPr>
        <w:t xml:space="preserve">passion is not inflicted </w:t>
      </w:r>
      <w:r w:rsidRPr="00F97669">
        <w:rPr>
          <w:rStyle w:val="StyleUnderline"/>
        </w:rPr>
        <w:t>upon [one]</w:t>
      </w:r>
      <w:r w:rsidRPr="00C25B7D">
        <w:rPr>
          <w:sz w:val="14"/>
        </w:rPr>
        <w:t xml:space="preserve"> him </w:t>
      </w:r>
      <w:r w:rsidRPr="00F97669">
        <w:rPr>
          <w:rStyle w:val="StyleUnderline"/>
          <w:highlight w:val="cyan"/>
        </w:rPr>
        <w:t>from without. [One]</w:t>
      </w:r>
      <w:r w:rsidRPr="00C25B7D">
        <w:rPr>
          <w:sz w:val="14"/>
        </w:rPr>
        <w:t xml:space="preserve"> He </w:t>
      </w:r>
      <w:r w:rsidRPr="00F97669">
        <w:rPr>
          <w:rStyle w:val="StyleUnderline"/>
          <w:highlight w:val="cyan"/>
        </w:rPr>
        <w:t>chooses it</w:t>
      </w:r>
      <w:r w:rsidRPr="007D3247">
        <w:rPr>
          <w:rStyle w:val="StyleUnderline"/>
        </w:rPr>
        <w:t>.</w:t>
      </w:r>
      <w:r w:rsidRPr="00C25B7D">
        <w:rPr>
          <w:sz w:val="14"/>
        </w:rPr>
        <w:t xml:space="preserve"> It is his very </w:t>
      </w:r>
      <w:r w:rsidRPr="00F97669">
        <w:rPr>
          <w:rStyle w:val="StyleUnderline"/>
        </w:rPr>
        <w:t>being</w:t>
      </w:r>
      <w:r w:rsidRPr="00C25B7D">
        <w:rPr>
          <w:sz w:val="14"/>
        </w:rPr>
        <w:t xml:space="preserve"> and, as such, </w:t>
      </w:r>
      <w:r w:rsidRPr="007D3247">
        <w:rPr>
          <w:rStyle w:val="StyleUnderline"/>
        </w:rPr>
        <w:t>does not imply the idea of unhappiness</w:t>
      </w:r>
      <w:r w:rsidRPr="00C25B7D">
        <w:rPr>
          <w:sz w:val="14"/>
        </w:rPr>
        <w:t xml:space="preserve">. </w:t>
      </w:r>
      <w:r w:rsidRPr="007D3247">
        <w:rPr>
          <w:rStyle w:val="StyleUnderline"/>
        </w:rPr>
        <w:t xml:space="preserve">If this choice is considered as useless, it is because </w:t>
      </w:r>
      <w:r w:rsidRPr="00F97669">
        <w:rPr>
          <w:rStyle w:val="StyleUnderline"/>
          <w:highlight w:val="cyan"/>
        </w:rPr>
        <w:t>there exists no absolute value before the passion</w:t>
      </w:r>
      <w:r w:rsidRPr="00C25B7D">
        <w:rPr>
          <w:sz w:val="14"/>
        </w:rPr>
        <w:t xml:space="preserve"> of man, outside of it, in relation to which one might distinguish the useless from the useful. The word “</w:t>
      </w:r>
      <w:r w:rsidRPr="00F97669">
        <w:rPr>
          <w:rStyle w:val="StyleUnderline"/>
          <w:highlight w:val="cyan"/>
        </w:rPr>
        <w:t>useful</w:t>
      </w:r>
      <w:r w:rsidRPr="00C25B7D">
        <w:rPr>
          <w:sz w:val="14"/>
        </w:rPr>
        <w:t xml:space="preserve">” has not yet received a meaning on the level of description where Being and Nothingness is situated. It </w:t>
      </w:r>
      <w:r w:rsidRPr="00F97669">
        <w:rPr>
          <w:rStyle w:val="StyleUnderline"/>
          <w:highlight w:val="cyan"/>
        </w:rPr>
        <w:t>can be defined only in the human world</w:t>
      </w:r>
      <w:r w:rsidRPr="00064E90">
        <w:rPr>
          <w:rStyle w:val="StyleUnderline"/>
        </w:rPr>
        <w:t xml:space="preserve"> established </w:t>
      </w:r>
      <w:r w:rsidRPr="00F97669">
        <w:rPr>
          <w:rStyle w:val="StyleUnderline"/>
          <w:highlight w:val="cyan"/>
        </w:rPr>
        <w:t>by</w:t>
      </w:r>
      <w:r w:rsidRPr="00C25B7D">
        <w:rPr>
          <w:sz w:val="14"/>
        </w:rPr>
        <w:t xml:space="preserve"> man’s </w:t>
      </w:r>
      <w:r w:rsidRPr="00F97669">
        <w:rPr>
          <w:rStyle w:val="StyleUnderline"/>
          <w:highlight w:val="cyan"/>
        </w:rPr>
        <w:t>projects and</w:t>
      </w:r>
      <w:r w:rsidRPr="00C25B7D">
        <w:rPr>
          <w:sz w:val="14"/>
        </w:rPr>
        <w:t xml:space="preserve"> the </w:t>
      </w:r>
      <w:r w:rsidRPr="00F97669">
        <w:rPr>
          <w:rStyle w:val="StyleUnderline"/>
          <w:highlight w:val="cyan"/>
        </w:rPr>
        <w:t>ends</w:t>
      </w:r>
      <w:r w:rsidRPr="00C25B7D">
        <w:rPr>
          <w:sz w:val="14"/>
        </w:rPr>
        <w:t xml:space="preserve"> he sets up. </w:t>
      </w:r>
      <w:r w:rsidRPr="00064E90">
        <w:rPr>
          <w:rStyle w:val="StyleUnderline"/>
        </w:rPr>
        <w:t>In the original helplessness</w:t>
      </w:r>
      <w:r w:rsidRPr="00C25B7D">
        <w:rPr>
          <w:sz w:val="14"/>
        </w:rPr>
        <w:t xml:space="preserve"> from which man surges up, </w:t>
      </w:r>
      <w:r w:rsidRPr="00064E90">
        <w:rPr>
          <w:rStyle w:val="StyleUnderline"/>
        </w:rPr>
        <w:t xml:space="preserve">nothing is useful, nothing is useless. It must therefore be understood that </w:t>
      </w:r>
      <w:r w:rsidRPr="00F97669">
        <w:rPr>
          <w:rStyle w:val="StyleUnderline"/>
          <w:highlight w:val="cyan"/>
        </w:rPr>
        <w:t>the passion to which [one]</w:t>
      </w:r>
      <w:r w:rsidRPr="00C25B7D">
        <w:rPr>
          <w:sz w:val="14"/>
        </w:rPr>
        <w:t xml:space="preserve"> man </w:t>
      </w:r>
      <w:r w:rsidRPr="00F97669">
        <w:rPr>
          <w:rStyle w:val="StyleUnderline"/>
          <w:highlight w:val="cyan"/>
        </w:rPr>
        <w:t>has acquiesced finds no external justification</w:t>
      </w:r>
      <w:r w:rsidRPr="00C25B7D">
        <w:rPr>
          <w:sz w:val="14"/>
        </w:rPr>
        <w:t xml:space="preserve">. </w:t>
      </w:r>
      <w:r w:rsidRPr="00064E90">
        <w:rPr>
          <w:rStyle w:val="StyleUnderline"/>
        </w:rPr>
        <w:t>No outside appeal</w:t>
      </w:r>
      <w:r w:rsidRPr="00C25B7D">
        <w:rPr>
          <w:sz w:val="14"/>
        </w:rPr>
        <w:t xml:space="preserve">, no objective necessity </w:t>
      </w:r>
      <w:r w:rsidRPr="00064E90">
        <w:rPr>
          <w:rStyle w:val="StyleUnderline"/>
        </w:rPr>
        <w:t xml:space="preserve">permits of its being called useful. It has no reason to will itself. But this does not mean that it </w:t>
      </w:r>
      <w:proofErr w:type="spellStart"/>
      <w:r w:rsidRPr="00064E90">
        <w:rPr>
          <w:rStyle w:val="StyleUnderline"/>
        </w:rPr>
        <w:t>can not</w:t>
      </w:r>
      <w:proofErr w:type="spellEnd"/>
      <w:r w:rsidRPr="00064E90">
        <w:rPr>
          <w:rStyle w:val="StyleUnderline"/>
        </w:rPr>
        <w:t xml:space="preserve"> justify itself</w:t>
      </w:r>
      <w:r w:rsidRPr="00C25B7D">
        <w:rPr>
          <w:sz w:val="14"/>
        </w:rPr>
        <w:t xml:space="preserve">, that it </w:t>
      </w:r>
      <w:proofErr w:type="spellStart"/>
      <w:r w:rsidRPr="00C25B7D">
        <w:rPr>
          <w:sz w:val="14"/>
        </w:rPr>
        <w:t>can not</w:t>
      </w:r>
      <w:proofErr w:type="spellEnd"/>
      <w:r w:rsidRPr="00C25B7D">
        <w:rPr>
          <w:sz w:val="14"/>
        </w:rPr>
        <w:t xml:space="preserve"> give itself reasons for being that it does not have. And </w:t>
      </w:r>
      <w:proofErr w:type="gramStart"/>
      <w:r w:rsidRPr="00C25B7D">
        <w:rPr>
          <w:sz w:val="14"/>
        </w:rPr>
        <w:t>indeed</w:t>
      </w:r>
      <w:proofErr w:type="gramEnd"/>
      <w:r w:rsidRPr="00C25B7D">
        <w:rPr>
          <w:sz w:val="14"/>
        </w:rPr>
        <w:t xml:space="preserve"> Sartre tells us that man makes himself this lack of being in order that there might be being. The term in order that clearly indicates an intentionality. It is not in vain that man nullifies being. Thanks to him, being is disclosed and he desires this disclosure. There is an original type of attachment to being which is not the relationship “wanting to be” but rather “wanting to disclose being.” Now, here there is not failure, but rather success. This end, which man proposes to himself by making himself lack of being, is, in effect, realized by him. </w:t>
      </w:r>
      <w:r w:rsidRPr="00C3184D">
        <w:rPr>
          <w:rStyle w:val="StyleUnderline"/>
          <w:highlight w:val="cyan"/>
        </w:rPr>
        <w:t>By uprooting [oneself]</w:t>
      </w:r>
      <w:r w:rsidRPr="00C25B7D">
        <w:rPr>
          <w:sz w:val="14"/>
        </w:rPr>
        <w:t xml:space="preserve"> himself </w:t>
      </w:r>
      <w:r w:rsidRPr="00C3184D">
        <w:rPr>
          <w:rStyle w:val="StyleUnderline"/>
          <w:highlight w:val="cyan"/>
        </w:rPr>
        <w:t>from the world, [one]</w:t>
      </w:r>
      <w:r w:rsidRPr="00C25B7D">
        <w:rPr>
          <w:sz w:val="14"/>
        </w:rPr>
        <w:t xml:space="preserve"> man </w:t>
      </w:r>
      <w:r w:rsidRPr="00C3184D">
        <w:rPr>
          <w:rStyle w:val="StyleUnderline"/>
          <w:highlight w:val="cyan"/>
        </w:rPr>
        <w:t>makes [oneself]</w:t>
      </w:r>
      <w:r w:rsidRPr="00C25B7D">
        <w:rPr>
          <w:sz w:val="14"/>
        </w:rPr>
        <w:t xml:space="preserve"> himself </w:t>
      </w:r>
      <w:r w:rsidRPr="00C3184D">
        <w:rPr>
          <w:rStyle w:val="StyleUnderline"/>
          <w:highlight w:val="cyan"/>
        </w:rPr>
        <w:t>present to the world and</w:t>
      </w:r>
      <w:r w:rsidRPr="00064E90">
        <w:rPr>
          <w:rStyle w:val="StyleUnderline"/>
        </w:rPr>
        <w:t xml:space="preserve"> makes </w:t>
      </w:r>
      <w:r w:rsidRPr="00C3184D">
        <w:rPr>
          <w:rStyle w:val="StyleUnderline"/>
          <w:highlight w:val="cyan"/>
        </w:rPr>
        <w:t>the world present to [them]</w:t>
      </w:r>
      <w:r w:rsidRPr="00C25B7D">
        <w:rPr>
          <w:sz w:val="14"/>
        </w:rPr>
        <w:t xml:space="preserve"> him. </w:t>
      </w:r>
      <w:r w:rsidRPr="00064E90">
        <w:rPr>
          <w:rStyle w:val="StyleUnderline"/>
        </w:rPr>
        <w:t>I should like to be the landscape which I am contemplating</w:t>
      </w:r>
      <w:r w:rsidRPr="00C25B7D">
        <w:rPr>
          <w:sz w:val="14"/>
        </w:rPr>
        <w:t xml:space="preserve">, I should like this sky, this quiet water to think themselves within me, that it might be I whom they express in flesh and bone, and I remain at a distance. But it is also by this distance that the sky and the water exist before me. My contemplation is an excruciation only because it is also a joy. I </w:t>
      </w:r>
      <w:proofErr w:type="spellStart"/>
      <w:r w:rsidRPr="00C25B7D">
        <w:rPr>
          <w:sz w:val="14"/>
        </w:rPr>
        <w:t>can not</w:t>
      </w:r>
      <w:proofErr w:type="spellEnd"/>
      <w:r w:rsidRPr="00C25B7D">
        <w:rPr>
          <w:sz w:val="14"/>
        </w:rPr>
        <w:t xml:space="preserve"> appropriate the snow field where I slide. It remains foreign, forbidden, but I take delight in this very effort toward an impossible possession. I experience it as a triumph, not as a defeat. This means that </w:t>
      </w:r>
      <w:r w:rsidRPr="00C3184D">
        <w:rPr>
          <w:rStyle w:val="StyleUnderline"/>
          <w:highlight w:val="cyan"/>
        </w:rPr>
        <w:t>[hu]man</w:t>
      </w:r>
      <w:r w:rsidRPr="00C25B7D">
        <w:rPr>
          <w:sz w:val="14"/>
        </w:rPr>
        <w:t>, in his vain attempt to be God</w:t>
      </w:r>
      <w:r w:rsidRPr="00064E90">
        <w:rPr>
          <w:rStyle w:val="StyleUnderline"/>
        </w:rPr>
        <w:t xml:space="preserve">, </w:t>
      </w:r>
      <w:r w:rsidRPr="00C3184D">
        <w:rPr>
          <w:rStyle w:val="StyleUnderline"/>
          <w:highlight w:val="cyan"/>
        </w:rPr>
        <w:t>makes</w:t>
      </w:r>
      <w:r w:rsidRPr="00C25B7D">
        <w:rPr>
          <w:sz w:val="14"/>
        </w:rPr>
        <w:t xml:space="preserve"> himself </w:t>
      </w:r>
      <w:r w:rsidRPr="00064E90">
        <w:rPr>
          <w:rStyle w:val="StyleUnderline"/>
        </w:rPr>
        <w:t>[</w:t>
      </w:r>
      <w:r w:rsidRPr="00C3184D">
        <w:rPr>
          <w:rStyle w:val="StyleUnderline"/>
          <w:highlight w:val="cyan"/>
        </w:rPr>
        <w:t>themselves] exist</w:t>
      </w:r>
      <w:r w:rsidRPr="00C25B7D">
        <w:rPr>
          <w:sz w:val="14"/>
        </w:rPr>
        <w:t xml:space="preserve"> as man, </w:t>
      </w:r>
      <w:r w:rsidRPr="00064E90">
        <w:rPr>
          <w:rStyle w:val="StyleUnderline"/>
        </w:rPr>
        <w:t>and</w:t>
      </w:r>
      <w:r w:rsidRPr="00C25B7D">
        <w:rPr>
          <w:sz w:val="14"/>
        </w:rPr>
        <w:t xml:space="preserve"> if he is satisfied with this existence, he coincides exactly with himself. </w:t>
      </w:r>
      <w:r w:rsidRPr="00064E90">
        <w:rPr>
          <w:rStyle w:val="StyleUnderline"/>
        </w:rPr>
        <w:t>It is not granted</w:t>
      </w:r>
      <w:r w:rsidRPr="00C25B7D">
        <w:rPr>
          <w:sz w:val="14"/>
        </w:rPr>
        <w:t xml:space="preserve"> him </w:t>
      </w:r>
      <w:r w:rsidRPr="00064E90">
        <w:rPr>
          <w:rStyle w:val="StyleUnderline"/>
        </w:rPr>
        <w:t>to exist without tending toward this being which</w:t>
      </w:r>
      <w:r w:rsidRPr="00C25B7D">
        <w:rPr>
          <w:sz w:val="14"/>
        </w:rPr>
        <w:t xml:space="preserve"> he </w:t>
      </w:r>
      <w:r w:rsidRPr="00064E90">
        <w:rPr>
          <w:rStyle w:val="StyleUnderline"/>
        </w:rPr>
        <w:t>will never be</w:t>
      </w:r>
      <w:r w:rsidRPr="00C25B7D">
        <w:rPr>
          <w:sz w:val="14"/>
        </w:rPr>
        <w:t xml:space="preserve">. But it is possible for him to want this tension even with the failure which it involves. His </w:t>
      </w:r>
      <w:r w:rsidRPr="00C3184D">
        <w:rPr>
          <w:rStyle w:val="StyleUnderline"/>
          <w:highlight w:val="cyan"/>
        </w:rPr>
        <w:t>being is lack of being, but this lack has a way of being which is precisely existence</w:t>
      </w:r>
      <w:r w:rsidRPr="00C25B7D">
        <w:rPr>
          <w:sz w:val="14"/>
        </w:rPr>
        <w:t xml:space="preserve">. In Hegelian terms it might be said that we have here a negation of the negation by which the positive is re-established. Man makes himself a lack, but he can deny the lack as lack and affirm himself as a positive existence. He then assumes the failure. And the condemned action, insofar as it is an effort to be, finds its validity insofar as it is a manifestation of existence. However, rather than being a Hegelian act of surpassing, it is a matter of a conversion. For in Hegel the surpassed terms are preserved only as abstract moments, whereas we consider that existence still remains a negativity in the positive affirmation of itself. And it does not appear, in its turn, as the term of a further synthesis. The failure is not surpassed, but assumed. </w:t>
      </w:r>
      <w:r w:rsidRPr="00C3184D">
        <w:rPr>
          <w:rStyle w:val="StyleUnderline"/>
          <w:highlight w:val="cyan"/>
        </w:rPr>
        <w:t>Existence asserts itself as an absolute which must seek its justification within itself and not suppress itself</w:t>
      </w:r>
      <w:r w:rsidRPr="00064E90">
        <w:rPr>
          <w:rStyle w:val="StyleUnderline"/>
        </w:rPr>
        <w:t>, even though it may be lost by preserving itself.</w:t>
      </w:r>
      <w:r w:rsidRPr="00C25B7D">
        <w:rPr>
          <w:sz w:val="14"/>
        </w:rPr>
        <w:t xml:space="preserve"> To attain his </w:t>
      </w:r>
      <w:r w:rsidRPr="00C3184D">
        <w:rPr>
          <w:rStyle w:val="StyleUnderline"/>
          <w:highlight w:val="cyan"/>
        </w:rPr>
        <w:t>truth</w:t>
      </w:r>
      <w:r w:rsidRPr="00C25B7D">
        <w:rPr>
          <w:sz w:val="14"/>
        </w:rPr>
        <w:t xml:space="preserve">, man </w:t>
      </w:r>
      <w:r w:rsidRPr="00C3184D">
        <w:rPr>
          <w:rStyle w:val="StyleUnderline"/>
          <w:highlight w:val="cyan"/>
        </w:rPr>
        <w:t>must not attempt to dispel the ambiguity of</w:t>
      </w:r>
      <w:r w:rsidRPr="00C3184D">
        <w:rPr>
          <w:sz w:val="14"/>
          <w:highlight w:val="cyan"/>
        </w:rPr>
        <w:t xml:space="preserve"> his </w:t>
      </w:r>
      <w:r w:rsidRPr="00C3184D">
        <w:rPr>
          <w:rStyle w:val="StyleUnderline"/>
          <w:highlight w:val="cyan"/>
        </w:rPr>
        <w:t>being but</w:t>
      </w:r>
      <w:r w:rsidRPr="00064E90">
        <w:rPr>
          <w:rStyle w:val="StyleUnderline"/>
        </w:rPr>
        <w:t>,</w:t>
      </w:r>
      <w:r w:rsidRPr="00C25B7D">
        <w:rPr>
          <w:sz w:val="14"/>
        </w:rPr>
        <w:t xml:space="preserve"> on the contrary, </w:t>
      </w:r>
      <w:r w:rsidRPr="00C3184D">
        <w:rPr>
          <w:rStyle w:val="StyleUnderline"/>
          <w:highlight w:val="cyan"/>
        </w:rPr>
        <w:t>accept the task of realizing it.</w:t>
      </w:r>
      <w:r w:rsidRPr="00C25B7D">
        <w:rPr>
          <w:sz w:val="14"/>
        </w:rPr>
        <w:t xml:space="preserve"> He rejoins himself only to the extent that he agrees to remain at a distance from himself. This conversion is sharply distinguished from the Stoic conversion in that it does not claim to oppose to the sensible universe a formal freedom which is without content. </w:t>
      </w:r>
      <w:r w:rsidRPr="00064E90">
        <w:rPr>
          <w:rStyle w:val="StyleUnderline"/>
        </w:rPr>
        <w:t>To exist genuinely is not to deny this spontaneous movement of my transcendence, but only to refuse to lose myself in it.</w:t>
      </w:r>
      <w:r w:rsidRPr="00C25B7D">
        <w:rPr>
          <w:sz w:val="14"/>
        </w:rPr>
        <w:t xml:space="preserve"> Existentialist conversion should rather be compared to </w:t>
      </w:r>
      <w:proofErr w:type="spellStart"/>
      <w:r w:rsidRPr="00C25B7D">
        <w:rPr>
          <w:sz w:val="14"/>
        </w:rPr>
        <w:t>Husserlian</w:t>
      </w:r>
      <w:proofErr w:type="spellEnd"/>
      <w:r w:rsidRPr="00C25B7D">
        <w:rPr>
          <w:sz w:val="14"/>
        </w:rPr>
        <w:t xml:space="preserve"> reduction: let man put his will to be “in parentheses” and he will thereby be brought to the consciousness of his true condition. And </w:t>
      </w:r>
      <w:r w:rsidRPr="00064E90">
        <w:rPr>
          <w:rStyle w:val="StyleUnderline"/>
        </w:rPr>
        <w:t xml:space="preserve">just as phenomenological reduction prevents the errors of dogmatism by suspending all affirmation concerning the mode of reality of the external world, whose flesh and bone presence the reduction does not, </w:t>
      </w:r>
      <w:r w:rsidRPr="00C25B7D">
        <w:rPr>
          <w:sz w:val="14"/>
        </w:rPr>
        <w:t xml:space="preserve">however, </w:t>
      </w:r>
      <w:r w:rsidRPr="00064E90">
        <w:rPr>
          <w:rStyle w:val="StyleUnderline"/>
        </w:rPr>
        <w:t xml:space="preserve">contest, so </w:t>
      </w:r>
      <w:r w:rsidRPr="00FC4B80">
        <w:rPr>
          <w:rStyle w:val="StyleUnderline"/>
          <w:highlight w:val="cyan"/>
        </w:rPr>
        <w:t>existentialist conversion does not suppress</w:t>
      </w:r>
      <w:r w:rsidRPr="00064E90">
        <w:rPr>
          <w:rStyle w:val="StyleUnderline"/>
        </w:rPr>
        <w:t xml:space="preserve"> my instincts, </w:t>
      </w:r>
      <w:r w:rsidRPr="00FC4B80">
        <w:rPr>
          <w:rStyle w:val="StyleUnderline"/>
          <w:highlight w:val="cyan"/>
        </w:rPr>
        <w:t>desires</w:t>
      </w:r>
      <w:r w:rsidRPr="00064E90">
        <w:rPr>
          <w:rStyle w:val="StyleUnderline"/>
        </w:rPr>
        <w:t xml:space="preserve">, plans, and passions. </w:t>
      </w:r>
      <w:r w:rsidRPr="00FC4B80">
        <w:rPr>
          <w:rStyle w:val="StyleUnderline"/>
          <w:highlight w:val="cyan"/>
        </w:rPr>
        <w:t>It merely prevents</w:t>
      </w:r>
      <w:r w:rsidRPr="00064E90">
        <w:rPr>
          <w:rStyle w:val="StyleUnderline"/>
        </w:rPr>
        <w:t xml:space="preserve"> any </w:t>
      </w:r>
      <w:r w:rsidRPr="00FC4B80">
        <w:rPr>
          <w:rStyle w:val="StyleUnderline"/>
          <w:highlight w:val="cyan"/>
        </w:rPr>
        <w:t>possibility of failure by refusing to set up as absolutes the ends toward which</w:t>
      </w:r>
      <w:r w:rsidRPr="00064E90">
        <w:rPr>
          <w:rStyle w:val="StyleUnderline"/>
        </w:rPr>
        <w:t xml:space="preserve"> my </w:t>
      </w:r>
      <w:r w:rsidRPr="00FC4B80">
        <w:rPr>
          <w:rStyle w:val="StyleUnderline"/>
          <w:highlight w:val="cyan"/>
        </w:rPr>
        <w:t>transcendence thrusts itself,</w:t>
      </w:r>
      <w:r w:rsidRPr="00064E90">
        <w:rPr>
          <w:rStyle w:val="StyleUnderline"/>
        </w:rPr>
        <w:t xml:space="preserve"> </w:t>
      </w:r>
      <w:r w:rsidRPr="00FC4B80">
        <w:rPr>
          <w:rStyle w:val="StyleUnderline"/>
          <w:highlight w:val="cyan"/>
        </w:rPr>
        <w:t>and</w:t>
      </w:r>
      <w:r w:rsidRPr="00064E90">
        <w:rPr>
          <w:rStyle w:val="StyleUnderline"/>
        </w:rPr>
        <w:t xml:space="preserve"> by </w:t>
      </w:r>
      <w:r w:rsidRPr="00FC4B80">
        <w:rPr>
          <w:rStyle w:val="StyleUnderline"/>
          <w:highlight w:val="cyan"/>
        </w:rPr>
        <w:t>considering them in their connection with the freedom which projects them</w:t>
      </w:r>
      <w:r w:rsidRPr="00064E90">
        <w:rPr>
          <w:rStyle w:val="StyleUnderline"/>
        </w:rPr>
        <w:t>.</w:t>
      </w:r>
    </w:p>
    <w:p w14:paraId="5B00C7AE" w14:textId="77777777" w:rsidR="00A423B8" w:rsidRPr="007D0886" w:rsidRDefault="00A423B8" w:rsidP="00A423B8"/>
    <w:p w14:paraId="47F9362D" w14:textId="77777777" w:rsidR="00A423B8" w:rsidRPr="0014547F" w:rsidRDefault="00A423B8" w:rsidP="00A423B8">
      <w:pPr>
        <w:pStyle w:val="Heading4"/>
      </w:pPr>
      <w:r w:rsidRPr="0014547F">
        <w:t>Freedom for subject formation necessitates letting others engage in self-creation simultaneously</w:t>
      </w:r>
      <w:r>
        <w:t xml:space="preserve">. </w:t>
      </w:r>
    </w:p>
    <w:p w14:paraId="3EA03FA1" w14:textId="77777777" w:rsidR="00A423B8" w:rsidRPr="003243B6" w:rsidRDefault="00A423B8" w:rsidP="00A423B8">
      <w:pPr>
        <w:spacing w:after="0" w:line="240" w:lineRule="auto"/>
        <w:rPr>
          <w:rFonts w:asciiTheme="minorHAnsi" w:eastAsia="Times New Roman" w:hAnsiTheme="minorHAnsi" w:cstheme="minorHAnsi"/>
        </w:rPr>
      </w:pPr>
      <w:proofErr w:type="spellStart"/>
      <w:r w:rsidRPr="003243B6">
        <w:rPr>
          <w:rFonts w:asciiTheme="minorHAnsi" w:eastAsiaTheme="majorEastAsia" w:hAnsiTheme="minorHAnsi" w:cstheme="minorHAnsi"/>
          <w:b/>
          <w:bCs/>
          <w:sz w:val="26"/>
          <w:szCs w:val="26"/>
        </w:rPr>
        <w:t>Manzi</w:t>
      </w:r>
      <w:proofErr w:type="spellEnd"/>
      <w:r w:rsidRPr="003243B6">
        <w:rPr>
          <w:rFonts w:asciiTheme="minorHAnsi" w:eastAsiaTheme="majorEastAsia" w:hAnsiTheme="minorHAnsi" w:cstheme="minorHAnsi"/>
          <w:b/>
          <w:bCs/>
          <w:sz w:val="26"/>
          <w:szCs w:val="26"/>
        </w:rPr>
        <w:t> 13</w:t>
      </w:r>
      <w:r w:rsidRPr="003243B6">
        <w:rPr>
          <w:rFonts w:asciiTheme="minorHAnsi" w:eastAsia="Times New Roman" w:hAnsiTheme="minorHAnsi" w:cstheme="minorHAnsi"/>
          <w:color w:val="000000"/>
        </w:rPr>
        <w:t xml:space="preserve"> (Yvonne </w:t>
      </w:r>
      <w:proofErr w:type="spellStart"/>
      <w:r w:rsidRPr="003243B6">
        <w:rPr>
          <w:rFonts w:asciiTheme="minorHAnsi" w:eastAsia="Times New Roman" w:hAnsiTheme="minorHAnsi" w:cstheme="minorHAnsi"/>
          <w:color w:val="000000"/>
        </w:rPr>
        <w:t>Manzi</w:t>
      </w:r>
      <w:proofErr w:type="spellEnd"/>
      <w:r w:rsidRPr="003243B6">
        <w:rPr>
          <w:rFonts w:asciiTheme="minorHAnsi" w:eastAsia="Times New Roman" w:hAnsiTheme="minorHAnsi" w:cstheme="minorHAnsi"/>
          <w:color w:val="000000"/>
        </w:rPr>
        <w:t xml:space="preserve">, 1-23-2013, accessed on 11-6-2020, E-International Relations, "Jean-Paul Sartre: Existential “Freedom” and the Political", </w:t>
      </w:r>
      <w:hyperlink r:id="rId7"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24B5D0D1" w14:textId="77777777" w:rsidR="00A423B8" w:rsidRPr="000C4DCA" w:rsidRDefault="00A423B8" w:rsidP="00A423B8">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proofErr w:type="gramStart"/>
      <w:r w:rsidRPr="00C910BF">
        <w:rPr>
          <w:rStyle w:val="StyleUnderline"/>
          <w:highlight w:val="cyan"/>
        </w:rPr>
        <w:t>freedom</w:t>
      </w:r>
      <w:proofErr w:type="gramEnd"/>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 xml:space="preserve">in spite of a lack of </w:t>
      </w:r>
      <w:proofErr w:type="gramStart"/>
      <w:r w:rsidRPr="0044522D">
        <w:rPr>
          <w:rStyle w:val="StyleUnderline"/>
          <w:highlight w:val="cyan"/>
        </w:rPr>
        <w:t>transcendental</w:t>
      </w:r>
      <w:r w:rsidRPr="000C4DCA">
        <w:rPr>
          <w:rStyle w:val="StyleUnderline"/>
        </w:rPr>
        <w:t>[</w:t>
      </w:r>
      <w:proofErr w:type="gramEnd"/>
      <w:r w:rsidRPr="000C4DCA">
        <w:rPr>
          <w:rStyle w:val="StyleUnderline"/>
        </w:rPr>
        <w:t xml:space="preserve">26] </w:t>
      </w:r>
      <w:r w:rsidRPr="0044522D">
        <w:rPr>
          <w:rStyle w:val="StyleUnderline"/>
          <w:highlight w:val="cyan"/>
        </w:rPr>
        <w:t>values</w:t>
      </w:r>
      <w:r w:rsidRPr="000C4DCA">
        <w:rPr>
          <w:sz w:val="16"/>
        </w:rPr>
        <w:t xml:space="preserve">. In Being and </w:t>
      </w:r>
      <w:proofErr w:type="gramStart"/>
      <w:r w:rsidRPr="000C4DCA">
        <w:rPr>
          <w:sz w:val="16"/>
        </w:rPr>
        <w:t>Nothingness</w:t>
      </w:r>
      <w:proofErr w:type="gramEnd"/>
      <w:r w:rsidRPr="000C4DCA">
        <w:rPr>
          <w:sz w:val="16"/>
        </w:rPr>
        <w:t xml:space="preserve">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xml:space="preserve">” (1943, 553). Because an individual is absolutely free, when he makes a </w:t>
      </w:r>
      <w:proofErr w:type="gramStart"/>
      <w:r w:rsidRPr="000C4DCA">
        <w:rPr>
          <w:sz w:val="16"/>
        </w:rPr>
        <w:t>choice</w:t>
      </w:r>
      <w:proofErr w:type="gramEnd"/>
      <w:r w:rsidRPr="000C4DCA">
        <w:rPr>
          <w:sz w:val="16"/>
        </w:rPr>
        <w:t xml:space="preserve"> he becomes that choice and that choice becomes him. The changes he makes in the world because of that choice also become him. In Sartre’s words, “</w:t>
      </w:r>
      <w:r w:rsidRPr="000C4DCA">
        <w:rPr>
          <w:rStyle w:val="StyleUnderline"/>
        </w:rPr>
        <w:t xml:space="preserve">what happens to me happens through </w:t>
      </w:r>
      <w:proofErr w:type="gramStart"/>
      <w:r w:rsidRPr="000C4DCA">
        <w:rPr>
          <w:rStyle w:val="StyleUnderline"/>
        </w:rPr>
        <w:t>me”[</w:t>
      </w:r>
      <w:proofErr w:type="gramEnd"/>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6E18A6C8" w14:textId="77777777" w:rsidR="00A423B8" w:rsidRDefault="00A423B8" w:rsidP="00A423B8"/>
    <w:p w14:paraId="42C34416" w14:textId="77777777" w:rsidR="00A423B8" w:rsidRDefault="00A423B8" w:rsidP="00A423B8">
      <w:pPr>
        <w:pStyle w:val="Heading4"/>
      </w:pPr>
      <w:proofErr w:type="gramStart"/>
      <w:r w:rsidRPr="0014547F">
        <w:t>Thus</w:t>
      </w:r>
      <w:proofErr w:type="gramEnd"/>
      <w:r w:rsidRPr="0014547F">
        <w:t xml:space="preserve"> the standard is consistency with existential freedom. Impact calc: because normativity is generated internally, agents must have the freedom to self-create unimpeded – promotion of self-creation is good and the opposite isn’t.</w:t>
      </w:r>
      <w:r>
        <w:t xml:space="preserve"> </w:t>
      </w:r>
    </w:p>
    <w:p w14:paraId="5817DC87" w14:textId="77777777" w:rsidR="00A423B8" w:rsidRDefault="00A423B8" w:rsidP="00A423B8"/>
    <w:p w14:paraId="26740D66" w14:textId="77777777" w:rsidR="00A423B8" w:rsidRDefault="00A423B8" w:rsidP="00A423B8">
      <w:pPr>
        <w:pStyle w:val="Heading4"/>
      </w:pPr>
      <w:r>
        <w:t xml:space="preserve">Prefer additionally: </w:t>
      </w:r>
    </w:p>
    <w:p w14:paraId="4D32BA2D" w14:textId="77777777" w:rsidR="00A423B8" w:rsidRDefault="00A423B8" w:rsidP="00A423B8"/>
    <w:p w14:paraId="2E1D2C10" w14:textId="77777777" w:rsidR="00A423B8" w:rsidRPr="00496406" w:rsidRDefault="00A423B8" w:rsidP="00A423B8">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303021E1" w14:textId="77777777" w:rsidR="00A423B8" w:rsidRDefault="00A423B8" w:rsidP="00A423B8">
      <w:pPr>
        <w:spacing w:after="0" w:line="240" w:lineRule="auto"/>
        <w:rPr>
          <w:rFonts w:asciiTheme="minorHAnsi" w:eastAsia="Times New Roman" w:hAnsiTheme="minorHAnsi" w:cstheme="minorHAnsi"/>
          <w:b/>
          <w:bCs/>
          <w:color w:val="000000"/>
          <w:sz w:val="26"/>
          <w:szCs w:val="26"/>
        </w:rPr>
      </w:pPr>
    </w:p>
    <w:p w14:paraId="419073D4" w14:textId="77777777" w:rsidR="00A423B8" w:rsidRPr="007E3368" w:rsidRDefault="00A423B8" w:rsidP="00A423B8"/>
    <w:p w14:paraId="5DB8639B" w14:textId="77777777" w:rsidR="00A423B8" w:rsidRPr="007E3368" w:rsidRDefault="00A423B8" w:rsidP="00A423B8">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w:t>
      </w:r>
      <w:proofErr w:type="spellStart"/>
      <w:r w:rsidRPr="007E3368">
        <w:rPr>
          <w:rFonts w:cs="Calibri"/>
        </w:rPr>
        <w:t>Benhabib</w:t>
      </w:r>
      <w:proofErr w:type="spellEnd"/>
      <w:r w:rsidRPr="007E3368">
        <w:rPr>
          <w:rFonts w:cs="Calibri"/>
        </w:rPr>
        <w:t>.</w:t>
      </w:r>
    </w:p>
    <w:p w14:paraId="05D2181D" w14:textId="77777777" w:rsidR="00A423B8" w:rsidRPr="007E3368" w:rsidRDefault="00A423B8" w:rsidP="00A423B8">
      <w:r w:rsidRPr="007E3368">
        <w:t>[</w:t>
      </w:r>
      <w:proofErr w:type="spellStart"/>
      <w:r w:rsidRPr="007E3368">
        <w:t>Benhabib</w:t>
      </w:r>
      <w:proofErr w:type="spellEnd"/>
      <w:r w:rsidRPr="007E3368">
        <w:t xml:space="preserve">, </w:t>
      </w:r>
      <w:proofErr w:type="spellStart"/>
      <w:r w:rsidRPr="007E3368">
        <w:t>Seyla</w:t>
      </w:r>
      <w:proofErr w:type="spellEnd"/>
      <w:r w:rsidRPr="007E3368">
        <w:t>. "The Generalized and the Concrete Other: The Kohlberg-Gilligan Controversy and Feminist Theory." Praxis International. 1986. Pg. 38-60.]</w:t>
      </w:r>
      <w:r>
        <w:t xml:space="preserve"> SHS ZS.</w:t>
      </w:r>
    </w:p>
    <w:p w14:paraId="67F3CC1A" w14:textId="77777777" w:rsidR="00A423B8" w:rsidRPr="005A414B" w:rsidRDefault="00A423B8" w:rsidP="00A423B8">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w:t>
      </w:r>
      <w:proofErr w:type="spellStart"/>
      <w:r w:rsidRPr="001F20D0">
        <w:rPr>
          <w:sz w:val="12"/>
        </w:rPr>
        <w:t>principles</w:t>
      </w:r>
      <w:proofErr w:type="spellEnd"/>
      <w:r w:rsidRPr="001F20D0">
        <w:rPr>
          <w:sz w:val="12"/>
        </w:rPr>
        <w:t xml:space="preserve">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proofErr w:type="spellStart"/>
      <w:r w:rsidRPr="005A414B">
        <w:rPr>
          <w:b/>
          <w:bCs/>
          <w:u w:val="single"/>
        </w:rPr>
        <w:t>everyday</w:t>
      </w:r>
      <w:proofErr w:type="spellEnd"/>
      <w:r w:rsidRPr="005A414B">
        <w:rPr>
          <w:b/>
          <w:bCs/>
          <w:u w:val="single"/>
        </w:rPr>
        <w:t xml:space="preserve">,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w:t>
      </w:r>
      <w:proofErr w:type="spellStart"/>
      <w:r w:rsidRPr="001F20D0">
        <w:rPr>
          <w:sz w:val="12"/>
        </w:rPr>
        <w:t>inaginatively</w:t>
      </w:r>
      <w:proofErr w:type="spellEnd"/>
      <w:r w:rsidRPr="001F20D0">
        <w:rPr>
          <w:sz w:val="12"/>
        </w:rPr>
        <w:t xml:space="preserve">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0EE9EACC" w14:textId="77777777" w:rsidR="00A423B8" w:rsidRDefault="00A423B8" w:rsidP="00A423B8">
      <w:pPr>
        <w:spacing w:after="0" w:line="240" w:lineRule="auto"/>
        <w:rPr>
          <w:rFonts w:asciiTheme="minorHAnsi" w:eastAsia="Times New Roman" w:hAnsiTheme="minorHAnsi" w:cstheme="minorHAnsi"/>
          <w:b/>
          <w:bCs/>
          <w:color w:val="000000"/>
          <w:sz w:val="26"/>
          <w:szCs w:val="26"/>
        </w:rPr>
      </w:pPr>
    </w:p>
    <w:p w14:paraId="3EE1566C" w14:textId="77777777" w:rsidR="00A423B8" w:rsidRPr="00496406" w:rsidRDefault="00A423B8" w:rsidP="00A423B8">
      <w:pPr>
        <w:spacing w:after="0" w:line="240" w:lineRule="auto"/>
        <w:rPr>
          <w:rFonts w:asciiTheme="minorHAnsi" w:eastAsia="Times New Roman" w:hAnsiTheme="minorHAnsi" w:cstheme="minorHAnsi"/>
          <w:b/>
          <w:bCs/>
          <w:color w:val="000000"/>
          <w:sz w:val="26"/>
          <w:szCs w:val="26"/>
        </w:rPr>
      </w:pPr>
    </w:p>
    <w:p w14:paraId="65BD3D8E" w14:textId="77777777" w:rsidR="00A423B8" w:rsidRPr="00496406" w:rsidRDefault="00A423B8" w:rsidP="00A423B8">
      <w:pPr>
        <w:pStyle w:val="Heading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27EF6600" w14:textId="77777777" w:rsidR="00A423B8" w:rsidRDefault="00A423B8" w:rsidP="00A423B8"/>
    <w:p w14:paraId="2628D9AE" w14:textId="77777777" w:rsidR="00A423B8" w:rsidRPr="006F2995" w:rsidRDefault="00A423B8" w:rsidP="00A423B8">
      <w:pPr>
        <w:pStyle w:val="Heading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0833AD39" w14:textId="77777777" w:rsidR="00A423B8" w:rsidRPr="00395B6E" w:rsidRDefault="00A423B8" w:rsidP="00A423B8">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w:t>
      </w:r>
      <w:r>
        <w:t xml:space="preserve">(bracketed for gendered language) </w:t>
      </w:r>
      <w:r w:rsidRPr="00395B6E">
        <w:rPr>
          <w:rFonts w:asciiTheme="minorHAnsi" w:eastAsia="Times New Roman" w:hAnsiTheme="minorHAnsi" w:cstheme="minorHAnsi"/>
          <w:color w:val="000000"/>
        </w:rPr>
        <w:t xml:space="preserve">Jean-Paul Sartre, Jean-Paul Charles </w:t>
      </w:r>
      <w:proofErr w:type="spellStart"/>
      <w:r w:rsidRPr="00395B6E">
        <w:rPr>
          <w:rFonts w:asciiTheme="minorHAnsi" w:eastAsia="Times New Roman" w:hAnsiTheme="minorHAnsi" w:cstheme="minorHAnsi"/>
          <w:color w:val="000000"/>
        </w:rPr>
        <w:t>Aymard</w:t>
      </w:r>
      <w:proofErr w:type="spellEnd"/>
      <w:r w:rsidRPr="00395B6E">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8"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41892259" w14:textId="77777777" w:rsidR="00A423B8" w:rsidRPr="00395B6E" w:rsidRDefault="00A423B8" w:rsidP="00A423B8">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w:t>
      </w:r>
      <w:proofErr w:type="gramStart"/>
      <w:r w:rsidRPr="00395B6E">
        <w:rPr>
          <w:rStyle w:val="StyleUnderline"/>
          <w:rFonts w:asciiTheme="minorHAnsi" w:hAnsiTheme="minorHAnsi" w:cstheme="minorHAnsi"/>
        </w:rPr>
        <w:t>probable</w:t>
      </w:r>
      <w:proofErr w:type="gramEnd"/>
      <w:r w:rsidRPr="00395B6E">
        <w:rPr>
          <w:rStyle w:val="StyleUnderline"/>
          <w:rFonts w:asciiTheme="minorHAnsi" w:hAnsiTheme="minorHAnsi" w:cstheme="minorHAnsi"/>
        </w:rPr>
        <w:t xml:space="preserv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w:t>
      </w:r>
      <w:proofErr w:type="spellStart"/>
      <w:r w:rsidRPr="00395B6E">
        <w:rPr>
          <w:rStyle w:val="StyleUnderline"/>
          <w:rFonts w:asciiTheme="minorHAnsi" w:hAnsiTheme="minorHAnsi" w:cstheme="minorHAnsi"/>
          <w:highlight w:val="green"/>
        </w:rPr>
        <w:t>mself</w:t>
      </w:r>
      <w:proofErr w:type="spellEnd"/>
      <w:r w:rsidRPr="00395B6E">
        <w:rPr>
          <w:rStyle w:val="StyleUnderline"/>
          <w:rFonts w:asciiTheme="minorHAnsi" w:hAnsiTheme="minorHAnsi" w:cstheme="minorHAnsi"/>
          <w:highlight w:val="green"/>
        </w:rPr>
        <w:t xml:space="preserve">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44F7847A" w14:textId="77777777" w:rsidR="00A423B8" w:rsidRDefault="00A423B8" w:rsidP="00A423B8">
      <w:pPr>
        <w:rPr>
          <w:rFonts w:asciiTheme="minorHAnsi" w:hAnsiTheme="minorHAnsi" w:cstheme="minorHAnsi"/>
        </w:rPr>
      </w:pPr>
    </w:p>
    <w:p w14:paraId="66A2157C" w14:textId="77777777" w:rsidR="00A423B8" w:rsidRDefault="00A423B8" w:rsidP="00A423B8">
      <w:pPr>
        <w:pStyle w:val="Heading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731F15BA" w14:textId="77777777" w:rsidR="00A423B8" w:rsidRDefault="00A423B8" w:rsidP="00A423B8"/>
    <w:p w14:paraId="0A917F0E" w14:textId="77777777" w:rsidR="00A423B8" w:rsidRDefault="00A423B8" w:rsidP="00A423B8">
      <w:pPr>
        <w:pStyle w:val="Heading2"/>
      </w:pPr>
      <w:r>
        <w:t>Offense</w:t>
      </w:r>
    </w:p>
    <w:p w14:paraId="0AC3E094" w14:textId="77777777" w:rsidR="00A423B8" w:rsidRDefault="00A423B8" w:rsidP="00A423B8"/>
    <w:p w14:paraId="178B52DA" w14:textId="77777777" w:rsidR="00A423B8" w:rsidRDefault="00A423B8" w:rsidP="00A423B8">
      <w:pPr>
        <w:pStyle w:val="Heading4"/>
      </w:pPr>
      <w:r>
        <w:t xml:space="preserve">I affirm the resolution resolved: </w:t>
      </w:r>
      <w:r>
        <w:rPr>
          <w:rFonts w:cs="Calibri"/>
        </w:rPr>
        <w:t xml:space="preserve">A just government ought to recognize an unconditional right of workers to strike. </w:t>
      </w:r>
      <w:r>
        <w:t xml:space="preserve">I defend the resolution as a general principle to promote existential freedom. PICs don’t negate because general principles tolerate exceptions. </w:t>
      </w:r>
    </w:p>
    <w:p w14:paraId="56F63ACD" w14:textId="77777777" w:rsidR="00A423B8" w:rsidRPr="000E40A5" w:rsidRDefault="00A423B8" w:rsidP="00A423B8"/>
    <w:p w14:paraId="3F3AC0DC" w14:textId="77777777" w:rsidR="00A423B8" w:rsidRDefault="00A423B8" w:rsidP="00A423B8">
      <w:pPr>
        <w:pStyle w:val="Heading4"/>
      </w:pPr>
      <w:r>
        <w:t xml:space="preserve">First, core existential values emphasize radical freedom which materializes in the form of commitment to a cause. </w:t>
      </w:r>
      <w:proofErr w:type="spellStart"/>
      <w:r>
        <w:t>Nurbudhiati</w:t>
      </w:r>
      <w:proofErr w:type="spellEnd"/>
      <w:r>
        <w:t xml:space="preserve"> 05</w:t>
      </w:r>
    </w:p>
    <w:p w14:paraId="4C059176" w14:textId="77777777" w:rsidR="00A423B8" w:rsidRPr="00ED3030" w:rsidRDefault="00A423B8" w:rsidP="00A423B8">
      <w:r>
        <w:t>[</w:t>
      </w:r>
      <w:proofErr w:type="spellStart"/>
      <w:r>
        <w:t>Yoan</w:t>
      </w:r>
      <w:proofErr w:type="spellEnd"/>
      <w:r>
        <w:t xml:space="preserve"> </w:t>
      </w:r>
      <w:proofErr w:type="spellStart"/>
      <w:r>
        <w:t>Nurbudhiati</w:t>
      </w:r>
      <w:proofErr w:type="spellEnd"/>
      <w:r>
        <w:t xml:space="preserve">, 2015, </w:t>
      </w:r>
      <w:hyperlink r:id="rId9" w:history="1">
        <w:r w:rsidRPr="00496019">
          <w:rPr>
            <w:rStyle w:val="Hyperlink"/>
          </w:rPr>
          <w:t>http://jurnalvivid.fib.unand.ac.id/index.php/vivid/article/view/38</w:t>
        </w:r>
      </w:hyperlink>
      <w:r>
        <w:t xml:space="preserve">] </w:t>
      </w:r>
    </w:p>
    <w:p w14:paraId="0CAA3808" w14:textId="77777777" w:rsidR="00A423B8" w:rsidRPr="00ED3030" w:rsidRDefault="00A423B8" w:rsidP="00A423B8">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79344E6A" w14:textId="77777777" w:rsidR="00A423B8" w:rsidRDefault="00A423B8" w:rsidP="00A423B8">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66B12B98" w14:textId="77777777" w:rsidR="00A423B8" w:rsidRDefault="00A423B8" w:rsidP="00A423B8">
      <w:pPr>
        <w:pStyle w:val="Heading4"/>
      </w:pPr>
      <w:r>
        <w:t xml:space="preserve">B] Government endorsement of the strike is thus good, because it encourages conditions for radical freedom. </w:t>
      </w:r>
    </w:p>
    <w:p w14:paraId="35E2666C" w14:textId="77777777" w:rsidR="00A423B8" w:rsidRPr="008D3DD4" w:rsidRDefault="00A423B8" w:rsidP="00A423B8"/>
    <w:p w14:paraId="49800EE8" w14:textId="77777777" w:rsidR="00A423B8" w:rsidRDefault="00A423B8" w:rsidP="00A423B8">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50C8B3AC" w14:textId="77777777" w:rsidR="00A423B8" w:rsidRDefault="00A423B8" w:rsidP="00A423B8"/>
    <w:p w14:paraId="3EA19BB6" w14:textId="77777777" w:rsidR="00A423B8" w:rsidRDefault="00A423B8" w:rsidP="00A423B8">
      <w:pPr>
        <w:pStyle w:val="Heading4"/>
      </w:pPr>
      <w:r>
        <w:t xml:space="preserve">Third, strikes challenge the dynamic of the workplace when employers take control of the worker, limiting their ability to self-create. </w:t>
      </w:r>
      <w:proofErr w:type="spellStart"/>
      <w:r>
        <w:t>Gourevitch</w:t>
      </w:r>
      <w:proofErr w:type="spellEnd"/>
      <w:r>
        <w:t xml:space="preserve"> 16: </w:t>
      </w:r>
    </w:p>
    <w:p w14:paraId="58DF60DE" w14:textId="77777777" w:rsidR="00A423B8" w:rsidRDefault="00A423B8" w:rsidP="00A423B8">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Gourevitch</w:t>
      </w:r>
      <w:proofErr w:type="spellEnd"/>
      <w:r>
        <w:rPr>
          <w:rFonts w:ascii="Arial" w:hAnsi="Arial" w:cs="Arial"/>
          <w:color w:val="222222"/>
          <w:sz w:val="20"/>
          <w:szCs w:val="20"/>
          <w:shd w:val="clear" w:color="auto" w:fill="FFFFFF"/>
        </w:rPr>
        <w:t>,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xml:space="preserve"> 14.2 (2016): 307. </w:t>
      </w:r>
      <w:proofErr w:type="spellStart"/>
      <w:r>
        <w:rPr>
          <w:rFonts w:ascii="Arial" w:hAnsi="Arial" w:cs="Arial"/>
          <w:color w:val="222222"/>
          <w:sz w:val="20"/>
          <w:szCs w:val="20"/>
          <w:shd w:val="clear" w:color="auto" w:fill="FFFFFF"/>
        </w:rPr>
        <w:t>Yoaks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shs</w:t>
      </w:r>
      <w:proofErr w:type="spellEnd"/>
      <w:r>
        <w:rPr>
          <w:rFonts w:ascii="Arial" w:hAnsi="Arial" w:cs="Arial"/>
          <w:color w:val="222222"/>
          <w:sz w:val="20"/>
          <w:szCs w:val="20"/>
          <w:shd w:val="clear" w:color="auto" w:fill="FFFFFF"/>
        </w:rPr>
        <w:t xml:space="preserve"> bs</w:t>
      </w:r>
    </w:p>
    <w:p w14:paraId="0C9416FE" w14:textId="77777777" w:rsidR="00A423B8" w:rsidRPr="0050577B" w:rsidRDefault="00A423B8" w:rsidP="00A423B8">
      <w:pPr>
        <w:rPr>
          <w:sz w:val="16"/>
        </w:rPr>
      </w:pPr>
      <w:proofErr w:type="gramStart"/>
      <w:r w:rsidRPr="0050577B">
        <w:rPr>
          <w:sz w:val="16"/>
        </w:rPr>
        <w:t>So</w:t>
      </w:r>
      <w:proofErr w:type="gramEnd"/>
      <w:r w:rsidRPr="0050577B">
        <w:rPr>
          <w:sz w:val="16"/>
        </w:rPr>
        <w:t xml:space="preserve">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w:t>
      </w:r>
      <w:proofErr w:type="gramStart"/>
      <w:r w:rsidRPr="0050577B">
        <w:rPr>
          <w:sz w:val="16"/>
        </w:rPr>
        <w:t>Therefore</w:t>
      </w:r>
      <w:proofErr w:type="gramEnd"/>
      <w:r w:rsidRPr="0050577B">
        <w:rPr>
          <w:sz w:val="16"/>
        </w:rPr>
        <w:t xml:space="preserv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2842C8CB" w14:textId="77777777" w:rsidR="00A423B8" w:rsidRDefault="00A423B8" w:rsidP="00A423B8"/>
    <w:p w14:paraId="251DE844" w14:textId="77777777" w:rsidR="00A423B8" w:rsidRDefault="00A423B8" w:rsidP="00A423B8">
      <w:pPr>
        <w:pStyle w:val="Heading2"/>
      </w:pPr>
      <w:r>
        <w:t>UV</w:t>
      </w:r>
    </w:p>
    <w:p w14:paraId="07644E5A" w14:textId="77777777" w:rsidR="00A423B8" w:rsidRPr="00CF7742" w:rsidRDefault="00A423B8" w:rsidP="00A423B8">
      <w:pPr>
        <w:pStyle w:val="Heading4"/>
        <w:rPr>
          <w:rFonts w:eastAsia="Times New Roman"/>
        </w:rPr>
      </w:pPr>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color w:val="000000"/>
        </w:rPr>
        <w:t>d) competing </w:t>
      </w:r>
      <w:proofErr w:type="spellStart"/>
      <w:r w:rsidRPr="00CF7742">
        <w:rPr>
          <w:rFonts w:eastAsia="Times New Roman"/>
          <w:color w:val="000000"/>
        </w:rPr>
        <w:t>interps</w:t>
      </w:r>
      <w:proofErr w:type="spellEnd"/>
      <w:r w:rsidRPr="00CF7742">
        <w:rPr>
          <w:rFonts w:eastAsia="Times New Roman"/>
          <w:color w:val="000000"/>
        </w:rPr>
        <w:t> – 1AR </w:t>
      </w:r>
      <w:proofErr w:type="spellStart"/>
      <w:r w:rsidRPr="00CF7742">
        <w:rPr>
          <w:rFonts w:eastAsia="Times New Roman"/>
          <w:color w:val="000000"/>
        </w:rPr>
        <w:t>interps</w:t>
      </w:r>
      <w:proofErr w:type="spellEnd"/>
      <w:r w:rsidRPr="00CF7742">
        <w:rPr>
          <w:rFonts w:eastAsia="Times New Roman"/>
          <w:color w:val="000000"/>
        </w:rPr>
        <w:t xml:space="preserve"> aren’t bidirectional and the neg should have to defend their norm since they have more time. </w:t>
      </w:r>
      <w:r w:rsidRPr="00CF7742">
        <w:t xml:space="preserve">e) Aff theory first – it’s a much larger strategic loss because 1min is ¼ of the 1AR vs 1/7 of the 1NC - Prefer structural weighing </w:t>
      </w:r>
      <w:proofErr w:type="spellStart"/>
      <w:r w:rsidRPr="00CF7742">
        <w:t>args</w:t>
      </w:r>
      <w:proofErr w:type="spellEnd"/>
      <w:r w:rsidRPr="00CF7742">
        <w:t xml:space="preserve"> about aff vs. neg since they apply to each round so are most likely to establish communal norms</w:t>
      </w:r>
    </w:p>
    <w:p w14:paraId="2E1E7769" w14:textId="77777777" w:rsidR="00A423B8" w:rsidRPr="0014547F" w:rsidRDefault="00A423B8" w:rsidP="00A423B8"/>
    <w:p w14:paraId="61D7D122" w14:textId="77777777" w:rsidR="00A423B8" w:rsidRPr="0014547F" w:rsidRDefault="00A423B8" w:rsidP="00A423B8">
      <w:pPr>
        <w:pStyle w:val="Heading4"/>
      </w:pPr>
      <w:r w:rsidRPr="0014547F">
        <w:t>2] Fairness is a voter – it’s an intrinsic aspect of a competitive activity like debate. Education is a voter – it’s the only portable skill from debate.</w:t>
      </w:r>
    </w:p>
    <w:p w14:paraId="2F7EE4F6" w14:textId="77777777" w:rsidR="00A423B8" w:rsidRPr="0014547F" w:rsidRDefault="00A423B8" w:rsidP="00A423B8"/>
    <w:p w14:paraId="32228284" w14:textId="77777777" w:rsidR="00A423B8" w:rsidRPr="0014547F" w:rsidRDefault="00A423B8" w:rsidP="00A423B8">
      <w:pPr>
        <w:pStyle w:val="Heading4"/>
      </w:pPr>
      <w:r w:rsidRPr="0014547F">
        <w:t xml:space="preserve">3] Permissibility affirms: </w:t>
      </w:r>
    </w:p>
    <w:p w14:paraId="70F5D0ED" w14:textId="77777777" w:rsidR="00A423B8" w:rsidRPr="0014547F" w:rsidRDefault="00A423B8" w:rsidP="00A423B8">
      <w:pPr>
        <w:pStyle w:val="Heading4"/>
      </w:pPr>
      <w:r w:rsidRPr="0014547F">
        <w:t>A] Dictionary.com defines “ought”: as a verb “used to express justice, moral rightness, or the like” and “wrong” as “not in accordance with what is morally right or good” – proving something isn’t wrong means it’s right.</w:t>
      </w:r>
    </w:p>
    <w:p w14:paraId="215CFF2C" w14:textId="77777777" w:rsidR="00A423B8" w:rsidRPr="0014547F" w:rsidRDefault="00A423B8" w:rsidP="00A423B8">
      <w:pPr>
        <w:pStyle w:val="Heading4"/>
      </w:pPr>
      <w:r w:rsidRPr="0014547F">
        <w:t xml:space="preserve">B] We don’t have to justify doing morally neutral things like drinking water </w:t>
      </w:r>
    </w:p>
    <w:p w14:paraId="07B60431" w14:textId="77777777" w:rsidR="00A423B8" w:rsidRPr="0014547F" w:rsidRDefault="00A423B8" w:rsidP="00A423B8">
      <w:pPr>
        <w:rPr>
          <w:b/>
          <w:sz w:val="26"/>
          <w:szCs w:val="26"/>
        </w:rPr>
      </w:pPr>
    </w:p>
    <w:p w14:paraId="6CCB9108" w14:textId="77777777" w:rsidR="00A423B8" w:rsidRPr="0014547F" w:rsidRDefault="00A423B8" w:rsidP="00A423B8">
      <w:pPr>
        <w:pStyle w:val="Heading4"/>
      </w:pPr>
      <w:r w:rsidRPr="0014547F">
        <w:t>4] Presumption affirms:</w:t>
      </w:r>
    </w:p>
    <w:p w14:paraId="5887D9D0" w14:textId="77777777" w:rsidR="00A423B8" w:rsidRPr="0014547F" w:rsidRDefault="00A423B8" w:rsidP="00A423B8">
      <w:pPr>
        <w:pStyle w:val="Heading4"/>
      </w:pPr>
      <w:r w:rsidRPr="0014547F">
        <w:t xml:space="preserve">A] We always default to assuming something true until proven false – if I told you my name is </w:t>
      </w:r>
      <w:r>
        <w:t>Bryan</w:t>
      </w:r>
      <w:r w:rsidRPr="0014547F">
        <w:t xml:space="preserve">, you would believe me. </w:t>
      </w:r>
    </w:p>
    <w:p w14:paraId="6EBBEEC8" w14:textId="77777777" w:rsidR="00A423B8" w:rsidRPr="0014547F" w:rsidRDefault="00A423B8" w:rsidP="00A423B8">
      <w:pPr>
        <w:pStyle w:val="Heading4"/>
      </w:pPr>
      <w:r w:rsidRPr="0014547F">
        <w:t>B] Affirming is harder. Prefer an empirical analysis – it accounts for all possible factors</w:t>
      </w:r>
    </w:p>
    <w:p w14:paraId="3AC44FEA" w14:textId="77777777" w:rsidR="00A423B8" w:rsidRPr="0014547F" w:rsidRDefault="00A423B8" w:rsidP="00A423B8">
      <w:pPr>
        <w:rPr>
          <w:b/>
          <w:sz w:val="26"/>
          <w:szCs w:val="26"/>
        </w:rPr>
      </w:pPr>
      <w:r w:rsidRPr="0014547F">
        <w:rPr>
          <w:b/>
          <w:sz w:val="26"/>
          <w:szCs w:val="26"/>
        </w:rPr>
        <w:t xml:space="preserve">Shah 20 </w:t>
      </w:r>
      <w:proofErr w:type="spellStart"/>
      <w:r w:rsidRPr="0014547F">
        <w:t>Sachin</w:t>
      </w:r>
      <w:proofErr w:type="spellEnd"/>
      <w:r w:rsidRPr="0014547F">
        <w:t xml:space="preserve"> Shah [debater who analyzes topic stats] February 13, 2020, “A Statistical Analysis of Side-Bias on the 2020 January-February Lincoln Douglas Debate Topic by </w:t>
      </w:r>
      <w:proofErr w:type="spellStart"/>
      <w:r w:rsidRPr="0014547F">
        <w:t>Sachin</w:t>
      </w:r>
      <w:proofErr w:type="spellEnd"/>
      <w:r w:rsidRPr="0014547F">
        <w:t xml:space="preserve"> Shah” </w:t>
      </w:r>
      <w:hyperlink r:id="rId10">
        <w:r w:rsidRPr="0014547F">
          <w:rPr>
            <w:color w:val="000000"/>
          </w:rPr>
          <w:t>http://nsdupdate.com/2020/a-statistical-analysis-of-side-bias-on-the-2020-january-february-lincoln-douglas-debate-topic-by-sachin-shah/?fbclid=IwAR2P0AZqQtSiwMZlCpia-Fy1zFOdHn6JrGtcYgGulqeimd-V0a1xbaIMYYs</w:t>
        </w:r>
      </w:hyperlink>
    </w:p>
    <w:p w14:paraId="183A9528" w14:textId="77777777" w:rsidR="00A423B8" w:rsidRDefault="00A423B8" w:rsidP="00A423B8">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1A78EE82" w14:textId="1B50F61A" w:rsidR="00A423B8" w:rsidRDefault="00A423B8" w:rsidP="00A423B8">
      <w:pPr>
        <w:rPr>
          <w:b/>
          <w:bCs/>
          <w:sz w:val="26"/>
          <w:szCs w:val="26"/>
        </w:rPr>
      </w:pPr>
    </w:p>
    <w:p w14:paraId="0D838DD3" w14:textId="0E19B130" w:rsidR="00E019FF" w:rsidRPr="0014547F" w:rsidRDefault="00E019FF" w:rsidP="00E019FF">
      <w:pPr>
        <w:pStyle w:val="Heading4"/>
        <w:rPr>
          <w:color w:val="000000"/>
        </w:rPr>
      </w:pPr>
      <w:r>
        <w:t>5</w:t>
      </w:r>
      <w:r w:rsidRPr="0014547F">
        <w:t xml:space="preserve">] The neg may only link offense under an aff framework: a) makes sure we have a reciprocal number of routes b) shifting in the </w:t>
      </w:r>
      <w:proofErr w:type="spellStart"/>
      <w:r w:rsidRPr="0014547F">
        <w:t>nc</w:t>
      </w:r>
      <w:proofErr w:type="spellEnd"/>
      <w:r w:rsidRPr="0014547F">
        <w:t xml:space="preserve"> nullifies 6 mins of the aff and the 1ar is too short to restart c) They have 13 mins of rebuttal time while I have 7, the aff framework compensates d) </w:t>
      </w:r>
      <w:r w:rsidRPr="0014547F">
        <w:rPr>
          <w:color w:val="000000"/>
        </w:rPr>
        <w:t>Debating under same FW allows to foster nuanced clash rather than just debating a priori framework disagreements. e) If your FW is so important you can read it on the aff, if you can’t affirm under your FW, it’s unpreferable since there’s no equal ground</w:t>
      </w:r>
    </w:p>
    <w:p w14:paraId="40C981C1" w14:textId="77777777" w:rsidR="00E019FF" w:rsidRDefault="00E019FF" w:rsidP="00A423B8">
      <w:pPr>
        <w:rPr>
          <w:b/>
          <w:bCs/>
          <w:sz w:val="26"/>
          <w:szCs w:val="26"/>
        </w:rPr>
      </w:pPr>
    </w:p>
    <w:p w14:paraId="2C62B5F0" w14:textId="011D0D06" w:rsidR="00A423B8" w:rsidRPr="0014547F" w:rsidRDefault="00E019FF" w:rsidP="00A423B8">
      <w:pPr>
        <w:pStyle w:val="Heading4"/>
        <w:rPr>
          <w:color w:val="000000"/>
        </w:rPr>
      </w:pPr>
      <w:r>
        <w:t>6</w:t>
      </w:r>
      <w:r w:rsidR="00A423B8" w:rsidRPr="0014547F">
        <w:t>] Aff gets RVI’s</w:t>
      </w:r>
      <w:r w:rsidR="00A423B8">
        <w:t xml:space="preserve"> - a</w:t>
      </w:r>
      <w:r w:rsidR="00A423B8" w:rsidRPr="0014547F">
        <w:t xml:space="preserve">] The 1AR has to over-cover since the </w:t>
      </w:r>
      <w:r w:rsidR="00A423B8">
        <w:t>2</w:t>
      </w:r>
      <w:r w:rsidR="00A423B8" w:rsidRPr="0014547F">
        <w:t>N</w:t>
      </w:r>
      <w:r w:rsidR="00A423B8">
        <w:t>R</w:t>
      </w:r>
      <w:r w:rsidR="00A423B8" w:rsidRPr="0014547F">
        <w:t xml:space="preserve"> is devastating which encourages them to under-develop theory in the NC and over-develop in the </w:t>
      </w:r>
      <w:r w:rsidR="00A423B8">
        <w:t>2</w:t>
      </w:r>
      <w:r w:rsidR="00A423B8" w:rsidRPr="0014547F">
        <w:t>NR—</w:t>
      </w:r>
      <w:r w:rsidR="00A423B8">
        <w:t xml:space="preserve"> we </w:t>
      </w:r>
      <w:r w:rsidR="00A423B8" w:rsidRPr="0014547F">
        <w:t>need the RVI to develop good, in-depth theory</w:t>
      </w:r>
      <w:r w:rsidR="00A423B8">
        <w:t xml:space="preserve"> </w:t>
      </w:r>
      <w:r w:rsidR="00A423B8" w:rsidRPr="0014547F">
        <w:t>offense</w:t>
      </w:r>
      <w:r w:rsidR="00A423B8">
        <w:t>, b</w:t>
      </w:r>
      <w:r w:rsidR="00A423B8" w:rsidRPr="0014547F">
        <w:t xml:space="preserve">] 7-minute NC means you can brute force theory and I don’t have time to win both layers, </w:t>
      </w:r>
    </w:p>
    <w:p w14:paraId="61EA8151" w14:textId="77777777" w:rsidR="00A423B8" w:rsidRDefault="00A423B8" w:rsidP="00A423B8"/>
    <w:p w14:paraId="7C6FE50D" w14:textId="77777777" w:rsidR="00A423B8" w:rsidRPr="005C7665" w:rsidRDefault="00A423B8" w:rsidP="00A423B8"/>
    <w:p w14:paraId="331103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7622784"/>
    <w:docVar w:name="VerbatimVersion" w:val="5.1"/>
  </w:docVars>
  <w:rsids>
    <w:rsidRoot w:val="00576C4A"/>
    <w:rsid w:val="000139A3"/>
    <w:rsid w:val="00100833"/>
    <w:rsid w:val="00104529"/>
    <w:rsid w:val="00105942"/>
    <w:rsid w:val="00107396"/>
    <w:rsid w:val="00110E0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4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423B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019F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7502B"/>
  <w15:chartTrackingRefBased/>
  <w15:docId w15:val="{FA1CC62A-D322-4417-AFDC-FD2283781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23B8"/>
    <w:rPr>
      <w:rFonts w:ascii="Calibri" w:hAnsi="Calibri" w:cs="Calibri"/>
    </w:rPr>
  </w:style>
  <w:style w:type="paragraph" w:styleId="Heading1">
    <w:name w:val="heading 1"/>
    <w:aliases w:val="Pocket"/>
    <w:basedOn w:val="Normal"/>
    <w:next w:val="Normal"/>
    <w:link w:val="Heading1Char"/>
    <w:qFormat/>
    <w:rsid w:val="00576C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6C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6C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576C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6C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C4A"/>
  </w:style>
  <w:style w:type="character" w:customStyle="1" w:styleId="Heading1Char">
    <w:name w:val="Heading 1 Char"/>
    <w:aliases w:val="Pocket Char"/>
    <w:basedOn w:val="DefaultParagraphFont"/>
    <w:link w:val="Heading1"/>
    <w:rsid w:val="00576C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6C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6C4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576C4A"/>
    <w:rPr>
      <w:rFonts w:ascii="Calibri" w:eastAsiaTheme="majorEastAsia" w:hAnsi="Calibri" w:cstheme="majorBidi"/>
      <w:b/>
      <w:iCs/>
      <w:sz w:val="26"/>
    </w:rPr>
  </w:style>
  <w:style w:type="character" w:styleId="Emphasis">
    <w:name w:val="Emphasis"/>
    <w:basedOn w:val="DefaultParagraphFont"/>
    <w:uiPriority w:val="7"/>
    <w:qFormat/>
    <w:rsid w:val="00576C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76C4A"/>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576C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576C4A"/>
    <w:rPr>
      <w:color w:val="auto"/>
      <w:u w:val="none"/>
    </w:rPr>
  </w:style>
  <w:style w:type="character" w:styleId="FollowedHyperlink">
    <w:name w:val="FollowedHyperlink"/>
    <w:basedOn w:val="DefaultParagraphFont"/>
    <w:uiPriority w:val="99"/>
    <w:semiHidden/>
    <w:unhideWhenUsed/>
    <w:rsid w:val="00576C4A"/>
    <w:rPr>
      <w:color w:val="auto"/>
      <w:u w:val="none"/>
    </w:rPr>
  </w:style>
  <w:style w:type="paragraph" w:customStyle="1" w:styleId="Card">
    <w:name w:val="Card"/>
    <w:basedOn w:val="Heading1"/>
    <w:link w:val="Hyperlink"/>
    <w:autoRedefine/>
    <w:uiPriority w:val="99"/>
    <w:qFormat/>
    <w:rsid w:val="00A423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pages.wmich.edu/~baldner/existentialism.pdf" TargetMode="External"/><Relationship Id="rId3" Type="http://schemas.openxmlformats.org/officeDocument/2006/relationships/styles" Target="styles.xml"/><Relationship Id="rId7" Type="http://schemas.openxmlformats.org/officeDocument/2006/relationships/hyperlink" Target="https://www.e-ir.info/2013/01/23/jean-paul-sartre-existential-freedom-and-the-politic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xists.org/reference/subject/ethics/de-beauvoir/ambiguity/ch01.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jurnalvivid.fib.unand.ac.id/index.php/vivid/article/view/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3958</Words>
  <Characters>22567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5</cp:revision>
  <dcterms:created xsi:type="dcterms:W3CDTF">2021-12-04T20:04:00Z</dcterms:created>
  <dcterms:modified xsi:type="dcterms:W3CDTF">2021-12-04T20:19:00Z</dcterms:modified>
</cp:coreProperties>
</file>