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FC21A" w14:textId="2D4FDAE5" w:rsidR="006F134D" w:rsidRPr="00CF7742" w:rsidRDefault="006F134D" w:rsidP="006F134D">
      <w:pPr>
        <w:pStyle w:val="Heading4"/>
        <w:rPr>
          <w:rFonts w:cs="Calibri"/>
        </w:rPr>
      </w:pPr>
      <w:r w:rsidRPr="00CF7742">
        <w:rPr>
          <w:rFonts w:cs="Calibri"/>
        </w:rPr>
        <w:t xml:space="preserve">I affirm. Spikes are at the bottom. </w:t>
      </w:r>
    </w:p>
    <w:p w14:paraId="0CD629C7" w14:textId="77777777" w:rsidR="006F134D" w:rsidRDefault="006F134D" w:rsidP="006F134D">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0F0D71F7" w14:textId="77777777" w:rsidR="006F134D" w:rsidRDefault="006F134D" w:rsidP="006F134D">
      <w:pPr>
        <w:pStyle w:val="Heading4"/>
      </w:pPr>
      <w:proofErr w:type="spellStart"/>
      <w:r>
        <w:t>Constitutivism</w:t>
      </w:r>
      <w:proofErr w:type="spellEnd"/>
      <w:r>
        <w:t xml:space="preserve"> solves – it allows for universal obligations among all agents but they are binding and cannot be opted out of.</w:t>
      </w:r>
    </w:p>
    <w:p w14:paraId="11D9CCD3" w14:textId="77777777" w:rsidR="006F134D" w:rsidRPr="00D11592" w:rsidRDefault="006F134D" w:rsidP="006F134D">
      <w:pPr>
        <w:pStyle w:val="Heading4"/>
      </w:pPr>
      <w:r w:rsidRPr="00D11592">
        <w:t>The meta-ethic is procedural moral realism.</w:t>
      </w:r>
    </w:p>
    <w:p w14:paraId="6B93880D" w14:textId="77777777" w:rsidR="006F134D" w:rsidRPr="00D11592" w:rsidRDefault="006F134D" w:rsidP="006F134D">
      <w:pPr>
        <w:pStyle w:val="Heading4"/>
      </w:pPr>
      <w:r w:rsidRPr="00D11592">
        <w:t xml:space="preserve">This entails that moral facts stem from procedures while substantive realism holds that moral truths exist independently of that in the empirical world. Prefer procedural realism – </w:t>
      </w:r>
    </w:p>
    <w:p w14:paraId="15D74CEB" w14:textId="77777777" w:rsidR="006F134D" w:rsidRPr="00D11592" w:rsidRDefault="006F134D" w:rsidP="006F134D">
      <w:pPr>
        <w:pStyle w:val="Heading4"/>
      </w:pPr>
      <w:r w:rsidRPr="00D11592">
        <w:t xml:space="preserve">[1] Collapses – the only way to verify whether something is a moral fact is by using procedures to warrant it. </w:t>
      </w:r>
    </w:p>
    <w:p w14:paraId="7FAE7FF3" w14:textId="77777777" w:rsidR="006F134D" w:rsidRPr="00D11592" w:rsidRDefault="006F134D" w:rsidP="006F134D">
      <w:pPr>
        <w:pStyle w:val="Heading4"/>
      </w:pPr>
      <w:r w:rsidRPr="00D11592">
        <w:t>[2] Uncertainty – our experiences are inaccessible to others which allows people to say they don’t experience the same, however a priori principles are universally applied to all agents.</w:t>
      </w:r>
    </w:p>
    <w:p w14:paraId="307122B1" w14:textId="048D2BDB" w:rsidR="006F134D" w:rsidRDefault="006F134D" w:rsidP="005C3D26">
      <w:pPr>
        <w:pStyle w:val="Heading4"/>
      </w:pPr>
      <w:r w:rsidRPr="00D11592">
        <w:t>[3] Is/Ought Gap – we can only perceive what is, not what ought to be. It’s impossible to derive an ought statement from descriptive facts about the world, necessitating a priori premises.</w:t>
      </w:r>
    </w:p>
    <w:p w14:paraId="36D818CC" w14:textId="77777777" w:rsidR="005C3D26" w:rsidRPr="005C3D26" w:rsidRDefault="005C3D26" w:rsidP="005C3D26"/>
    <w:p w14:paraId="7F4CBCE9" w14:textId="77777777" w:rsidR="006F134D" w:rsidRDefault="006F134D" w:rsidP="006F134D">
      <w:pPr>
        <w:pStyle w:val="Heading4"/>
      </w:pPr>
      <w:r>
        <w:t>Next, only practical reason is constitutive:</w:t>
      </w:r>
    </w:p>
    <w:p w14:paraId="3DF823F7" w14:textId="77777777" w:rsidR="006F134D" w:rsidRDefault="006F134D" w:rsidP="006F134D">
      <w:pPr>
        <w:pStyle w:val="Heading4"/>
      </w:pPr>
      <w:r>
        <w:t>[1] Regress – to question why one should reason concedes its authority since it is an act of reasoning itself which proves it’s binding and inescapable</w:t>
      </w:r>
    </w:p>
    <w:p w14:paraId="7388952B" w14:textId="77777777" w:rsidR="006F134D" w:rsidRDefault="006F134D" w:rsidP="006F134D">
      <w:pPr>
        <w:pStyle w:val="Heading4"/>
      </w:pPr>
      <w:r>
        <w:t>[2] Agents can shift between different identities but doing so requires reason - it unifies the subject and is the only enterprise agents cannot escape</w:t>
      </w:r>
    </w:p>
    <w:p w14:paraId="59CF75AD" w14:textId="77777777" w:rsidR="006F134D" w:rsidRPr="00E63F3E" w:rsidRDefault="006F134D" w:rsidP="006F134D">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4"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6E24CC9" w14:textId="77777777" w:rsidR="006F134D" w:rsidRDefault="006F134D" w:rsidP="006F134D">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2A873D1" w14:textId="77777777" w:rsidR="006F134D" w:rsidRPr="0051320E" w:rsidRDefault="006F134D" w:rsidP="006F134D"/>
    <w:p w14:paraId="036FE6A1" w14:textId="77777777" w:rsidR="006F134D" w:rsidRDefault="006F134D" w:rsidP="006F134D">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ABD25D3" w14:textId="255FB09D" w:rsidR="004058AA" w:rsidRDefault="006F134D" w:rsidP="006F134D">
      <w:pPr>
        <w:pStyle w:val="Heading4"/>
      </w:pPr>
      <w:r w:rsidRPr="00CF7742">
        <w:rPr>
          <w:rFonts w:cs="Calibri"/>
        </w:rPr>
        <w:t>Thus, the standard is consistency with the categorical imperative– actions that terminate in contradictions when universalized are bad, so only our restrictions can solve</w:t>
      </w:r>
      <w:r w:rsidR="004058AA">
        <w:t>.</w:t>
      </w:r>
    </w:p>
    <w:p w14:paraId="76EF6FD3" w14:textId="78E95C75" w:rsidR="006F134D" w:rsidRPr="002B1102" w:rsidRDefault="006F134D" w:rsidP="006F134D">
      <w:pPr>
        <w:pStyle w:val="Heading4"/>
      </w:pPr>
      <w:r>
        <w:t xml:space="preserve">Impact calc: Intentions first – only the intention in pursuing a certain end is relevant when considering whether or not it is universalizable. </w:t>
      </w:r>
      <w:r w:rsidRPr="002B1102">
        <w:t xml:space="preserve">Prefer for action theory - Any action can be split into infinite smaller actions. For example, when I’m taking a bite of food, I am making infinite movements of my hand and mouth – only the intention unifies the action. If we can’t unify action, we can’t call actions moral or immoral because they are made up of infinite parts. </w:t>
      </w:r>
    </w:p>
    <w:p w14:paraId="5AA1DA7A" w14:textId="77777777" w:rsidR="006F134D" w:rsidRPr="002B1102" w:rsidRDefault="006F134D" w:rsidP="006F134D">
      <w:pPr>
        <w:pStyle w:val="Heading4"/>
      </w:pPr>
    </w:p>
    <w:p w14:paraId="0E4758A9" w14:textId="77777777" w:rsidR="006F134D" w:rsidRPr="002B1102" w:rsidRDefault="006F134D" w:rsidP="006F134D">
      <w:pPr>
        <w:pStyle w:val="Heading4"/>
        <w:rPr>
          <w:rFonts w:cs="Calibri"/>
        </w:rPr>
      </w:pPr>
      <w:r w:rsidRPr="002B1102">
        <w:rPr>
          <w:rFonts w:cs="Calibri"/>
        </w:rPr>
        <w:t>Also Prefer Additionally –</w:t>
      </w:r>
    </w:p>
    <w:p w14:paraId="6220F2CE" w14:textId="77777777" w:rsidR="006F134D" w:rsidRPr="00CF7742" w:rsidRDefault="006F134D" w:rsidP="006F134D"/>
    <w:p w14:paraId="250FB782" w14:textId="77777777" w:rsidR="006F134D" w:rsidRPr="00D11569" w:rsidRDefault="006F134D" w:rsidP="006F134D">
      <w:pPr>
        <w:pStyle w:val="Heading4"/>
      </w:pPr>
      <w:r>
        <w:t xml:space="preserve"> [1] We must value freedom insofar as we value our ends which justifies valuing the freedom of agents setting and pursuing ends since anything else would be contradictory. This means we can’t treat others as a mere means to an end</w:t>
      </w:r>
    </w:p>
    <w:p w14:paraId="66FFB491" w14:textId="77777777" w:rsidR="006F134D" w:rsidRPr="00D11569" w:rsidRDefault="006F134D" w:rsidP="006F134D">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ABEFD4F" w14:textId="77777777" w:rsidR="006F134D" w:rsidRPr="002A4B9D" w:rsidRDefault="006F134D" w:rsidP="006F134D">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0C08A95A" w14:textId="77777777" w:rsidR="006F134D" w:rsidRPr="00CF7742" w:rsidRDefault="006F134D" w:rsidP="006F134D">
      <w:pPr>
        <w:pStyle w:val="Heading4"/>
        <w:spacing w:line="240" w:lineRule="auto"/>
        <w:rPr>
          <w:rFonts w:cs="Calibri"/>
        </w:rPr>
      </w:pPr>
      <w:r w:rsidRPr="00CF7742">
        <w:rPr>
          <w:rFonts w:cs="Calibri"/>
        </w:rPr>
        <w:t xml:space="preserve"> </w:t>
      </w:r>
    </w:p>
    <w:p w14:paraId="435599AB" w14:textId="77777777" w:rsidR="006F134D" w:rsidRDefault="006F134D" w:rsidP="006F134D">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45F502E6" w14:textId="77777777" w:rsidR="006F134D" w:rsidRDefault="006F134D" w:rsidP="006F134D">
      <w:pPr>
        <w:pStyle w:val="Heading4"/>
        <w:rPr>
          <w:color w:val="000000"/>
        </w:rPr>
      </w:pPr>
    </w:p>
    <w:p w14:paraId="637CF9DC" w14:textId="77777777" w:rsidR="006F134D" w:rsidRPr="001B1B98" w:rsidRDefault="006F134D" w:rsidP="006F134D">
      <w:pPr>
        <w:pStyle w:val="Heading4"/>
      </w:pPr>
      <w:r>
        <w:rPr>
          <w:color w:val="000000"/>
        </w:rPr>
        <w:t xml:space="preserve">[3] </w:t>
      </w:r>
      <w:r w:rsidRPr="00E63F3E">
        <w:t>Oppression</w:t>
      </w:r>
      <w:r w:rsidRPr="001B1B98">
        <w:t xml:space="preserve"> is caused by arbitrary exclusion of others – only universalizability makes sure that we include everyone equally. Farr 02</w:t>
      </w:r>
    </w:p>
    <w:p w14:paraId="4C8A51A0" w14:textId="77777777" w:rsidR="006F134D" w:rsidRPr="001B1B98" w:rsidRDefault="006F134D" w:rsidP="006F134D">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716A45C2" w14:textId="77777777" w:rsidR="006F134D" w:rsidRPr="001B1B98" w:rsidRDefault="006F134D" w:rsidP="006F134D">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15030D21" w14:textId="77777777" w:rsidR="006F134D" w:rsidRPr="00CF7742" w:rsidRDefault="006F134D" w:rsidP="006F134D">
      <w:pPr>
        <w:pStyle w:val="NormalWeb"/>
        <w:rPr>
          <w:rFonts w:ascii="Calibri" w:hAnsi="Calibri" w:cs="Calibri"/>
          <w:b/>
          <w:iCs/>
          <w:u w:val="single"/>
        </w:rPr>
      </w:pPr>
    </w:p>
    <w:p w14:paraId="3360F7A5" w14:textId="43BA0083" w:rsidR="006F134D" w:rsidRPr="001B1B98" w:rsidRDefault="006F134D" w:rsidP="006F134D">
      <w:pPr>
        <w:pStyle w:val="Heading4"/>
      </w:pPr>
      <w:r w:rsidRPr="00E63F3E">
        <w:t>[</w:t>
      </w: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2A093BAD" w14:textId="77777777" w:rsidR="006F134D" w:rsidRPr="00CF7742" w:rsidRDefault="006F134D" w:rsidP="006F134D">
      <w:pPr>
        <w:rPr>
          <w:sz w:val="12"/>
        </w:rPr>
      </w:pPr>
    </w:p>
    <w:p w14:paraId="3F43214E" w14:textId="47193DED" w:rsidR="006F134D" w:rsidRPr="00CF7742" w:rsidRDefault="006F134D" w:rsidP="006F134D">
      <w:pPr>
        <w:pStyle w:val="Heading4"/>
        <w:rPr>
          <w:rFonts w:cs="Calibri"/>
        </w:rPr>
      </w:pPr>
      <w:r w:rsidRPr="00CF7742">
        <w:rPr>
          <w:rFonts w:cs="Calibri"/>
        </w:rPr>
        <w:t>[</w:t>
      </w:r>
      <w:r>
        <w:rPr>
          <w:rFonts w:cs="Calibri"/>
        </w:rPr>
        <w:t>5</w:t>
      </w:r>
      <w:r w:rsidRPr="00CF7742">
        <w:rPr>
          <w:rFonts w:cs="Calibri"/>
        </w:rPr>
        <w:t xml:space="preserve">] Parameters </w:t>
      </w:r>
    </w:p>
    <w:p w14:paraId="0D6195CA" w14:textId="77777777" w:rsidR="006F134D" w:rsidRPr="00CF7742" w:rsidRDefault="006F134D" w:rsidP="006F134D">
      <w:pPr>
        <w:pStyle w:val="Heading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73BC21CC" w14:textId="77777777" w:rsidR="006F134D" w:rsidRPr="00CF7742" w:rsidRDefault="006F134D" w:rsidP="006F134D">
      <w:pPr>
        <w:pStyle w:val="Heading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136990E3" w14:textId="77777777" w:rsidR="006F134D" w:rsidRPr="00CF7742" w:rsidRDefault="006F134D" w:rsidP="006F134D">
      <w:pPr>
        <w:rPr>
          <w:sz w:val="12"/>
          <w:szCs w:val="12"/>
        </w:rPr>
      </w:pPr>
      <w:r w:rsidRPr="00CF7742">
        <w:rPr>
          <w:sz w:val="12"/>
          <w:szCs w:val="12"/>
        </w:rPr>
        <w:t>Ripstein, Arthur.  Force and Freedom: Kant’s Legal and Political Philosophy. Harvard University Press, Cambridge, Massachusetts.  2009</w:t>
      </w:r>
    </w:p>
    <w:p w14:paraId="53E81F05" w14:textId="77777777" w:rsidR="006F134D" w:rsidRPr="00CF7742" w:rsidRDefault="006F134D" w:rsidP="006F134D">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Other, enumerated rights are subject to proportionality analysis, through which they can be restricted in light of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even in light of the enumerated rights falling under it, because—to put it in explicitly Kantian terms—</w:t>
      </w:r>
      <w:r w:rsidRPr="00CF7742">
        <w:rPr>
          <w:b/>
          <w:highlight w:val="cyan"/>
          <w:u w:val="single"/>
        </w:rPr>
        <w:t>citizens could not give themselves a law that turned them into mere objects.</w:t>
      </w:r>
    </w:p>
    <w:p w14:paraId="0F5D29C3" w14:textId="77777777" w:rsidR="006F134D" w:rsidRPr="00CF7742" w:rsidRDefault="006F134D" w:rsidP="006F134D">
      <w:pPr>
        <w:spacing w:before="2" w:after="2"/>
        <w:rPr>
          <w:b/>
          <w:u w:val="single"/>
        </w:rPr>
      </w:pPr>
    </w:p>
    <w:p w14:paraId="0417DF1B" w14:textId="77777777" w:rsidR="006F134D" w:rsidRPr="00CF7742" w:rsidRDefault="006F134D" w:rsidP="006F134D">
      <w:pPr>
        <w:spacing w:before="2" w:after="2"/>
        <w:rPr>
          <w:bCs/>
        </w:rPr>
      </w:pPr>
    </w:p>
    <w:p w14:paraId="22D6CA4E" w14:textId="77777777" w:rsidR="006F134D" w:rsidRPr="004E0F91" w:rsidRDefault="006F134D" w:rsidP="006F134D">
      <w:pPr>
        <w:pStyle w:val="Heading4"/>
        <w:rPr>
          <w:rStyle w:val="Emphasis"/>
          <w:b/>
          <w:iCs/>
        </w:rPr>
      </w:pPr>
      <w:r w:rsidRPr="0014547F">
        <w:t>Thus</w:t>
      </w:r>
      <w:r>
        <w:t>,</w:t>
      </w:r>
      <w:r w:rsidRPr="0014547F">
        <w:t xml:space="preserve"> I defend the resolution as a general principle: </w:t>
      </w:r>
      <w:r w:rsidRPr="001828A6">
        <w:t>Resolved: A just government ought to recognize an unconditional right of workers to strike</w:t>
      </w:r>
      <w:r w:rsidRPr="0014547F">
        <w:t>. I’m willing to spec what you want as long as I don’t abandon my maxim</w:t>
      </w:r>
      <w:r>
        <w:t>.</w:t>
      </w:r>
      <w:r w:rsidRPr="0014547F">
        <w:t xml:space="preserve"> CPs and PICs don’t negate –and they don’t disprove my general thesis.</w:t>
      </w:r>
      <w:r>
        <w:t xml:space="preserve"> </w:t>
      </w:r>
    </w:p>
    <w:p w14:paraId="6DF2796F" w14:textId="77777777" w:rsidR="006F134D" w:rsidRPr="00C7219E" w:rsidRDefault="006F134D" w:rsidP="006F134D"/>
    <w:p w14:paraId="0A297FDB" w14:textId="77777777" w:rsidR="006F134D" w:rsidRDefault="006F134D" w:rsidP="006F134D">
      <w:pPr>
        <w:pStyle w:val="Heading4"/>
      </w:pPr>
      <w:r>
        <w:t xml:space="preserve">Enforcement is through International Framework Agreements but it’s irrelevant under the </w:t>
      </w:r>
      <w:proofErr w:type="spellStart"/>
      <w:r>
        <w:t>fw</w:t>
      </w:r>
      <w:proofErr w:type="spellEnd"/>
      <w:r>
        <w:t xml:space="preserve">. </w:t>
      </w:r>
    </w:p>
    <w:p w14:paraId="2A8E10FC" w14:textId="77777777" w:rsidR="006F134D" w:rsidRPr="00CF7742" w:rsidRDefault="006F134D" w:rsidP="006F134D">
      <w:pPr>
        <w:spacing w:before="2" w:after="2"/>
        <w:rPr>
          <w:bCs/>
        </w:rPr>
      </w:pPr>
    </w:p>
    <w:p w14:paraId="272E4FA4" w14:textId="77777777" w:rsidR="006F134D" w:rsidRPr="00CF7742" w:rsidRDefault="006F134D" w:rsidP="006F134D">
      <w:pPr>
        <w:pStyle w:val="Heading2"/>
        <w:rPr>
          <w:rFonts w:cs="Calibri"/>
        </w:rPr>
      </w:pPr>
      <w:r w:rsidRPr="00CF7742">
        <w:rPr>
          <w:rFonts w:cs="Calibri"/>
        </w:rPr>
        <w:t>Offense</w:t>
      </w:r>
    </w:p>
    <w:p w14:paraId="36B213FB" w14:textId="77777777" w:rsidR="006F134D" w:rsidRPr="00CF7742" w:rsidRDefault="006F134D" w:rsidP="006F134D">
      <w:pPr>
        <w:pStyle w:val="Heading4"/>
        <w:rPr>
          <w:rFonts w:cs="Calibri"/>
        </w:rPr>
      </w:pPr>
      <w:bookmarkStart w:id="0" w:name="_Hlk53215148"/>
    </w:p>
    <w:p w14:paraId="68B55002" w14:textId="77777777" w:rsidR="006F134D" w:rsidRDefault="006F134D" w:rsidP="006F134D">
      <w:pPr>
        <w:pStyle w:val="Heading4"/>
      </w:pPr>
      <w:r>
        <w:t>[1] The right to strike is necessary for workers to exercise their over working conditions to ensure that they are not treated as a mere means- t</w:t>
      </w:r>
    </w:p>
    <w:p w14:paraId="0ECB560A" w14:textId="77777777" w:rsidR="006F134D" w:rsidRDefault="006F134D" w:rsidP="006F134D">
      <w:pPr>
        <w:pStyle w:val="NormalWeb"/>
        <w:spacing w:before="15" w:beforeAutospacing="0" w:after="180" w:afterAutospacing="0"/>
      </w:pPr>
      <w:r>
        <w:rPr>
          <w:rFonts w:ascii="Calibri" w:hAnsi="Calibri" w:cs="Calibri"/>
          <w:b/>
          <w:bCs/>
          <w:sz w:val="26"/>
          <w:szCs w:val="26"/>
        </w:rPr>
        <w:t>Chima 13</w:t>
      </w:r>
      <w:r>
        <w:rPr>
          <w:rFonts w:ascii="Calibri" w:hAnsi="Calibri" w:cs="Calibri"/>
        </w:rPr>
        <w:t> </w:t>
      </w:r>
      <w:r w:rsidRPr="006D1217">
        <w:rPr>
          <w:rFonts w:ascii="Calibri" w:hAnsi="Calibri" w:cs="Calibri"/>
        </w:rPr>
        <w:t xml:space="preserve">(Sylvester Chima, </w:t>
      </w:r>
      <w:proofErr w:type="spellStart"/>
      <w:r w:rsidRPr="006D1217">
        <w:rPr>
          <w:rFonts w:ascii="Calibri" w:hAnsi="Calibri" w:cs="Calibri"/>
        </w:rPr>
        <w:t>Programme</w:t>
      </w:r>
      <w:proofErr w:type="spellEnd"/>
      <w:r w:rsidRPr="006D1217">
        <w:rPr>
          <w:rFonts w:ascii="Calibri" w:hAnsi="Calibri" w:cs="Calibri"/>
        </w:rPr>
        <w:t xml:space="preserve"> of Bio &amp; Research Ethics and Medical Law, Nelson R Mandela School of Medicine &amp; School of Nursing and Public Health, College of Health Sciences, University of KwaZulu-Natal, Durban, South Africa, 11-18-2013, accessed on 6-22-2021, BMC Medical Ethics, "Global medicine: Is it ethical or morally justifiable for doctors and other healthcare workers to go on strike?", </w:t>
      </w:r>
      <w:hyperlink r:id="rId5" w:history="1">
        <w:r w:rsidRPr="003B2F0B">
          <w:rPr>
            <w:rStyle w:val="Hyperlink"/>
            <w:rFonts w:ascii="Calibri" w:hAnsi="Calibri" w:cs="Calibri"/>
          </w:rPr>
          <w:t>https://bmcmedethics.biomedcentral.com/articles/10.1186/1472-6939-14-S1-S5</w:t>
        </w:r>
      </w:hyperlink>
      <w:r w:rsidRPr="006D1217">
        <w:rPr>
          <w:rFonts w:ascii="Calibri" w:hAnsi="Calibri" w:cs="Calibri"/>
        </w:rPr>
        <w:t>)</w:t>
      </w:r>
      <w:r>
        <w:rPr>
          <w:rFonts w:ascii="Calibri" w:hAnsi="Calibri" w:cs="Calibri"/>
        </w:rPr>
        <w:t xml:space="preserve"> BHHS AK</w:t>
      </w:r>
    </w:p>
    <w:p w14:paraId="29B07408" w14:textId="77777777" w:rsidR="006F134D" w:rsidRPr="00086DB4" w:rsidRDefault="006F134D" w:rsidP="006F134D">
      <w:pPr>
        <w:rPr>
          <w:sz w:val="16"/>
        </w:rPr>
      </w:pPr>
      <w:r w:rsidRPr="00086DB4">
        <w:rPr>
          <w:sz w:val="16"/>
        </w:rPr>
        <w:t>Some philosophers have described moral obligations or duties, which ought to guide ethical behavior, such as the duty of fidelity or the obligation to keep promises, and beneficence - the obligation to do 'good' [</w:t>
      </w:r>
      <w:hyperlink r:id="rId6" w:anchor="ref-CR10" w:tooltip="Sachdev PS: Doctor's strike-an ethical justification. NZ Med J. 1986, 99: 412-4." w:history="1">
        <w:r w:rsidRPr="00086DB4">
          <w:rPr>
            <w:rStyle w:val="Hyperlink"/>
            <w:sz w:val="16"/>
          </w:rPr>
          <w:t>10</w:t>
        </w:r>
      </w:hyperlink>
      <w:r w:rsidRPr="00086DB4">
        <w:rPr>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7" w:anchor="ref-CR63" w:tooltip="Beauchamp TL, Childress JF: Principles of Biomedical Ethics. 2001, Oxford: Oxford University Press, 226-5" w:history="1">
        <w:r w:rsidRPr="00086DB4">
          <w:rPr>
            <w:rStyle w:val="Hyperlink"/>
            <w:sz w:val="16"/>
          </w:rPr>
          <w:t>63</w:t>
        </w:r>
      </w:hyperlink>
      <w:r w:rsidRPr="00086DB4">
        <w:rPr>
          <w:sz w:val="16"/>
        </w:rPr>
        <w:t>]. For example, it may be argued that </w:t>
      </w:r>
      <w:r w:rsidRPr="00086DB4">
        <w:rPr>
          <w:i/>
          <w:iCs/>
          <w:sz w:val="16"/>
        </w:rPr>
        <w:t>everybody is equally entitled to a just wage for just work</w:t>
      </w:r>
      <w:r w:rsidRPr="00086DB4">
        <w:rPr>
          <w:sz w:val="16"/>
        </w:rPr>
        <w:t>. The philosopher Immanuel Kant based his moral theory on a categorical imperative which encourages moral agents to act, based on a principle, which they would deem to become a universal law [</w:t>
      </w:r>
      <w:hyperlink r:id="rId8" w:anchor="ref-CR64" w:tooltip="Kant I: Groundwork of the Metaphysics of Morals (1785). Edited by: M Gregor. 1998, Cambridge: Cambridge University Press" w:history="1">
        <w:r w:rsidRPr="00086DB4">
          <w:rPr>
            <w:rStyle w:val="Hyperlink"/>
            <w:sz w:val="16"/>
          </w:rPr>
          <w:t>64</w:t>
        </w:r>
      </w:hyperlink>
      <w:r w:rsidRPr="00086DB4">
        <w:rPr>
          <w:sz w:val="16"/>
        </w:rPr>
        <w:t xml:space="preserve">]. One can argue that the decision by any HCW to go on strike may not be </w:t>
      </w:r>
      <w:proofErr w:type="spellStart"/>
      <w:r w:rsidRPr="00086DB4">
        <w:rPr>
          <w:sz w:val="16"/>
        </w:rPr>
        <w:t>universalisable</w:t>
      </w:r>
      <w:proofErr w:type="spellEnd"/>
      <w:r w:rsidRPr="00086DB4">
        <w:rPr>
          <w:sz w:val="16"/>
        </w:rPr>
        <w:t xml:space="preserve">. </w:t>
      </w:r>
      <w:r w:rsidRPr="006D1217">
        <w:rPr>
          <w:u w:val="single"/>
        </w:rPr>
        <w:t xml:space="preserve">However, looking at this decision </w:t>
      </w:r>
      <w:r w:rsidRPr="00086DB4">
        <w:rPr>
          <w:highlight w:val="green"/>
          <w:u w:val="single"/>
        </w:rPr>
        <w:t>from</w:t>
      </w:r>
      <w:r w:rsidRPr="006D1217">
        <w:rPr>
          <w:u w:val="single"/>
        </w:rPr>
        <w:t xml:space="preserve"> the principle of </w:t>
      </w:r>
      <w:r w:rsidRPr="00086DB4">
        <w:rPr>
          <w:highlight w:val="green"/>
          <w:u w:val="single"/>
        </w:rPr>
        <w:t>respect for autonomy</w:t>
      </w:r>
      <w:r w:rsidRPr="006D1217">
        <w:rPr>
          <w:u w:val="single"/>
        </w:rPr>
        <w:t xml:space="preserve">, or freedom of choice, one can conclude that individual autonomy is a sentiment which is desirable for all human beings. Accordingly, </w:t>
      </w:r>
      <w:r w:rsidRPr="00086DB4">
        <w:rPr>
          <w:highlight w:val="green"/>
          <w:u w:val="single"/>
        </w:rPr>
        <w:t>every worker should be free to choose whether to work or not, based on</w:t>
      </w:r>
      <w:r w:rsidRPr="006D1217">
        <w:rPr>
          <w:u w:val="single"/>
        </w:rPr>
        <w:t xml:space="preserve"> a </w:t>
      </w:r>
      <w:r w:rsidRPr="00713FA7">
        <w:rPr>
          <w:u w:val="single"/>
        </w:rPr>
        <w:t xml:space="preserve">whether </w:t>
      </w:r>
      <w:r w:rsidRPr="00086DB4">
        <w:rPr>
          <w:u w:val="single"/>
        </w:rPr>
        <w:t>any</w:t>
      </w:r>
      <w:r w:rsidRPr="006D1217">
        <w:rPr>
          <w:u w:val="single"/>
        </w:rPr>
        <w:t xml:space="preserve"> specific set of </w:t>
      </w:r>
      <w:r w:rsidRPr="00086DB4">
        <w:rPr>
          <w:highlight w:val="green"/>
          <w:u w:val="single"/>
        </w:rPr>
        <w:t>conditions of their</w:t>
      </w:r>
      <w:r w:rsidRPr="006D1217">
        <w:rPr>
          <w:u w:val="single"/>
        </w:rPr>
        <w:t xml:space="preserve"> own </w:t>
      </w:r>
      <w:r w:rsidRPr="00086DB4">
        <w:rPr>
          <w:highlight w:val="green"/>
          <w:u w:val="single"/>
        </w:rPr>
        <w:t xml:space="preserve">choosing </w:t>
      </w:r>
      <w:r w:rsidRPr="00713FA7">
        <w:rPr>
          <w:u w:val="single"/>
        </w:rPr>
        <w:t>have been met</w:t>
      </w:r>
      <w:r w:rsidRPr="006D1217">
        <w:rPr>
          <w:u w:val="single"/>
        </w:rPr>
        <w:t xml:space="preserve">. Kant argues further that moral agents or </w:t>
      </w:r>
      <w:r w:rsidRPr="00086DB4">
        <w:rPr>
          <w:highlight w:val="green"/>
          <w:u w:val="single"/>
        </w:rPr>
        <w:t>individuals should be treated</w:t>
      </w:r>
      <w:r w:rsidRPr="006D1217">
        <w:rPr>
          <w:u w:val="single"/>
        </w:rPr>
        <w:t xml:space="preserve">, "whether in your own person or in that of any other, </w:t>
      </w:r>
      <w:r w:rsidRPr="00086DB4">
        <w:rPr>
          <w:highlight w:val="green"/>
          <w:u w:val="single"/>
        </w:rPr>
        <w:t>never solely as a means</w:t>
      </w:r>
      <w:r w:rsidRPr="006D1217">
        <w:rPr>
          <w:u w:val="single"/>
        </w:rPr>
        <w:t>, but always as an end"</w:t>
      </w:r>
      <w:r w:rsidRPr="00086DB4">
        <w:rPr>
          <w:sz w:val="16"/>
        </w:rPr>
        <w:t xml:space="preserve"> [</w:t>
      </w:r>
      <w:hyperlink r:id="rId9" w:anchor="ref-CR64" w:tooltip="Kant I: Groundwork of the Metaphysics of Morals (1785). Edited by: M Gregor. 1998, Cambridge: Cambridge University Press" w:history="1">
        <w:r w:rsidRPr="00086DB4">
          <w:rPr>
            <w:rStyle w:val="Hyperlink"/>
            <w:sz w:val="16"/>
          </w:rPr>
          <w:t>64</w:t>
        </w:r>
      </w:hyperlink>
      <w:r w:rsidRPr="00086DB4">
        <w:rPr>
          <w:sz w:val="16"/>
        </w:rPr>
        <w:t>]. This idea that individuals should be treated as ends in themselves has influenced political philosophy for centuries, and stresses the libertarian ideology that people should not have their individual freedoms curtailed either for others or for the good of society in general [</w:t>
      </w:r>
      <w:hyperlink r:id="rId10" w:anchor="ref-CR10" w:tooltip="Sachdev PS: Doctor's strike-an ethical justification. NZ Med J. 1986, 99: 412-4." w:history="1">
        <w:r w:rsidRPr="00086DB4">
          <w:rPr>
            <w:rStyle w:val="Hyperlink"/>
            <w:sz w:val="16"/>
          </w:rPr>
          <w:t>10</w:t>
        </w:r>
      </w:hyperlink>
      <w:r w:rsidRPr="005E5CFB">
        <w:rPr>
          <w:sz w:val="16"/>
        </w:rPr>
        <w:t>, </w:t>
      </w:r>
      <w:hyperlink r:id="rId11" w:anchor="ref-CR64" w:tooltip="Kant I: Groundwork of the Metaphysics of Morals (1785). Edited by: M Gregor. 1998, Cambridge: Cambridge University Press" w:history="1">
        <w:r w:rsidRPr="005E5CFB">
          <w:rPr>
            <w:rStyle w:val="Hyperlink"/>
            <w:sz w:val="16"/>
          </w:rPr>
          <w:t>64</w:t>
        </w:r>
      </w:hyperlink>
      <w:r w:rsidRPr="005E5CFB">
        <w:rPr>
          <w:sz w:val="16"/>
        </w:rPr>
        <w:t xml:space="preserve">]. From this axiomatic considerations, one can conclude that </w:t>
      </w:r>
      <w:r w:rsidRPr="005E5CFB">
        <w:rPr>
          <w:u w:val="single"/>
        </w:rPr>
        <w:t>it would be unethical for people to be used as slaves or be forced to work for inadequate wages or under slave-like conditions</w:t>
      </w:r>
      <w:r w:rsidRPr="005E5CFB">
        <w:rPr>
          <w:sz w:val="16"/>
        </w:rPr>
        <w:t xml:space="preserve"> [</w:t>
      </w:r>
      <w:hyperlink r:id="rId12" w:anchor="ref-CR4" w:tooltip="Loewy EH: Of healthcare professionals, ethics, and strikes. Camb Q Healthc Ethics. 2000, 9: 513-520. 10.1017/S0963180100904092." w:history="1">
        <w:r w:rsidRPr="005E5CFB">
          <w:rPr>
            <w:rStyle w:val="Hyperlink"/>
            <w:sz w:val="16"/>
          </w:rPr>
          <w:t>4</w:t>
        </w:r>
      </w:hyperlink>
      <w:r w:rsidRPr="005E5CFB">
        <w:rPr>
          <w:sz w:val="16"/>
        </w:rPr>
        <w:t>, </w:t>
      </w:r>
      <w:hyperlink r:id="rId13" w:anchor="ref-CR10" w:tooltip="Sachdev PS: Doctor's strike-an ethical justification. NZ Med J. 1986, 99: 412-4." w:history="1">
        <w:r w:rsidRPr="005E5CFB">
          <w:rPr>
            <w:rStyle w:val="Hyperlink"/>
            <w:sz w:val="16"/>
          </w:rPr>
          <w:t>10</w:t>
        </w:r>
      </w:hyperlink>
      <w:r w:rsidRPr="005E5CFB">
        <w:rPr>
          <w:sz w:val="16"/>
        </w:rPr>
        <w:t>, </w:t>
      </w:r>
      <w:hyperlink r:id="rId14" w:anchor="ref-CR12" w:tooltip="Cruess RL, Cruess SR: Professionalism, unionization, and physicians' strikes. Acad Med. 2011, 86: 548-551. 10.1097/ACM.0b013e318212a93d." w:history="1">
        <w:r w:rsidRPr="005E5CFB">
          <w:rPr>
            <w:rStyle w:val="Hyperlink"/>
            <w:sz w:val="16"/>
          </w:rPr>
          <w:t>12</w:t>
        </w:r>
      </w:hyperlink>
      <w:r w:rsidRPr="005E5CFB">
        <w:rPr>
          <w:sz w:val="16"/>
        </w:rPr>
        <w:t>, </w:t>
      </w:r>
      <w:hyperlink r:id="rId15" w:anchor="ref-CR51" w:tooltip="Brecher R: Striking responsibilities. J Med Ethics. 1985, 11: 66-69. 10.1136/jme.11.2.66." w:history="1">
        <w:r w:rsidRPr="005E5CFB">
          <w:rPr>
            <w:rStyle w:val="Hyperlink"/>
            <w:sz w:val="16"/>
          </w:rPr>
          <w:t>51</w:t>
        </w:r>
      </w:hyperlink>
      <w:r w:rsidRPr="005E5CFB">
        <w:rPr>
          <w:sz w:val="16"/>
        </w:rPr>
        <w:t>]. The issue of HC</w:t>
      </w:r>
      <w:r w:rsidRPr="00086DB4">
        <w:rPr>
          <w:sz w:val="16"/>
        </w:rPr>
        <w:t>W strikes can also be analyzed from utilitarian principles as formulated by one of its major disciples JS Mills as follows [</w:t>
      </w:r>
      <w:hyperlink r:id="rId16" w:anchor="ref-CR65" w:tooltip="Mills JS: Utilitarianism. Utilitarianism and other Essays: JS Mill and J Bentham. Edited by: Ryan A. 1987, Hammondsworth: Penguin" w:history="1">
        <w:r w:rsidRPr="00086DB4">
          <w:rPr>
            <w:rStyle w:val="Hyperlink"/>
            <w:sz w:val="16"/>
          </w:rPr>
          <w:t>65</w:t>
        </w:r>
      </w:hyperlink>
      <w:r w:rsidRPr="00086DB4">
        <w:rPr>
          <w:sz w:val="16"/>
        </w:rPr>
        <w:t>]:</w:t>
      </w:r>
    </w:p>
    <w:p w14:paraId="71602BCC" w14:textId="77777777" w:rsidR="006F134D" w:rsidRDefault="006F134D" w:rsidP="006F134D">
      <w:pPr>
        <w:pStyle w:val="Heading4"/>
      </w:pPr>
      <w:r>
        <w:t xml:space="preserve">[2] Regardless of the effectiveness of strikes, they are a form of setting and pursuing ends and the </w:t>
      </w:r>
      <w:proofErr w:type="spellStart"/>
      <w:r>
        <w:t>omnilateral</w:t>
      </w:r>
      <w:proofErr w:type="spellEnd"/>
      <w:r>
        <w:t xml:space="preserve"> will has the obligation to protect the right to do so as according to the categorical imperative– anything else is a form of the government restricting freedom</w:t>
      </w:r>
    </w:p>
    <w:p w14:paraId="117D2999" w14:textId="77777777" w:rsidR="006F134D" w:rsidRPr="00CF7742" w:rsidRDefault="006F134D" w:rsidP="006F134D">
      <w:pPr>
        <w:pStyle w:val="Heading4"/>
        <w:rPr>
          <w:rFonts w:cs="Calibri"/>
        </w:rPr>
      </w:pPr>
    </w:p>
    <w:p w14:paraId="09B1890F" w14:textId="77777777" w:rsidR="006F134D" w:rsidRPr="00CF7742" w:rsidRDefault="006F134D" w:rsidP="006F134D">
      <w:pPr>
        <w:pStyle w:val="Heading4"/>
        <w:rPr>
          <w:rFonts w:cs="Calibri"/>
        </w:rPr>
      </w:pPr>
      <w:r>
        <w:rPr>
          <w:rFonts w:cs="Calibri"/>
        </w:rPr>
        <w:t xml:space="preserve">[3] </w:t>
      </w:r>
      <w:r w:rsidRPr="00CF7742">
        <w:rPr>
          <w:rFonts w:cs="Calibri"/>
        </w:rPr>
        <w:t xml:space="preserve">Corporations must respect the </w:t>
      </w:r>
      <w:proofErr w:type="spellStart"/>
      <w:r w:rsidRPr="00CF7742">
        <w:rPr>
          <w:rFonts w:cs="Calibri"/>
        </w:rPr>
        <w:t>diginity</w:t>
      </w:r>
      <w:proofErr w:type="spellEnd"/>
      <w:r w:rsidRPr="00CF7742">
        <w:rPr>
          <w:rFonts w:cs="Calibri"/>
        </w:rPr>
        <w:t xml:space="preserve"> of employees</w:t>
      </w:r>
      <w:r>
        <w:rPr>
          <w:rFonts w:cs="Calibri"/>
        </w:rPr>
        <w:t>, a right guaranteed to all subjects</w:t>
      </w:r>
      <w:r w:rsidRPr="00CF7742">
        <w:rPr>
          <w:rFonts w:cs="Calibri"/>
        </w:rPr>
        <w:t xml:space="preserve">; the right to strike is an extension of human dignity.  </w:t>
      </w:r>
    </w:p>
    <w:p w14:paraId="7AE3B9F2" w14:textId="77777777" w:rsidR="006F134D" w:rsidRPr="00CF7742" w:rsidRDefault="006F134D" w:rsidP="006F134D">
      <w:pPr>
        <w:rPr>
          <w:b/>
          <w:bCs/>
        </w:rPr>
      </w:pPr>
    </w:p>
    <w:p w14:paraId="0D616D48" w14:textId="77777777" w:rsidR="006F134D" w:rsidRPr="00CF7742" w:rsidRDefault="006F134D" w:rsidP="006F134D">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6DAA1A14" w14:textId="77777777" w:rsidR="006F134D" w:rsidRPr="00CF7742" w:rsidRDefault="006F134D" w:rsidP="006F134D">
      <w:pPr>
        <w:pStyle w:val="Heading4"/>
        <w:rPr>
          <w:rFonts w:cs="Calibri"/>
          <w:b w:val="0"/>
          <w:bCs/>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Hupert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31B75093" w14:textId="77777777" w:rsidR="006F134D" w:rsidRPr="00CF7742" w:rsidRDefault="006F134D" w:rsidP="006F134D">
      <w:pPr>
        <w:pStyle w:val="Heading4"/>
        <w:rPr>
          <w:rFonts w:cs="Calibri"/>
        </w:rPr>
      </w:pPr>
    </w:p>
    <w:p w14:paraId="609AF30A" w14:textId="77777777" w:rsidR="006F134D" w:rsidRPr="00CF7742" w:rsidRDefault="006F134D" w:rsidP="006F134D">
      <w:pPr>
        <w:pStyle w:val="Heading4"/>
        <w:rPr>
          <w:rFonts w:cs="Calibri"/>
        </w:rPr>
      </w:pPr>
      <w:r w:rsidRPr="00CF7742">
        <w:rPr>
          <w:rFonts w:cs="Calibri"/>
        </w:rPr>
        <w:t xml:space="preserve">Bowie 98 </w:t>
      </w:r>
    </w:p>
    <w:p w14:paraId="336AA618" w14:textId="77777777" w:rsidR="006F134D" w:rsidRPr="00CF7742" w:rsidRDefault="006F134D" w:rsidP="006F134D">
      <w:pPr>
        <w:rPr>
          <w:rStyle w:val="Style13ptBold"/>
        </w:rPr>
      </w:pPr>
      <w:r w:rsidRPr="00CF7742">
        <w:rPr>
          <w:rStyle w:val="Style13ptBold"/>
        </w:rPr>
        <w:t xml:space="preserve">A Kantian Theory of Meaningful, Norman E. Bowie Vol. 17, No. 9/10, How to Make Business Ethics Operational: Creating Effective Alliances: The 10th Annual EBEN Conference (Jul., 1998), pp. 1083-1092 </w:t>
      </w:r>
      <w:hyperlink r:id="rId17" w:history="1">
        <w:r w:rsidRPr="00CF7742">
          <w:rPr>
            <w:rStyle w:val="Hyperlink"/>
          </w:rPr>
          <w:t>https://www.jstor.org/stable/25073937?origin=JSTOR-pdf</w:t>
        </w:r>
      </w:hyperlink>
      <w:r w:rsidRPr="00CF7742">
        <w:rPr>
          <w:rStyle w:val="Style13ptBold"/>
        </w:rPr>
        <w:t xml:space="preserve"> </w:t>
      </w:r>
    </w:p>
    <w:p w14:paraId="1D72A9EF" w14:textId="77777777" w:rsidR="006F134D" w:rsidRPr="00CF7742" w:rsidRDefault="006F134D" w:rsidP="006F134D">
      <w:pPr>
        <w:rPr>
          <w:sz w:val="16"/>
        </w:rPr>
      </w:pPr>
      <w:r w:rsidRPr="00DF5CBD">
        <w:rPr>
          <w:sz w:val="16"/>
        </w:rPr>
        <w:t>1</w:t>
      </w:r>
      <w:r w:rsidRPr="00DF5CBD">
        <w:rPr>
          <w:u w:val="single"/>
        </w:rPr>
        <w:t xml:space="preserve">. </w:t>
      </w:r>
      <w:r w:rsidRPr="00DF5CBD">
        <w:rPr>
          <w:rStyle w:val="Emphasis"/>
        </w:rPr>
        <w:t>A corporation can be considered moral</w:t>
      </w:r>
      <w:r w:rsidRPr="00DF5CBD">
        <w:rPr>
          <w:u w:val="single"/>
        </w:rPr>
        <w:t xml:space="preserve"> in that Kantian sense only </w:t>
      </w:r>
      <w:r w:rsidRPr="00DF5CBD">
        <w:rPr>
          <w:rStyle w:val="Emphasis"/>
        </w:rPr>
        <w:t>if the humanity of employees is treated as an end and not as a means merely</w:t>
      </w:r>
      <w:r w:rsidRPr="00DF5CBD">
        <w:rPr>
          <w:u w:val="single"/>
        </w:rPr>
        <w:t>.</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rPr>
        <w:t>the employee must have</w:t>
      </w:r>
      <w:r w:rsidRPr="00CF7742">
        <w:rPr>
          <w:u w:val="single"/>
        </w:rPr>
        <w:t xml:space="preserve"> a certain amount of </w:t>
      </w:r>
      <w:r w:rsidRPr="00CF7742">
        <w:rPr>
          <w:rStyle w:val="Emphasis"/>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Thus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2D904FA6" w14:textId="77777777" w:rsidR="006F134D" w:rsidRDefault="006F134D" w:rsidP="006F134D">
      <w:pPr>
        <w:rPr>
          <w:u w:val="single"/>
        </w:rPr>
      </w:pPr>
    </w:p>
    <w:p w14:paraId="144C5791" w14:textId="77777777" w:rsidR="006F134D" w:rsidRPr="00CF7742" w:rsidRDefault="006F134D" w:rsidP="006F134D"/>
    <w:p w14:paraId="4FC81B5C" w14:textId="77777777" w:rsidR="006F134D" w:rsidRPr="00CF7742" w:rsidRDefault="006F134D" w:rsidP="006F134D">
      <w:pPr>
        <w:pStyle w:val="Heading2"/>
        <w:rPr>
          <w:rFonts w:cs="Calibri"/>
          <w:sz w:val="40"/>
          <w:szCs w:val="40"/>
          <w:u w:val="single"/>
        </w:rPr>
      </w:pPr>
      <w:r w:rsidRPr="00CF7742">
        <w:rPr>
          <w:rFonts w:cs="Calibri"/>
          <w:sz w:val="40"/>
          <w:szCs w:val="40"/>
          <w:u w:val="single"/>
        </w:rPr>
        <w:t>UV</w:t>
      </w:r>
    </w:p>
    <w:p w14:paraId="4ACE6F6A" w14:textId="77777777" w:rsidR="006F134D" w:rsidRPr="00CF7742" w:rsidRDefault="006F134D" w:rsidP="006F134D"/>
    <w:p w14:paraId="6C950AEC" w14:textId="77777777" w:rsidR="006F134D" w:rsidRPr="00CF7742" w:rsidRDefault="006F134D" w:rsidP="006F134D">
      <w:pPr>
        <w:spacing w:after="0" w:line="240" w:lineRule="auto"/>
        <w:rPr>
          <w:rFonts w:eastAsia="Times New Roman"/>
          <w:b/>
          <w:bCs/>
          <w:sz w:val="26"/>
          <w:szCs w:val="26"/>
        </w:rPr>
      </w:pPr>
      <w:bookmarkStart w:id="1" w:name="_heading=h.gjdgxs" w:colFirst="0" w:colLast="0"/>
      <w:bookmarkEnd w:id="1"/>
      <w:r w:rsidRPr="00CF7742">
        <w:rPr>
          <w:b/>
          <w:bCs/>
          <w:sz w:val="26"/>
          <w:szCs w:val="26"/>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b/>
          <w:bCs/>
          <w:color w:val="000000"/>
          <w:sz w:val="26"/>
          <w:szCs w:val="26"/>
        </w:rPr>
        <w:t xml:space="preserve">d) competing interps – 1AR interps aren’t bidirectional and the neg should have to defend their norm since they have more time. </w:t>
      </w:r>
      <w:r w:rsidRPr="00CF7742">
        <w:rPr>
          <w:b/>
          <w:bCs/>
          <w:sz w:val="26"/>
          <w:szCs w:val="26"/>
        </w:rPr>
        <w:t xml:space="preserve">e) Aff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aff vs. neg since they apply to each round so are most likely to establish communal norms</w:t>
      </w:r>
    </w:p>
    <w:p w14:paraId="2CD102A3" w14:textId="77777777" w:rsidR="006F134D" w:rsidRPr="00CF7742" w:rsidRDefault="006F134D" w:rsidP="006F134D"/>
    <w:p w14:paraId="695EE747" w14:textId="77777777" w:rsidR="006F134D" w:rsidRPr="00CF7742" w:rsidRDefault="006F134D" w:rsidP="006F134D">
      <w:pPr>
        <w:pStyle w:val="Heading4"/>
        <w:rPr>
          <w:rFonts w:cs="Calibri"/>
        </w:rPr>
      </w:pPr>
      <w:r w:rsidRPr="00CF7742">
        <w:rPr>
          <w:rFonts w:cs="Calibri"/>
        </w:rPr>
        <w:t>2] Fairness is a voter – it’s an intrinsic aspect of a competitive activity like debate. Education is a voter – it’s the only portable skill from debate.</w:t>
      </w:r>
    </w:p>
    <w:p w14:paraId="78DB743E" w14:textId="77777777" w:rsidR="006F134D" w:rsidRPr="00CF7742" w:rsidRDefault="006F134D" w:rsidP="006F134D"/>
    <w:p w14:paraId="16076C7B" w14:textId="77777777" w:rsidR="006F134D" w:rsidRPr="00CF7742" w:rsidRDefault="006F134D" w:rsidP="006F134D">
      <w:pPr>
        <w:rPr>
          <w:b/>
          <w:sz w:val="26"/>
          <w:szCs w:val="26"/>
        </w:rPr>
      </w:pPr>
      <w:r w:rsidRPr="00CF7742">
        <w:rPr>
          <w:b/>
          <w:sz w:val="26"/>
          <w:szCs w:val="26"/>
        </w:rPr>
        <w:t xml:space="preserve">3] Permissibility affirms: </w:t>
      </w:r>
    </w:p>
    <w:p w14:paraId="35D96B33" w14:textId="77777777" w:rsidR="006F134D" w:rsidRPr="005A524B" w:rsidRDefault="006F134D" w:rsidP="006F134D">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r w:rsidRPr="005A524B">
        <w:rPr>
          <w:b/>
          <w:bCs/>
          <w:sz w:val="26"/>
          <w:szCs w:val="26"/>
        </w:rPr>
        <w:t>To negate is defined as “to deny the existence, evidence, or truth of”, therefore minus offense denying the truth of the resolution, we must affirm.</w:t>
      </w:r>
    </w:p>
    <w:p w14:paraId="70F24610" w14:textId="77777777" w:rsidR="006F134D" w:rsidRPr="00CF7742" w:rsidRDefault="006F134D" w:rsidP="006F134D">
      <w:pPr>
        <w:rPr>
          <w:b/>
          <w:sz w:val="26"/>
          <w:szCs w:val="26"/>
        </w:rPr>
      </w:pPr>
      <w:r w:rsidRPr="00CF7742">
        <w:rPr>
          <w:b/>
          <w:sz w:val="26"/>
          <w:szCs w:val="26"/>
        </w:rPr>
        <w:t xml:space="preserve">B] We don’t have to justify doing morally neutral things like drinking water </w:t>
      </w:r>
    </w:p>
    <w:p w14:paraId="1976B90B" w14:textId="77777777" w:rsidR="006F134D" w:rsidRPr="00CF7742" w:rsidRDefault="006F134D" w:rsidP="006F134D">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stopping the aff so just do it</w:t>
      </w:r>
    </w:p>
    <w:p w14:paraId="7AA59DC1" w14:textId="77777777" w:rsidR="006F134D" w:rsidRPr="00CF7742" w:rsidRDefault="006F134D" w:rsidP="006F134D">
      <w:pPr>
        <w:rPr>
          <w:b/>
          <w:sz w:val="26"/>
          <w:szCs w:val="26"/>
        </w:rPr>
      </w:pPr>
    </w:p>
    <w:p w14:paraId="3EA1EF3F" w14:textId="77777777" w:rsidR="006F134D" w:rsidRPr="00CF7742" w:rsidRDefault="006F134D" w:rsidP="006F134D">
      <w:pPr>
        <w:rPr>
          <w:b/>
          <w:sz w:val="26"/>
          <w:szCs w:val="26"/>
        </w:rPr>
      </w:pPr>
      <w:r w:rsidRPr="00CF7742">
        <w:rPr>
          <w:b/>
          <w:sz w:val="26"/>
          <w:szCs w:val="26"/>
        </w:rPr>
        <w:t>4] Presumption affirms:</w:t>
      </w:r>
    </w:p>
    <w:p w14:paraId="656420B9" w14:textId="77777777" w:rsidR="006F134D" w:rsidRPr="00CF7742" w:rsidRDefault="006F134D" w:rsidP="006F134D">
      <w:pPr>
        <w:rPr>
          <w:b/>
          <w:sz w:val="26"/>
          <w:szCs w:val="26"/>
        </w:rPr>
      </w:pPr>
      <w:r w:rsidRPr="00CF7742">
        <w:rPr>
          <w:b/>
          <w:sz w:val="26"/>
          <w:szCs w:val="26"/>
        </w:rPr>
        <w:t xml:space="preserve">A] We always default to assuming something true until proven false – if I told you my name , you would believe me. </w:t>
      </w:r>
    </w:p>
    <w:p w14:paraId="5DEC4D48" w14:textId="2ADC7053" w:rsidR="006F134D" w:rsidRDefault="006F134D" w:rsidP="006F134D">
      <w:pPr>
        <w:rPr>
          <w:b/>
          <w:bCs/>
          <w:sz w:val="26"/>
          <w:szCs w:val="26"/>
        </w:rPr>
      </w:pPr>
    </w:p>
    <w:p w14:paraId="67E4CE0C" w14:textId="6BA87208" w:rsidR="0002358F" w:rsidRDefault="0002358F" w:rsidP="006F134D">
      <w:pPr>
        <w:rPr>
          <w:b/>
          <w:bCs/>
          <w:sz w:val="26"/>
          <w:szCs w:val="26"/>
        </w:rPr>
      </w:pPr>
    </w:p>
    <w:bookmarkEnd w:id="0"/>
    <w:p w14:paraId="103DDB6D" w14:textId="77777777" w:rsidR="00822476" w:rsidRDefault="00822476"/>
    <w:sectPr w:rsidR="008224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26E"/>
    <w:rsid w:val="000015BA"/>
    <w:rsid w:val="0002358F"/>
    <w:rsid w:val="000248D2"/>
    <w:rsid w:val="00030A76"/>
    <w:rsid w:val="000B0331"/>
    <w:rsid w:val="00151B76"/>
    <w:rsid w:val="0017126E"/>
    <w:rsid w:val="002B1102"/>
    <w:rsid w:val="003406D1"/>
    <w:rsid w:val="003B6D72"/>
    <w:rsid w:val="004058AA"/>
    <w:rsid w:val="004644F9"/>
    <w:rsid w:val="00511E58"/>
    <w:rsid w:val="00527D22"/>
    <w:rsid w:val="0054664E"/>
    <w:rsid w:val="005C3D26"/>
    <w:rsid w:val="006D6B32"/>
    <w:rsid w:val="006F134D"/>
    <w:rsid w:val="00822476"/>
    <w:rsid w:val="008E289E"/>
    <w:rsid w:val="00C20DB8"/>
    <w:rsid w:val="00C6313C"/>
    <w:rsid w:val="00F04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27B11"/>
  <w15:chartTrackingRefBased/>
  <w15:docId w15:val="{D954A4D3-CE97-43E0-8BE8-ED28CE5E2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134D"/>
    <w:rPr>
      <w:rFonts w:ascii="Calibri" w:hAnsi="Calibri"/>
    </w:rPr>
  </w:style>
  <w:style w:type="paragraph" w:styleId="Heading2">
    <w:name w:val="heading 2"/>
    <w:aliases w:val="Hat"/>
    <w:basedOn w:val="Normal"/>
    <w:next w:val="Normal"/>
    <w:link w:val="Heading2Char"/>
    <w:uiPriority w:val="1"/>
    <w:unhideWhenUsed/>
    <w:qFormat/>
    <w:rsid w:val="006F134D"/>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F13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6F134D"/>
    <w:rPr>
      <w:rFonts w:ascii="Calibri" w:eastAsiaTheme="majorEastAsia" w:hAnsi="Calibri" w:cstheme="majorBidi"/>
      <w:b/>
      <w:sz w:val="44"/>
      <w:szCs w:val="26"/>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F134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134D"/>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6F134D"/>
    <w:rPr>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F134D"/>
    <w:rPr>
      <w:rFonts w:ascii="Calibri" w:hAnsi="Calibri"/>
      <w:b/>
      <w:iCs/>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6F134D"/>
    <w:rPr>
      <w:color w:val="auto"/>
      <w:u w:val="none"/>
    </w:rPr>
  </w:style>
  <w:style w:type="paragraph" w:styleId="NormalWeb">
    <w:name w:val="Normal (Web)"/>
    <w:basedOn w:val="Normal"/>
    <w:uiPriority w:val="99"/>
    <w:unhideWhenUsed/>
    <w:rsid w:val="006F134D"/>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textbold">
    <w:name w:val="text bold"/>
    <w:basedOn w:val="Normal"/>
    <w:link w:val="Emphasis"/>
    <w:uiPriority w:val="7"/>
    <w:qFormat/>
    <w:rsid w:val="006F134D"/>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6F134D"/>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medethics.biomedcentral.com/articles/10.1186/1472-6939-14-S1-S5" TargetMode="External"/><Relationship Id="rId13" Type="http://schemas.openxmlformats.org/officeDocument/2006/relationships/hyperlink" Target="https://bmcmedethics.biomedcentral.com/articles/10.1186/1472-6939-14-S1-S5"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mcmedethics.biomedcentral.com/articles/10.1186/1472-6939-14-S1-S5" TargetMode="Externa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www.jstor.org/stable/25073937?origin=JSTOR-pdf" TargetMode="External"/><Relationship Id="rId2" Type="http://schemas.openxmlformats.org/officeDocument/2006/relationships/settings" Target="settings.xml"/><Relationship Id="rId16" Type="http://schemas.openxmlformats.org/officeDocument/2006/relationships/hyperlink" Target="https://bmcmedethics.biomedcentral.com/articles/10.1186/1472-6939-14-S1-S5" TargetMode="External"/><Relationship Id="rId1" Type="http://schemas.openxmlformats.org/officeDocument/2006/relationships/styles" Target="styles.xml"/><Relationship Id="rId6" Type="http://schemas.openxmlformats.org/officeDocument/2006/relationships/hyperlink" Target="https://bmcmedethics.biomedcentral.com/articles/10.1186/1472-6939-14-S1-S5" TargetMode="External"/><Relationship Id="rId11" Type="http://schemas.openxmlformats.org/officeDocument/2006/relationships/hyperlink" Target="https://bmcmedethics.biomedcentral.com/articles/10.1186/1472-6939-14-S1-S5" TargetMode="External"/><Relationship Id="rId5" Type="http://schemas.openxmlformats.org/officeDocument/2006/relationships/hyperlink" Target="https://bmcmedethics.biomedcentral.com/articles/10.1186/1472-6939-14-S1-S5" TargetMode="External"/><Relationship Id="rId15" Type="http://schemas.openxmlformats.org/officeDocument/2006/relationships/hyperlink" Target="https://bmcmedethics.biomedcentral.com/articles/10.1186/1472-6939-14-S1-S5" TargetMode="External"/><Relationship Id="rId10" Type="http://schemas.openxmlformats.org/officeDocument/2006/relationships/hyperlink" Target="https://bmcmedethics.biomedcentral.com/articles/10.1186/1472-6939-14-S1-S5" TargetMode="External"/><Relationship Id="rId19" Type="http://schemas.openxmlformats.org/officeDocument/2006/relationships/theme" Target="theme/theme1.xml"/><Relationship Id="rId4" Type="http://schemas.openxmlformats.org/officeDocument/2006/relationships/hyperlink" Target="https://philarchive.org/archive/FERCATv1" TargetMode="External"/><Relationship Id="rId9" Type="http://schemas.openxmlformats.org/officeDocument/2006/relationships/hyperlink" Target="https://bmcmedethics.biomedcentral.com/articles/10.1186/1472-6939-14-S1-S5" TargetMode="External"/><Relationship Id="rId14" Type="http://schemas.openxmlformats.org/officeDocument/2006/relationships/hyperlink" Target="https://bmcmedethics.biomedcentral.com/articles/10.1186/1472-6939-14-S1-S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3681</Words>
  <Characters>20985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19</cp:revision>
  <dcterms:created xsi:type="dcterms:W3CDTF">2021-11-05T22:16:00Z</dcterms:created>
  <dcterms:modified xsi:type="dcterms:W3CDTF">2021-11-05T23:55:00Z</dcterms:modified>
</cp:coreProperties>
</file>