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EC779" w14:textId="77777777" w:rsidR="003F323E" w:rsidRPr="003F323E" w:rsidRDefault="003F323E" w:rsidP="003F323E"/>
    <w:p w14:paraId="718B0740" w14:textId="3E40C5C8" w:rsidR="00E42E4C" w:rsidRDefault="00F25D49" w:rsidP="00F25D49">
      <w:pPr>
        <w:pStyle w:val="Heading1"/>
      </w:pPr>
      <w:r>
        <w:t>1nc</w:t>
      </w:r>
    </w:p>
    <w:p w14:paraId="191463AE" w14:textId="55F04CA4" w:rsidR="00F25D49" w:rsidRDefault="00F25D49" w:rsidP="00F25D49">
      <w:pPr>
        <w:pStyle w:val="Heading2"/>
      </w:pPr>
      <w:r>
        <w:t>1</w:t>
      </w:r>
      <w:r w:rsidRPr="00F25D49">
        <w:rPr>
          <w:vertAlign w:val="superscript"/>
        </w:rPr>
        <w:t>st</w:t>
      </w:r>
      <w:r>
        <w:t xml:space="preserve"> </w:t>
      </w:r>
    </w:p>
    <w:p w14:paraId="2F13C787" w14:textId="728E43F5" w:rsidR="00CE0039" w:rsidRDefault="00CE0039" w:rsidP="00CE0039">
      <w:pPr>
        <w:pStyle w:val="Heading3"/>
      </w:pPr>
      <w:r>
        <w:t>NC</w:t>
      </w:r>
    </w:p>
    <w:p w14:paraId="32DBB021" w14:textId="77777777" w:rsidR="005636BF" w:rsidRPr="003F59BC" w:rsidRDefault="005636BF" w:rsidP="005636BF">
      <w:pPr>
        <w:rPr>
          <w:rFonts w:asciiTheme="majorHAnsi" w:eastAsiaTheme="majorEastAsia" w:hAnsiTheme="majorHAnsi" w:cs="Calibri"/>
          <w:b/>
          <w:bCs/>
          <w:sz w:val="26"/>
          <w:szCs w:val="26"/>
        </w:rPr>
      </w:pPr>
      <w:r w:rsidRPr="003F59BC">
        <w:rPr>
          <w:rFonts w:asciiTheme="majorHAnsi" w:eastAsiaTheme="majorEastAsia" w:hAnsiTheme="majorHAnsi" w:cs="Calibri"/>
          <w:b/>
          <w:bCs/>
          <w:sz w:val="26"/>
          <w:szCs w:val="26"/>
        </w:rPr>
        <w:t>Permissibility negates:</w:t>
      </w:r>
    </w:p>
    <w:p w14:paraId="3100A307" w14:textId="77777777" w:rsidR="005636BF" w:rsidRPr="003F59BC" w:rsidRDefault="005636BF" w:rsidP="005636BF">
      <w:pPr>
        <w:rPr>
          <w:rFonts w:asciiTheme="majorHAnsi" w:eastAsiaTheme="majorEastAsia" w:hAnsiTheme="majorHAnsi" w:cs="Calibri"/>
          <w:b/>
          <w:bCs/>
          <w:sz w:val="26"/>
          <w:szCs w:val="26"/>
        </w:rPr>
      </w:pPr>
      <w:r w:rsidRPr="003F59BC">
        <w:rPr>
          <w:rFonts w:asciiTheme="majorHAnsi" w:eastAsiaTheme="majorEastAsia" w:hAnsiTheme="majorHAnsi" w:cs="Calibri"/>
          <w:b/>
          <w:bCs/>
          <w:sz w:val="26"/>
          <w:szCs w:val="26"/>
        </w:rPr>
        <w:t>[1] Semantics – Ought is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resolutional text.</w:t>
      </w:r>
    </w:p>
    <w:p w14:paraId="535B8591" w14:textId="283764F0" w:rsidR="00323D87" w:rsidRDefault="005636BF" w:rsidP="0090295B">
      <w:pPr>
        <w:rPr>
          <w:rFonts w:asciiTheme="majorHAnsi" w:eastAsiaTheme="majorEastAsia" w:hAnsiTheme="majorHAnsi" w:cs="Calibri"/>
          <w:b/>
          <w:bCs/>
          <w:sz w:val="26"/>
          <w:szCs w:val="26"/>
        </w:rPr>
      </w:pPr>
      <w:r w:rsidRPr="003F59BC">
        <w:rPr>
          <w:rFonts w:asciiTheme="majorHAnsi" w:eastAsiaTheme="majorEastAsia" w:hAnsiTheme="majorHAnsi" w:cs="Calibri"/>
          <w:b/>
          <w:bCs/>
          <w:sz w:val="26"/>
          <w:szCs w:val="26"/>
        </w:rPr>
        <w:t>[2] Safety – It’s ethically safer to presume the squo since we know what the squo is but we can’t know whether the aff will be good or not if ethics are incoherent.</w:t>
      </w:r>
    </w:p>
    <w:p w14:paraId="702822A0" w14:textId="77777777" w:rsidR="0090295B" w:rsidRPr="0090295B" w:rsidRDefault="0090295B" w:rsidP="0090295B">
      <w:pPr>
        <w:rPr>
          <w:rFonts w:asciiTheme="majorHAnsi" w:eastAsiaTheme="majorEastAsia" w:hAnsiTheme="majorHAnsi" w:cs="Calibri"/>
          <w:b/>
          <w:bCs/>
          <w:sz w:val="26"/>
          <w:szCs w:val="26"/>
        </w:rPr>
      </w:pPr>
    </w:p>
    <w:p w14:paraId="20098724" w14:textId="77777777" w:rsidR="005636BF" w:rsidRPr="005A7476" w:rsidRDefault="005636BF" w:rsidP="005636BF">
      <w:pPr>
        <w:pStyle w:val="Heading4"/>
        <w:rPr>
          <w:rFonts w:asciiTheme="majorHAnsi" w:hAnsiTheme="majorHAnsi"/>
        </w:rPr>
      </w:pPr>
      <w:r w:rsidRPr="005A7476">
        <w:rPr>
          <w:rFonts w:asciiTheme="majorHAnsi" w:hAnsiTheme="majorHAnsi"/>
        </w:rPr>
        <w:t>I value morality.</w:t>
      </w:r>
    </w:p>
    <w:p w14:paraId="2892425A" w14:textId="77777777" w:rsidR="005636BF" w:rsidRPr="005A7476" w:rsidRDefault="005636BF" w:rsidP="005636BF">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0E083B1C" w14:textId="77777777" w:rsidR="005636BF" w:rsidRPr="005A7476" w:rsidRDefault="005636BF" w:rsidP="005636BF">
      <w:pPr>
        <w:pStyle w:val="Heading4"/>
        <w:rPr>
          <w:rFonts w:asciiTheme="majorHAnsi" w:hAnsiTheme="majorHAnsi"/>
        </w:rPr>
      </w:pPr>
      <w:r w:rsidRPr="005A7476">
        <w:rPr>
          <w:rFonts w:asciiTheme="majorHAnsi" w:hAnsiTheme="majorHAnsi"/>
        </w:rPr>
        <w:t xml:space="preserve">Constitutivism solves – it allows for universal obligations among all agents but they are binding and cannot be opted out of. Thus, the meta ethic is constitutivism. </w:t>
      </w:r>
    </w:p>
    <w:p w14:paraId="6CD04E6D" w14:textId="77777777" w:rsidR="005636BF" w:rsidRPr="005A7476" w:rsidRDefault="005636BF" w:rsidP="005636BF">
      <w:pPr>
        <w:rPr>
          <w:rFonts w:asciiTheme="majorHAnsi" w:hAnsiTheme="majorHAnsi"/>
        </w:rPr>
      </w:pPr>
    </w:p>
    <w:p w14:paraId="0E5DA0B7" w14:textId="77777777" w:rsidR="005636BF" w:rsidRPr="005A7476" w:rsidRDefault="005636BF" w:rsidP="005636BF">
      <w:pPr>
        <w:pStyle w:val="Heading4"/>
        <w:rPr>
          <w:rFonts w:asciiTheme="majorHAnsi" w:hAnsiTheme="majorHAnsi"/>
        </w:rPr>
      </w:pPr>
      <w:r w:rsidRPr="005A7476">
        <w:rPr>
          <w:rFonts w:asciiTheme="majorHAnsi" w:hAnsiTheme="majorHAnsi"/>
        </w:rPr>
        <w:t>Next, only practical reason is constitutive:</w:t>
      </w:r>
    </w:p>
    <w:p w14:paraId="38EB3C5C" w14:textId="77777777" w:rsidR="005636BF" w:rsidRDefault="005636BF" w:rsidP="005636BF">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7216B701" w14:textId="71D11525" w:rsidR="005636BF" w:rsidRPr="005A7476" w:rsidRDefault="00323D87" w:rsidP="005636BF">
      <w:pPr>
        <w:pStyle w:val="Heading4"/>
        <w:rPr>
          <w:color w:val="000000" w:themeColor="text1"/>
        </w:rPr>
      </w:pPr>
      <w:r>
        <w:rPr>
          <w:color w:val="000000" w:themeColor="text1"/>
        </w:rPr>
        <w:t>[2</w:t>
      </w:r>
      <w:r w:rsidR="005636BF" w:rsidRPr="005A7476">
        <w:rPr>
          <w:color w:val="000000" w:themeColor="text1"/>
        </w:rPr>
        <w:t>] Action Theory –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6C778B4F" w14:textId="77777777" w:rsidR="005636BF" w:rsidRDefault="005636BF" w:rsidP="005636BF">
      <w:pPr>
        <w:rPr>
          <w:rFonts w:asciiTheme="majorHAnsi" w:hAnsiTheme="majorHAnsi"/>
        </w:rPr>
      </w:pPr>
    </w:p>
    <w:p w14:paraId="41284FE8" w14:textId="77777777" w:rsidR="005636BF" w:rsidRPr="00B655F2" w:rsidRDefault="005636BF" w:rsidP="005636BF">
      <w:pPr>
        <w:pStyle w:val="Heading4"/>
      </w:pPr>
      <w:r w:rsidRPr="00B655F2">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428E5B03" w14:textId="78F1CC37" w:rsidR="005636BF" w:rsidRPr="00B655F2" w:rsidRDefault="005636BF" w:rsidP="005636BF">
      <w:pPr>
        <w:pStyle w:val="Heading4"/>
      </w:pPr>
      <w:r w:rsidRPr="00B655F2">
        <w:t>Ethics must be universalizable: A) absent universal ethics, morality becomes arbitrary and fails to guide action, which means that ethics is rendered useless, B) otherwise it creates a contradiction in which you justify your freedom while limiting others’</w:t>
      </w:r>
      <w:r w:rsidR="00323D87">
        <w:t xml:space="preserve">, C] any non-universalizable norm justifies someone’s ability to impede on your ends, i.e. if I want to eat ice cream but you don’t respect my ability to then I can’t do it, which means universalizability also constrains </w:t>
      </w:r>
      <w:r w:rsidR="00F007C9">
        <w:t>ends</w:t>
      </w:r>
      <w:r w:rsidR="00323D87">
        <w:t xml:space="preserve"> based framework </w:t>
      </w:r>
    </w:p>
    <w:p w14:paraId="6A4652DC" w14:textId="77777777" w:rsidR="005636BF" w:rsidRPr="005A7476" w:rsidRDefault="005636BF" w:rsidP="005636BF">
      <w:pPr>
        <w:rPr>
          <w:rFonts w:asciiTheme="majorHAnsi" w:hAnsiTheme="majorHAnsi"/>
        </w:rPr>
      </w:pPr>
    </w:p>
    <w:p w14:paraId="26E5BAC8" w14:textId="77777777" w:rsidR="005636BF" w:rsidRPr="005A7476" w:rsidRDefault="005636BF" w:rsidP="005636BF">
      <w:pPr>
        <w:pStyle w:val="Heading4"/>
        <w:rPr>
          <w:rFonts w:asciiTheme="majorHAnsi" w:hAnsiTheme="majorHAnsi"/>
        </w:rPr>
      </w:pPr>
      <w:r w:rsidRPr="005A7476">
        <w:rPr>
          <w:rFonts w:asciiTheme="majorHAnsi" w:hAnsiTheme="majorHAnsi"/>
        </w:rPr>
        <w:t>Thus</w:t>
      </w:r>
      <w:r>
        <w:rPr>
          <w:rFonts w:asciiTheme="majorHAnsi" w:hAnsiTheme="majorHAnsi"/>
        </w:rPr>
        <w:t>,</w:t>
      </w:r>
      <w:r w:rsidRPr="005A7476">
        <w:rPr>
          <w:rFonts w:asciiTheme="majorHAnsi" w:hAnsiTheme="majorHAnsi"/>
        </w:rPr>
        <w:t xml:space="preserve"> the standard is consistency with the categorical imperative.</w:t>
      </w:r>
    </w:p>
    <w:p w14:paraId="563B63F8" w14:textId="77777777" w:rsidR="005636BF" w:rsidRPr="005A7476" w:rsidRDefault="005636BF" w:rsidP="005636BF">
      <w:pPr>
        <w:rPr>
          <w:rFonts w:asciiTheme="majorHAnsi" w:hAnsiTheme="majorHAnsi"/>
        </w:rPr>
      </w:pPr>
    </w:p>
    <w:p w14:paraId="3F770EB7" w14:textId="77777777" w:rsidR="005636BF" w:rsidRPr="005A7476" w:rsidRDefault="005636BF" w:rsidP="005636BF">
      <w:pPr>
        <w:pStyle w:val="Heading4"/>
        <w:rPr>
          <w:rFonts w:asciiTheme="majorHAnsi" w:hAnsiTheme="majorHAnsi"/>
        </w:rPr>
      </w:pPr>
      <w:r w:rsidRPr="005A7476">
        <w:rPr>
          <w:rFonts w:asciiTheme="majorHAnsi" w:hAnsiTheme="majorHAnsi"/>
        </w:rPr>
        <w:t>Prefer additionally:</w:t>
      </w:r>
    </w:p>
    <w:p w14:paraId="557C525A" w14:textId="77777777" w:rsidR="005636BF" w:rsidRPr="005A7476" w:rsidRDefault="005636BF" w:rsidP="005636BF">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1D7038AA" w14:textId="77777777" w:rsidR="005636BF" w:rsidRPr="005A7476" w:rsidRDefault="005636BF" w:rsidP="005636BF">
      <w:pPr>
        <w:rPr>
          <w:rFonts w:asciiTheme="majorHAnsi" w:hAnsiTheme="majorHAnsi"/>
        </w:rPr>
      </w:pPr>
    </w:p>
    <w:p w14:paraId="753A8FCC" w14:textId="499A793B" w:rsidR="005636BF" w:rsidRPr="005A7476" w:rsidRDefault="005636BF" w:rsidP="005636BF">
      <w:pPr>
        <w:pStyle w:val="Heading4"/>
        <w:rPr>
          <w:rFonts w:asciiTheme="majorHAnsi" w:hAnsiTheme="majorHAnsi"/>
        </w:rPr>
      </w:pPr>
      <w:r w:rsidRPr="005A7476">
        <w:rPr>
          <w:rFonts w:asciiTheme="majorHAnsi" w:hAnsiTheme="majorHAnsi"/>
        </w:rPr>
        <w:t>2] Consequentialism fails - a] induction fails: the logic of looking into the past to predict the future is predicated on past experiences, meaning it’s circular, b] butterfly effect: every consequence is infinitely cascading so we don’t know the true extent of our actions, meaning</w:t>
      </w:r>
      <w:r w:rsidR="00F007C9">
        <w:rPr>
          <w:rFonts w:asciiTheme="majorHAnsi" w:hAnsiTheme="majorHAnsi"/>
        </w:rPr>
        <w:t xml:space="preserve"> we cannot predict consequences, c] aggregation fails </w:t>
      </w:r>
    </w:p>
    <w:p w14:paraId="62AB6E3B" w14:textId="77777777" w:rsidR="005636BF" w:rsidRPr="005A7476" w:rsidRDefault="005636BF" w:rsidP="005636BF">
      <w:pPr>
        <w:rPr>
          <w:rFonts w:asciiTheme="majorHAnsi" w:hAnsiTheme="majorHAnsi"/>
        </w:rPr>
      </w:pPr>
    </w:p>
    <w:p w14:paraId="65B0C7A4" w14:textId="77777777" w:rsidR="005636BF" w:rsidRDefault="005636BF" w:rsidP="005636BF">
      <w:pPr>
        <w:pStyle w:val="Heading3"/>
        <w:rPr>
          <w:rFonts w:asciiTheme="majorHAnsi" w:hAnsiTheme="majorHAnsi"/>
        </w:rPr>
      </w:pPr>
      <w:r w:rsidRPr="005A7476">
        <w:rPr>
          <w:rFonts w:asciiTheme="majorHAnsi" w:hAnsiTheme="majorHAnsi"/>
        </w:rPr>
        <w:t>Offense</w:t>
      </w:r>
    </w:p>
    <w:p w14:paraId="49E7C23C" w14:textId="77777777" w:rsidR="005636BF" w:rsidRPr="008A13B9" w:rsidRDefault="005636BF" w:rsidP="005636BF">
      <w:pPr>
        <w:pStyle w:val="Heading4"/>
      </w:pPr>
      <w:r>
        <w:t xml:space="preserve">Advocacy text: I defend the status quo </w:t>
      </w:r>
    </w:p>
    <w:p w14:paraId="5B13419A" w14:textId="77777777" w:rsidR="005636BF" w:rsidRPr="00A94D16" w:rsidRDefault="005636BF" w:rsidP="005636BF">
      <w:pPr>
        <w:pStyle w:val="Heading4"/>
      </w:pPr>
      <w:r>
        <w:t xml:space="preserve">Negate: </w:t>
      </w:r>
    </w:p>
    <w:p w14:paraId="0CC88791" w14:textId="77777777" w:rsidR="005636BF" w:rsidRPr="005A7476" w:rsidRDefault="005636BF" w:rsidP="005636BF">
      <w:pPr>
        <w:pStyle w:val="Heading4"/>
        <w:rPr>
          <w:rFonts w:asciiTheme="majorHAnsi" w:hAnsiTheme="majorHAnsi"/>
        </w:rPr>
      </w:pPr>
      <w:r w:rsidRPr="005A7476">
        <w:rPr>
          <w:rFonts w:asciiTheme="majorHAnsi" w:hAnsiTheme="majorHAnsi"/>
        </w:rPr>
        <w:t xml:space="preserve">[1]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04057842" w14:textId="77777777" w:rsidR="005636BF" w:rsidRPr="005A7476" w:rsidRDefault="005636BF" w:rsidP="005636BF">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60E32064" w14:textId="77777777" w:rsidR="005636BF" w:rsidRPr="005A7476" w:rsidRDefault="005636BF" w:rsidP="005636BF">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45E80D0" w14:textId="77777777" w:rsidR="005636BF" w:rsidRPr="005A7476" w:rsidRDefault="005636BF" w:rsidP="005636BF">
      <w:pPr>
        <w:pStyle w:val="Heading4"/>
        <w:spacing w:before="240"/>
        <w:rPr>
          <w:rFonts w:asciiTheme="majorHAnsi" w:hAnsiTheme="majorHAnsi"/>
          <w:u w:val="single"/>
        </w:rPr>
      </w:pPr>
      <w:r w:rsidRPr="005A7476">
        <w:rPr>
          <w:rFonts w:asciiTheme="majorHAnsi" w:hAnsiTheme="majorHAnsi"/>
        </w:rPr>
        <w:t xml:space="preserve">[2] The aff encourages free riding- that treats people as </w:t>
      </w:r>
      <w:r w:rsidRPr="005A7476">
        <w:rPr>
          <w:rFonts w:asciiTheme="majorHAnsi" w:hAnsiTheme="majorHAnsi"/>
        </w:rPr>
        <w:softHyphen/>
      </w:r>
      <w:r w:rsidRPr="005A7476">
        <w:rPr>
          <w:rFonts w:asciiTheme="majorHAnsi" w:hAnsiTheme="majorHAnsi"/>
          <w:u w:val="single"/>
        </w:rPr>
        <w:t>means to an end</w:t>
      </w:r>
      <w:r w:rsidRPr="005A7476">
        <w:rPr>
          <w:rFonts w:asciiTheme="majorHAnsi" w:hAnsiTheme="majorHAnsi"/>
        </w:rPr>
        <w:t xml:space="preserve"> and takes advantage of their efforts which violates </w:t>
      </w:r>
      <w:r w:rsidRPr="005A7476">
        <w:rPr>
          <w:rFonts w:asciiTheme="majorHAnsi" w:hAnsiTheme="majorHAnsi"/>
          <w:u w:val="single"/>
        </w:rPr>
        <w:t>the principle of humanity</w:t>
      </w:r>
    </w:p>
    <w:p w14:paraId="38804EEE" w14:textId="77777777" w:rsidR="005636BF" w:rsidRPr="005A7476" w:rsidRDefault="005636BF" w:rsidP="005636BF">
      <w:pPr>
        <w:rPr>
          <w:rFonts w:asciiTheme="majorHAnsi" w:hAnsiTheme="majorHAnsi"/>
        </w:rPr>
      </w:pPr>
      <w:r w:rsidRPr="005A7476">
        <w:rPr>
          <w:rFonts w:asciiTheme="majorHAnsi" w:eastAsiaTheme="majorEastAsia" w:hAnsiTheme="majorHAnsi" w:cstheme="majorBidi"/>
          <w:b/>
          <w:bCs/>
          <w:sz w:val="26"/>
        </w:rPr>
        <w:t xml:space="preserve">Van Dyke </w:t>
      </w:r>
      <w:r>
        <w:rPr>
          <w:rFonts w:asciiTheme="majorHAnsi" w:eastAsiaTheme="majorEastAsia" w:hAnsiTheme="majorHAnsi" w:cstheme="majorBidi"/>
          <w:b/>
          <w:bCs/>
          <w:sz w:val="26"/>
        </w:rPr>
        <w:t>18</w:t>
      </w:r>
      <w:r w:rsidRPr="005A7476">
        <w:rPr>
          <w:rFonts w:asciiTheme="majorHAnsi" w:hAnsiTheme="majorHAnsi"/>
        </w:rPr>
        <w:t xml:space="preserve"> Raymond Van Dyke, 7-17-2018, "The Categorical Imperative for Innovation and Patenting," IPWatchdog, </w:t>
      </w:r>
      <w:hyperlink r:id="rId10"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2D60D01C" w14:textId="77777777" w:rsidR="005636BF" w:rsidRPr="005A7476" w:rsidRDefault="005636BF" w:rsidP="005636BF">
      <w:pPr>
        <w:rPr>
          <w:rFonts w:asciiTheme="majorHAnsi" w:hAnsiTheme="majorHAnsi"/>
          <w:sz w:val="14"/>
        </w:rPr>
      </w:pPr>
      <w:r w:rsidRPr="005A7476">
        <w:rPr>
          <w:rFonts w:asciiTheme="majorHAnsi" w:hAnsiTheme="majorHAnsi"/>
          <w:sz w:val="14"/>
        </w:rPr>
        <w:t xml:space="preserve">Also, </w:t>
      </w:r>
      <w:r w:rsidRPr="005A7476">
        <w:rPr>
          <w:rFonts w:asciiTheme="majorHAnsi" w:hAnsiTheme="majorHAnsi"/>
          <w:b/>
          <w:bCs/>
          <w:highlight w:val="green"/>
          <w:u w:val="single"/>
        </w:rPr>
        <w:t>allowing the free taking of ideas</w:t>
      </w:r>
      <w:r w:rsidRPr="005A7476">
        <w:rPr>
          <w:rFonts w:asciiTheme="majorHAnsi" w:hAnsiTheme="majorHAnsi"/>
          <w:b/>
          <w:bCs/>
          <w:u w:val="single"/>
        </w:rPr>
        <w:t xml:space="preserve">, content and valuable data, i.e., the </w:t>
      </w:r>
      <w:r w:rsidRPr="005A7476">
        <w:rPr>
          <w:rFonts w:asciiTheme="majorHAnsi" w:hAnsiTheme="majorHAnsi"/>
          <w:b/>
          <w:bCs/>
          <w:highlight w:val="green"/>
          <w:u w:val="single"/>
        </w:rPr>
        <w:t>fruits of</w:t>
      </w:r>
      <w:r w:rsidRPr="005A7476">
        <w:rPr>
          <w:rFonts w:asciiTheme="majorHAnsi" w:hAnsiTheme="majorHAnsi"/>
          <w:b/>
          <w:bCs/>
          <w:u w:val="single"/>
        </w:rPr>
        <w:t xml:space="preserve"> individual </w:t>
      </w:r>
      <w:r w:rsidRPr="005A7476">
        <w:rPr>
          <w:rFonts w:asciiTheme="majorHAnsi" w:hAnsiTheme="majorHAnsi"/>
          <w:b/>
          <w:bCs/>
          <w:highlight w:val="green"/>
          <w:u w:val="single"/>
        </w:rPr>
        <w:t>intellectual endeavor</w:t>
      </w:r>
      <w:r w:rsidRPr="005A7476">
        <w:rPr>
          <w:rFonts w:asciiTheme="majorHAnsi" w:hAnsiTheme="majorHAnsi"/>
          <w:sz w:val="14"/>
        </w:rPr>
        <w:t xml:space="preserve">, would disrupt capitalism in a radical way.  </w:t>
      </w:r>
      <w:r w:rsidRPr="005A7476">
        <w:rPr>
          <w:rFonts w:asciiTheme="majorHAnsi" w:hAnsiTheme="majorHAnsi"/>
          <w:b/>
          <w:bCs/>
          <w:u w:val="single"/>
        </w:rPr>
        <w:t xml:space="preserve">The </w:t>
      </w:r>
      <w:r w:rsidRPr="005A7476">
        <w:rPr>
          <w:rFonts w:asciiTheme="majorHAnsi" w:hAnsiTheme="majorHAnsi"/>
          <w:b/>
          <w:bCs/>
          <w:highlight w:val="green"/>
          <w:u w:val="single"/>
        </w:rPr>
        <w:t>result</w:t>
      </w:r>
      <w:r w:rsidRPr="005A7476">
        <w:rPr>
          <w:rFonts w:asciiTheme="majorHAnsi" w:hAnsiTheme="majorHAnsi"/>
          <w:b/>
          <w:bCs/>
          <w:u w:val="single"/>
        </w:rPr>
        <w:t xml:space="preserve">ing more secretive approach </w:t>
      </w:r>
      <w:r w:rsidRPr="005A7476">
        <w:rPr>
          <w:rFonts w:asciiTheme="majorHAnsi" w:hAnsiTheme="majorHAnsi"/>
          <w:b/>
          <w:bCs/>
          <w:highlight w:val="green"/>
          <w:u w:val="single"/>
        </w:rPr>
        <w:t xml:space="preserve">in </w:t>
      </w:r>
      <w:r w:rsidRPr="005A7476">
        <w:rPr>
          <w:rFonts w:asciiTheme="majorHAnsi" w:hAnsiTheme="majorHAnsi"/>
          <w:b/>
          <w:bCs/>
          <w:u w:val="single"/>
        </w:rPr>
        <w:t xml:space="preserve">support of the above </w:t>
      </w:r>
      <w:r w:rsidRPr="005A7476">
        <w:rPr>
          <w:rFonts w:asciiTheme="majorHAnsi" w:hAnsiTheme="majorHAnsi"/>
          <w:b/>
          <w:bCs/>
          <w:highlight w:val="green"/>
          <w:u w:val="single"/>
        </w:rPr>
        <w:t>free-riding</w:t>
      </w:r>
      <w:r w:rsidRPr="005A7476">
        <w:rPr>
          <w:rFonts w:asciiTheme="majorHAnsi" w:hAnsiTheme="majorHAnsi"/>
          <w:b/>
          <w:bCs/>
          <w:u w:val="single"/>
        </w:rPr>
        <w:t xml:space="preserve"> Statement</w:t>
      </w:r>
      <w:r w:rsidRPr="005A7476">
        <w:rPr>
          <w:rFonts w:asciiTheme="majorHAnsi" w:hAnsiTheme="majorHAnsi"/>
          <w:sz w:val="14"/>
        </w:rPr>
        <w:t xml:space="preserve"> would be akin to a Communist environment </w:t>
      </w:r>
      <w:r w:rsidRPr="005A7476">
        <w:rPr>
          <w:rFonts w:asciiTheme="majorHAnsi" w:hAnsiTheme="majorHAnsi"/>
          <w:b/>
          <w:bCs/>
          <w:u w:val="single"/>
        </w:rPr>
        <w:t xml:space="preserve">where the State owned everything and the citizen owned nothing, i.e., the people “consented” to this. It is, accordingly, manifestly clear that </w:t>
      </w:r>
      <w:r w:rsidRPr="005A7476">
        <w:rPr>
          <w:rFonts w:asciiTheme="majorHAnsi" w:hAnsiTheme="majorHAnsi"/>
          <w:b/>
          <w:bCs/>
          <w:highlight w:val="green"/>
          <w:u w:val="single"/>
        </w:rPr>
        <w:t>no reasonable</w:t>
      </w:r>
      <w:r w:rsidRPr="005A7476">
        <w:rPr>
          <w:rFonts w:asciiTheme="majorHAnsi" w:hAnsiTheme="majorHAnsi"/>
          <w:b/>
          <w:bCs/>
          <w:u w:val="single"/>
        </w:rPr>
        <w:t xml:space="preserve"> and supportable </w:t>
      </w:r>
      <w:r w:rsidRPr="005A7476">
        <w:rPr>
          <w:rFonts w:asciiTheme="majorHAnsi" w:hAnsiTheme="majorHAnsi"/>
          <w:b/>
          <w:bCs/>
          <w:highlight w:val="green"/>
          <w:u w:val="single"/>
        </w:rPr>
        <w:t>Categorical Imperative can be made for</w:t>
      </w:r>
      <w:r w:rsidRPr="005A7476">
        <w:rPr>
          <w:rFonts w:asciiTheme="majorHAnsi" w:hAnsiTheme="majorHAnsi"/>
          <w:b/>
          <w:bCs/>
          <w:u w:val="single"/>
        </w:rPr>
        <w:t xml:space="preserve"> the unwarranted </w:t>
      </w:r>
      <w:r w:rsidRPr="005A7476">
        <w:rPr>
          <w:rFonts w:asciiTheme="majorHAnsi" w:hAnsiTheme="majorHAnsi"/>
          <w:b/>
          <w:bCs/>
          <w:highlight w:val="green"/>
          <w:u w:val="single"/>
        </w:rPr>
        <w:t>theft of property</w:t>
      </w:r>
      <w:r w:rsidRPr="005A7476">
        <w:rPr>
          <w:rFonts w:asciiTheme="majorHAnsi" w:hAnsiTheme="majorHAnsi"/>
          <w:b/>
          <w:bCs/>
          <w:u w:val="single"/>
        </w:rPr>
        <w:t xml:space="preserve">, whether tangible or intangible, </w:t>
      </w:r>
      <w:r w:rsidRPr="005A7476">
        <w:rPr>
          <w:rFonts w:asciiTheme="majorHAnsi" w:hAnsiTheme="majorHAnsi"/>
          <w:sz w:val="14"/>
        </w:rPr>
        <w:t>apart from legitimate exigencies.</w:t>
      </w:r>
    </w:p>
    <w:p w14:paraId="761C9F3B" w14:textId="77777777" w:rsidR="005636BF" w:rsidRPr="005A7476" w:rsidRDefault="005636BF" w:rsidP="005636BF">
      <w:pPr>
        <w:rPr>
          <w:rFonts w:asciiTheme="majorHAnsi" w:hAnsiTheme="majorHAnsi"/>
          <w:sz w:val="14"/>
        </w:rPr>
      </w:pPr>
    </w:p>
    <w:p w14:paraId="43158B33" w14:textId="77777777" w:rsidR="005636BF" w:rsidRPr="005A7476" w:rsidRDefault="005636BF" w:rsidP="005636BF">
      <w:pPr>
        <w:pStyle w:val="Heading4"/>
        <w:rPr>
          <w:rFonts w:asciiTheme="majorHAnsi" w:hAnsiTheme="majorHAnsi"/>
        </w:rPr>
      </w:pPr>
      <w:r w:rsidRPr="005A7476">
        <w:rPr>
          <w:rFonts w:asciiTheme="majorHAnsi" w:hAnsiTheme="majorHAnsi"/>
        </w:rPr>
        <w:t>[3] No aff offense IP is considered a form of property under the fw</w:t>
      </w:r>
    </w:p>
    <w:p w14:paraId="2C8A0B9B" w14:textId="77777777" w:rsidR="005636BF" w:rsidRPr="005A7476" w:rsidRDefault="005636BF" w:rsidP="005636BF">
      <w:pPr>
        <w:rPr>
          <w:rFonts w:asciiTheme="majorHAnsi" w:hAnsiTheme="majorHAnsi"/>
          <w:b/>
          <w:sz w:val="26"/>
        </w:rPr>
      </w:pPr>
      <w:r w:rsidRPr="005A7476">
        <w:rPr>
          <w:rStyle w:val="Style13ptBold"/>
          <w:rFonts w:asciiTheme="majorHAnsi" w:hAnsiTheme="majorHAnsi"/>
        </w:rPr>
        <w:t>Pozzo 06 (</w:t>
      </w:r>
      <w:r w:rsidRPr="005A7476">
        <w:rPr>
          <w:rFonts w:asciiTheme="majorHAnsi" w:hAnsiTheme="majorHAnsi"/>
        </w:rPr>
        <w:t>POZZO, R. Immanuel Kant sobre propriedade intelectual. Trans/Form/Ação, (São Paulo), v.29(2), 2006, p.11-18.)</w:t>
      </w:r>
    </w:p>
    <w:p w14:paraId="648F8FD8" w14:textId="659F78E7" w:rsidR="00CE0039" w:rsidRDefault="005636BF" w:rsidP="00CE0039">
      <w:pPr>
        <w:rPr>
          <w:rFonts w:asciiTheme="majorHAnsi" w:hAnsiTheme="majorHAnsi"/>
          <w:sz w:val="14"/>
        </w:rPr>
      </w:pPr>
      <w:r w:rsidRPr="005A7476">
        <w:rPr>
          <w:rFonts w:asciiTheme="majorHAnsi" w:hAnsiTheme="majorHAnsi"/>
          <w:sz w:val="14"/>
        </w:rPr>
        <w:t xml:space="preserve">The peculiarity of </w:t>
      </w:r>
      <w:r w:rsidRPr="005A7476">
        <w:rPr>
          <w:rFonts w:asciiTheme="majorHAnsi" w:hAnsiTheme="majorHAnsi"/>
          <w:b/>
          <w:bCs/>
          <w:highlight w:val="green"/>
          <w:u w:val="single"/>
        </w:rPr>
        <w:t>intellectual property</w:t>
      </w:r>
      <w:r w:rsidRPr="005A7476">
        <w:rPr>
          <w:rFonts w:asciiTheme="majorHAnsi" w:hAnsiTheme="majorHAnsi"/>
          <w:sz w:val="14"/>
          <w:highlight w:val="green"/>
        </w:rPr>
        <w:t xml:space="preserve"> </w:t>
      </w:r>
      <w:r w:rsidRPr="005A7476">
        <w:rPr>
          <w:rFonts w:asciiTheme="majorHAnsi" w:hAnsiTheme="majorHAnsi"/>
          <w:sz w:val="14"/>
        </w:rPr>
        <w:t>cons</w:t>
      </w:r>
      <w:r w:rsidRPr="005A7476">
        <w:rPr>
          <w:rFonts w:asciiTheme="majorHAnsi" w:hAnsiTheme="majorHAnsi"/>
          <w:b/>
          <w:bCs/>
          <w:highlight w:val="green"/>
          <w:u w:val="single"/>
        </w:rPr>
        <w:t>is</w:t>
      </w:r>
      <w:r w:rsidRPr="005A7476">
        <w:rPr>
          <w:rFonts w:asciiTheme="majorHAnsi" w:hAnsiTheme="majorHAnsi"/>
          <w:sz w:val="14"/>
        </w:rPr>
        <w:t xml:space="preserve">ts thus first in being indeed a property, but </w:t>
      </w:r>
      <w:r w:rsidRPr="005A7476">
        <w:rPr>
          <w:rFonts w:asciiTheme="majorHAnsi" w:hAnsiTheme="majorHAnsi"/>
          <w:b/>
          <w:bCs/>
          <w:highlight w:val="green"/>
          <w:u w:val="single"/>
        </w:rPr>
        <w:t>property of an action</w:t>
      </w:r>
      <w:r w:rsidRPr="005A7476">
        <w:rPr>
          <w:rFonts w:asciiTheme="majorHAnsi" w:hAnsiTheme="majorHAnsi"/>
          <w:sz w:val="14"/>
        </w:rPr>
        <w:t xml:space="preserve">; and second in being indeed </w:t>
      </w:r>
      <w:r w:rsidRPr="005A7476">
        <w:rPr>
          <w:rFonts w:asciiTheme="majorHAnsi" w:hAnsiTheme="majorHAnsi"/>
          <w:b/>
          <w:bCs/>
          <w:highlight w:val="green"/>
          <w:u w:val="single"/>
        </w:rPr>
        <w:t>inalienable</w:t>
      </w:r>
      <w:r w:rsidRPr="005A7476">
        <w:rPr>
          <w:rFonts w:asciiTheme="majorHAnsi" w:hAnsiTheme="majorHAnsi"/>
          <w:sz w:val="14"/>
        </w:rPr>
        <w:t xml:space="preserve">, but also transferable in commission and license to a publisher. </w:t>
      </w:r>
      <w:r w:rsidRPr="005A7476">
        <w:rPr>
          <w:rFonts w:asciiTheme="majorHAnsi" w:hAnsiTheme="majorHAnsi"/>
          <w:b/>
          <w:bCs/>
          <w:highlight w:val="green"/>
          <w:u w:val="single"/>
        </w:rPr>
        <w:t>The bond</w:t>
      </w:r>
      <w:r w:rsidRPr="005A7476">
        <w:rPr>
          <w:rFonts w:asciiTheme="majorHAnsi" w:hAnsiTheme="majorHAnsi"/>
          <w:sz w:val="14"/>
          <w:highlight w:val="green"/>
        </w:rPr>
        <w:t xml:space="preserve"> </w:t>
      </w:r>
      <w:r w:rsidRPr="005A7476">
        <w:rPr>
          <w:rFonts w:asciiTheme="majorHAnsi" w:hAnsiTheme="majorHAnsi"/>
          <w:b/>
          <w:bCs/>
          <w:highlight w:val="green"/>
          <w:u w:val="single"/>
        </w:rPr>
        <w:t>the author has</w:t>
      </w:r>
      <w:r w:rsidRPr="005A7476">
        <w:rPr>
          <w:rFonts w:asciiTheme="majorHAnsi" w:hAnsiTheme="majorHAnsi"/>
          <w:sz w:val="14"/>
          <w:highlight w:val="green"/>
        </w:rPr>
        <w:t xml:space="preserve"> </w:t>
      </w:r>
      <w:r w:rsidRPr="005A7476">
        <w:rPr>
          <w:rFonts w:asciiTheme="majorHAnsi" w:hAnsiTheme="majorHAnsi"/>
          <w:b/>
          <w:bCs/>
          <w:highlight w:val="green"/>
          <w:u w:val="single"/>
        </w:rPr>
        <w:t>on</w:t>
      </w:r>
      <w:r w:rsidRPr="005A7476">
        <w:rPr>
          <w:rFonts w:asciiTheme="majorHAnsi" w:hAnsiTheme="majorHAnsi"/>
          <w:sz w:val="14"/>
        </w:rPr>
        <w:t xml:space="preserve"> his </w:t>
      </w:r>
      <w:r w:rsidRPr="005A7476">
        <w:rPr>
          <w:rFonts w:asciiTheme="majorHAnsi" w:hAnsiTheme="majorHAnsi"/>
          <w:b/>
          <w:bCs/>
          <w:highlight w:val="green"/>
          <w:u w:val="single"/>
        </w:rPr>
        <w:t>work confers</w:t>
      </w:r>
      <w:r w:rsidRPr="005A7476">
        <w:rPr>
          <w:rFonts w:asciiTheme="majorHAnsi" w:hAnsiTheme="majorHAnsi"/>
          <w:sz w:val="14"/>
          <w:highlight w:val="green"/>
        </w:rPr>
        <w:t xml:space="preserve"> </w:t>
      </w:r>
      <w:r w:rsidRPr="005A7476">
        <w:rPr>
          <w:rFonts w:asciiTheme="majorHAnsi" w:hAnsiTheme="majorHAnsi"/>
          <w:sz w:val="14"/>
        </w:rPr>
        <w:t xml:space="preserve">him </w:t>
      </w:r>
      <w:r w:rsidRPr="005A7476">
        <w:rPr>
          <w:rFonts w:asciiTheme="majorHAnsi" w:hAnsiTheme="majorHAnsi"/>
          <w:b/>
          <w:bCs/>
          <w:highlight w:val="green"/>
          <w:u w:val="single"/>
        </w:rPr>
        <w:t>a moral</w:t>
      </w:r>
      <w:r w:rsidRPr="005A7476">
        <w:rPr>
          <w:rFonts w:asciiTheme="majorHAnsi" w:hAnsiTheme="majorHAnsi"/>
          <w:sz w:val="14"/>
          <w:highlight w:val="green"/>
        </w:rPr>
        <w:t xml:space="preserve"> </w:t>
      </w:r>
      <w:r w:rsidRPr="005A7476">
        <w:rPr>
          <w:rFonts w:asciiTheme="majorHAnsi" w:hAnsiTheme="majorHAnsi"/>
          <w:sz w:val="14"/>
        </w:rPr>
        <w:t xml:space="preserve">right that is indeed a </w:t>
      </w:r>
      <w:r w:rsidRPr="005A7476">
        <w:rPr>
          <w:rFonts w:asciiTheme="majorHAnsi" w:hAnsiTheme="majorHAnsi"/>
          <w:b/>
          <w:bCs/>
          <w:highlight w:val="green"/>
          <w:u w:val="single"/>
        </w:rPr>
        <w:t>personal right</w:t>
      </w:r>
      <w:r w:rsidRPr="005A7476">
        <w:rPr>
          <w:rFonts w:asciiTheme="majorHAnsi" w:hAnsiTheme="majorHAnsi"/>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5A7476">
        <w:rPr>
          <w:rFonts w:asciiTheme="majorHAnsi" w:hAnsiTheme="majorHAnsi"/>
          <w:b/>
          <w:bCs/>
          <w:highlight w:val="green"/>
          <w:u w:val="single"/>
        </w:rPr>
        <w:t>Kant</w:t>
      </w:r>
      <w:r w:rsidRPr="005A7476">
        <w:rPr>
          <w:rFonts w:asciiTheme="majorHAnsi" w:hAnsiTheme="majorHAnsi"/>
          <w:sz w:val="14"/>
        </w:rPr>
        <w:t xml:space="preserve">, however, </w:t>
      </w:r>
      <w:r w:rsidRPr="005A7476">
        <w:rPr>
          <w:rFonts w:asciiTheme="majorHAnsi" w:hAnsiTheme="majorHAnsi"/>
          <w:b/>
          <w:bCs/>
          <w:highlight w:val="green"/>
          <w:u w:val="single"/>
        </w:rPr>
        <w:t>was firm in embracing intellectual property</w:t>
      </w:r>
      <w:r w:rsidRPr="005A7476">
        <w:rPr>
          <w:rFonts w:asciiTheme="majorHAnsi" w:hAnsiTheme="majorHAnsi"/>
          <w:sz w:val="14"/>
        </w:rPr>
        <w:t xml:space="preserve">. Referring himself to Roman Law, he asked for its legislative formulation not only as patrimonial right, but also as a personal right. In Of the Illegitimity of Pirate Publishing, he considered the moral faculties related to </w:t>
      </w:r>
      <w:r w:rsidRPr="005A7476">
        <w:rPr>
          <w:rFonts w:asciiTheme="majorHAnsi" w:hAnsiTheme="majorHAnsi"/>
          <w:b/>
          <w:bCs/>
          <w:highlight w:val="green"/>
          <w:u w:val="single"/>
        </w:rPr>
        <w:t xml:space="preserve">intellectual property as </w:t>
      </w:r>
      <w:r w:rsidRPr="005A7476">
        <w:rPr>
          <w:rFonts w:asciiTheme="majorHAnsi" w:hAnsiTheme="majorHAnsi"/>
          <w:sz w:val="14"/>
        </w:rPr>
        <w:t>an “</w:t>
      </w:r>
      <w:r w:rsidRPr="005A7476">
        <w:rPr>
          <w:rFonts w:asciiTheme="majorHAnsi" w:hAnsiTheme="majorHAnsi"/>
          <w:b/>
          <w:bCs/>
          <w:highlight w:val="green"/>
          <w:u w:val="single"/>
        </w:rPr>
        <w:t xml:space="preserve">inalienable right </w:t>
      </w:r>
      <w:r w:rsidRPr="005A7476">
        <w:rPr>
          <w:rFonts w:asciiTheme="majorHAnsi" w:hAnsiTheme="majorHAnsi"/>
          <w:sz w:val="14"/>
        </w:rPr>
        <w:t xml:space="preserve">(ius personalissimum) always himself to speak through anyone else, the right, that is, that </w:t>
      </w:r>
      <w:r w:rsidRPr="005A7476">
        <w:rPr>
          <w:rFonts w:asciiTheme="majorHAnsi" w:hAnsiTheme="majorHAnsi"/>
          <w:b/>
          <w:bCs/>
          <w:highlight w:val="green"/>
          <w:u w:val="single"/>
        </w:rPr>
        <w:t xml:space="preserve">no one may deliver the same speech to the public other than in his </w:t>
      </w:r>
      <w:r w:rsidRPr="005A7476">
        <w:rPr>
          <w:rFonts w:asciiTheme="majorHAnsi" w:hAnsiTheme="majorHAnsi"/>
          <w:sz w:val="14"/>
        </w:rPr>
        <w:t xml:space="preserve">(the author’s) </w:t>
      </w:r>
      <w:r w:rsidRPr="005A7476">
        <w:rPr>
          <w:rFonts w:asciiTheme="majorHAnsi" w:hAnsiTheme="majorHAnsi"/>
          <w:b/>
          <w:bCs/>
          <w:highlight w:val="green"/>
          <w:u w:val="single"/>
        </w:rPr>
        <w:t>name</w:t>
      </w:r>
      <w:r w:rsidRPr="005A7476">
        <w:rPr>
          <w:rFonts w:asciiTheme="majorHAnsi" w:hAnsiTheme="majorHAnsi"/>
          <w:sz w:val="14"/>
        </w:rPr>
        <w:t xml:space="preserve">” (Kant, 1902, t.8, p.85). Fichte went farther in the Demonstration of the Illegitimity of Pirate Publishing. He saw </w:t>
      </w:r>
      <w:r w:rsidRPr="005A7476">
        <w:rPr>
          <w:rFonts w:asciiTheme="majorHAnsi" w:hAnsiTheme="majorHAnsi"/>
          <w:b/>
          <w:bCs/>
          <w:highlight w:val="green"/>
          <w:u w:val="single"/>
        </w:rPr>
        <w:t>intellectual property</w:t>
      </w:r>
      <w:r w:rsidRPr="005A7476">
        <w:rPr>
          <w:rFonts w:asciiTheme="majorHAnsi" w:hAnsiTheme="majorHAnsi"/>
          <w:sz w:val="14"/>
        </w:rPr>
        <w:t xml:space="preserve"> as a </w:t>
      </w:r>
      <w:r w:rsidRPr="005A7476">
        <w:rPr>
          <w:rFonts w:asciiTheme="majorHAnsi" w:hAnsiTheme="majorHAnsi"/>
          <w:b/>
          <w:bCs/>
          <w:highlight w:val="green"/>
          <w:u w:val="single"/>
        </w:rPr>
        <w:t>part of</w:t>
      </w:r>
      <w:r w:rsidRPr="005A7476">
        <w:rPr>
          <w:rFonts w:asciiTheme="majorHAnsi" w:hAnsiTheme="majorHAnsi"/>
          <w:sz w:val="14"/>
          <w:highlight w:val="green"/>
        </w:rPr>
        <w:t xml:space="preserve"> </w:t>
      </w:r>
      <w:r w:rsidRPr="005A7476">
        <w:rPr>
          <w:rFonts w:asciiTheme="majorHAnsi" w:hAnsiTheme="majorHAnsi"/>
          <w:sz w:val="14"/>
        </w:rPr>
        <w:t xml:space="preserve">his </w:t>
      </w:r>
      <w:r w:rsidRPr="005A7476">
        <w:rPr>
          <w:rFonts w:asciiTheme="majorHAnsi" w:hAnsiTheme="majorHAnsi"/>
          <w:b/>
          <w:bCs/>
          <w:highlight w:val="green"/>
          <w:u w:val="single"/>
        </w:rPr>
        <w:t>metaphysical construction of intellectual activity</w:t>
      </w:r>
      <w:r w:rsidRPr="005A7476">
        <w:rPr>
          <w:rFonts w:asciiTheme="majorHAnsi" w:hAnsiTheme="majorHAnsi"/>
          <w:sz w:val="14"/>
        </w:rPr>
        <w:t>,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w:t>
      </w:r>
      <w:r w:rsidRPr="005A7476">
        <w:rPr>
          <w:rFonts w:asciiTheme="majorHAnsi" w:hAnsiTheme="majorHAnsi"/>
          <w:b/>
          <w:bCs/>
          <w:highlight w:val="green"/>
          <w:u w:val="single"/>
        </w:rPr>
        <w:t>This intellectual element</w:t>
      </w:r>
      <w:r w:rsidRPr="005A7476">
        <w:rPr>
          <w:rFonts w:asciiTheme="majorHAnsi" w:hAnsiTheme="majorHAnsi"/>
          <w:sz w:val="14"/>
          <w:highlight w:val="green"/>
        </w:rPr>
        <w:t xml:space="preserve"> </w:t>
      </w:r>
      <w:r w:rsidRPr="005A7476">
        <w:rPr>
          <w:rFonts w:asciiTheme="majorHAnsi" w:hAnsiTheme="majorHAnsi"/>
          <w:sz w:val="14"/>
        </w:rPr>
        <w:t xml:space="preserve">must be divided anew into what is material, the content of the book, the thoughts it presents; and the form of these thoughts, the manner in which, the connection </w:t>
      </w:r>
      <w:r w:rsidRPr="005A7476">
        <w:rPr>
          <w:rFonts w:asciiTheme="majorHAnsi" w:hAnsiTheme="majorHAnsi"/>
          <w:b/>
          <w:bCs/>
          <w:highlight w:val="green"/>
          <w:u w:val="single"/>
        </w:rPr>
        <w:t>in which</w:t>
      </w:r>
      <w:r w:rsidRPr="005A7476">
        <w:rPr>
          <w:rFonts w:asciiTheme="majorHAnsi" w:hAnsiTheme="majorHAnsi"/>
          <w:sz w:val="14"/>
        </w:rPr>
        <w:t xml:space="preserve">, the formulations and the words by means of which the book presents them” (Fichte, 1964, t.I/1, p.411). Fichte’s underlining the </w:t>
      </w:r>
      <w:r w:rsidRPr="005A7476">
        <w:rPr>
          <w:rFonts w:asciiTheme="majorHAnsi" w:hAnsiTheme="majorHAnsi"/>
          <w:b/>
          <w:bCs/>
          <w:highlight w:val="green"/>
          <w:u w:val="single"/>
        </w:rPr>
        <w:t>author’s exclusive right</w:t>
      </w:r>
      <w:r w:rsidRPr="005A7476">
        <w:rPr>
          <w:rFonts w:asciiTheme="majorHAnsi" w:hAnsiTheme="majorHAnsi"/>
          <w:sz w:val="14"/>
          <w:highlight w:val="green"/>
        </w:rPr>
        <w:t xml:space="preserve"> </w:t>
      </w:r>
      <w:r w:rsidRPr="005A7476">
        <w:rPr>
          <w:rFonts w:asciiTheme="majorHAnsi" w:hAnsiTheme="majorHAnsi"/>
          <w:sz w:val="14"/>
        </w:rPr>
        <w:t xml:space="preserve">to the intellectual content of his book – “the appropriation of which </w:t>
      </w:r>
      <w:r w:rsidRPr="005A7476">
        <w:rPr>
          <w:rFonts w:asciiTheme="majorHAnsi" w:hAnsiTheme="majorHAnsi"/>
          <w:b/>
          <w:bCs/>
          <w:highlight w:val="green"/>
          <w:u w:val="single"/>
        </w:rPr>
        <w:t>through another is physically impossible</w:t>
      </w:r>
      <w:r w:rsidRPr="005A7476">
        <w:rPr>
          <w:rFonts w:asciiTheme="majorHAnsi" w:hAnsiTheme="majorHAnsi"/>
          <w:sz w:val="14"/>
        </w:rPr>
        <w:t>” (ibid.) – brought him to the extreme of prohibiting any form of copy that is not meant for personal use.</w:t>
      </w:r>
    </w:p>
    <w:p w14:paraId="1313EF87" w14:textId="77777777" w:rsidR="00F007C9" w:rsidRDefault="00F007C9" w:rsidP="00F007C9">
      <w:pPr>
        <w:pStyle w:val="Heading4"/>
      </w:pPr>
      <w:r>
        <w:t>[4] IP is a reflection of our will and a form of property.</w:t>
      </w:r>
    </w:p>
    <w:p w14:paraId="7ED8D452" w14:textId="77777777" w:rsidR="00F007C9" w:rsidRPr="008B3294" w:rsidRDefault="00F007C9" w:rsidP="00F007C9">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14:paraId="7B7B110A" w14:textId="43622BCE" w:rsidR="00F007C9" w:rsidRDefault="00F007C9" w:rsidP="0090295B">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szCs w:val="22"/>
        </w:rPr>
        <w:t xml:space="preserve">extended possession of these objects- intransformation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4EC5535A" w14:textId="1949BAE4" w:rsidR="0090295B" w:rsidRPr="0090295B" w:rsidRDefault="0090295B" w:rsidP="0090295B">
      <w:pPr>
        <w:pStyle w:val="Heading4"/>
      </w:pPr>
      <w:r>
        <w:t xml:space="preserve">Outweighs aff offense bc being able to use our thoughts and put them into action to set and pursue ends is the only thing that is intrinsic to human nature and agency while all other aff concerns are just secondary </w:t>
      </w:r>
    </w:p>
    <w:p w14:paraId="7EB91840" w14:textId="595BD73C" w:rsidR="00F25D49" w:rsidRDefault="00F25D49" w:rsidP="00F25D49">
      <w:pPr>
        <w:pStyle w:val="Heading2"/>
      </w:pPr>
      <w:r>
        <w:t>Case</w:t>
      </w:r>
    </w:p>
    <w:p w14:paraId="69149801" w14:textId="654F7ADF" w:rsidR="00CE0039" w:rsidRDefault="00CE0039" w:rsidP="00CE0039">
      <w:pPr>
        <w:pStyle w:val="Heading3"/>
      </w:pPr>
      <w:r>
        <w:t xml:space="preserve">1ar theory </w:t>
      </w:r>
    </w:p>
    <w:p w14:paraId="71A50348" w14:textId="0B2CA2AE" w:rsidR="005636BF" w:rsidRPr="005636BF" w:rsidRDefault="005636BF" w:rsidP="005636BF">
      <w:pPr>
        <w:pStyle w:val="Heading4"/>
      </w:pPr>
      <w:r>
        <w:t xml:space="preserve">1ar theory, </w:t>
      </w:r>
    </w:p>
    <w:p w14:paraId="48175608" w14:textId="4A69954C" w:rsidR="005636BF" w:rsidRDefault="005636BF" w:rsidP="005636BF">
      <w:pPr>
        <w:pStyle w:val="Heading4"/>
      </w:pPr>
      <w:r>
        <w:t xml:space="preserve">[1] DTA – A] they can blow up a blippy 20 second shell to 3 min of the 2AR while I have to split my time and can’t preempt 2AR spin which necessitates judge intervention and means 1AR theory is irresolvable so you shouldn’t stake the round on it </w:t>
      </w:r>
    </w:p>
    <w:p w14:paraId="424C5456" w14:textId="77777777" w:rsidR="005636BF" w:rsidRDefault="005636BF" w:rsidP="005636BF">
      <w:pPr>
        <w:pStyle w:val="Heading4"/>
      </w:pPr>
      <w:r>
        <w:t xml:space="preserve">[2] Reasonability – 1AR theory is super aff-biased because the 2AR gets to line-by-line every 2NR standard with new answers that never get responded to which means either A] the 2AR always wins since they just need a single response to each argument which flips infinite abuse or B] means it’s irresolvable because the judge has to intervene to determine whether or not </w:t>
      </w:r>
      <w:bookmarkStart w:id="0" w:name="_GoBack"/>
      <w:bookmarkEnd w:id="0"/>
      <w:r>
        <w:t xml:space="preserve">it’s warranted enough to vote on which collapses to reasonability – reasonability checks 2AR sandbagging by preventing super abusive 1NCs while still giving the 2N a chance. </w:t>
      </w:r>
    </w:p>
    <w:p w14:paraId="5D85F834" w14:textId="1CD5ED5D" w:rsidR="00323D87" w:rsidRDefault="00323D87" w:rsidP="00323D87">
      <w:pPr>
        <w:pStyle w:val="Heading4"/>
      </w:pPr>
      <w:r>
        <w:t>No 1AR Theory, Impact Turns, or Independent Voters – a] Resolvability: Either you auto accept all responses to 2NR standards and they auto win since I can't respond, or you intervene to give 2AR credence b] Structural skew – 7-6 time 2-1 speech skew for offense favors the Aff who speaks first and last and set the stage with a persuasive advantage c] Only a couple ways I can skew your strat completely that a lot of 1AC interps solve.</w:t>
      </w:r>
    </w:p>
    <w:p w14:paraId="778FD60D" w14:textId="77777777" w:rsidR="00323D87" w:rsidRDefault="00323D87" w:rsidP="00323D87">
      <w:pPr>
        <w:pStyle w:val="Heading4"/>
      </w:pPr>
      <w:r>
        <w:t>Resolvability outweighs infinite abuse – a] Jurisdiction – if a judge can’t resolve from the flow they insert biases – that takes away from argumentation which is constitutive of all debate, b] if the warrant is infinite bad things I can do it proves its reciprocal for me to get 2NR theory</w:t>
      </w:r>
    </w:p>
    <w:p w14:paraId="79D05344" w14:textId="6A190948" w:rsidR="005636BF" w:rsidRPr="005636BF" w:rsidRDefault="005636BF" w:rsidP="00323D87">
      <w:pPr>
        <w:pStyle w:val="Heading4"/>
      </w:pPr>
    </w:p>
    <w:p w14:paraId="24DA44D6" w14:textId="77777777" w:rsidR="00CE0039" w:rsidRPr="00CE0039" w:rsidRDefault="00CE0039" w:rsidP="00CE0039"/>
    <w:p w14:paraId="1DE445F0" w14:textId="77777777" w:rsidR="00F25D49" w:rsidRPr="00F25D49" w:rsidRDefault="00F25D49" w:rsidP="00F25D49"/>
    <w:sectPr w:rsidR="00F25D49" w:rsidRPr="00F25D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7"/>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320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1EE"/>
    <w:rsid w:val="002E392E"/>
    <w:rsid w:val="002E6BBC"/>
    <w:rsid w:val="002F1BA9"/>
    <w:rsid w:val="002F6E74"/>
    <w:rsid w:val="003106B3"/>
    <w:rsid w:val="0031385D"/>
    <w:rsid w:val="003171AB"/>
    <w:rsid w:val="003223B2"/>
    <w:rsid w:val="00322A67"/>
    <w:rsid w:val="00323D8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60C"/>
    <w:rsid w:val="003A248F"/>
    <w:rsid w:val="003A4D9C"/>
    <w:rsid w:val="003B1668"/>
    <w:rsid w:val="003C5F4C"/>
    <w:rsid w:val="003D5EA8"/>
    <w:rsid w:val="003D7B28"/>
    <w:rsid w:val="003E305E"/>
    <w:rsid w:val="003E34DB"/>
    <w:rsid w:val="003E5302"/>
    <w:rsid w:val="003E5BF1"/>
    <w:rsid w:val="003F2452"/>
    <w:rsid w:val="003F323E"/>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6BF"/>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95B"/>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0B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695"/>
    <w:rsid w:val="00C56DCC"/>
    <w:rsid w:val="00C57075"/>
    <w:rsid w:val="00C72AFE"/>
    <w:rsid w:val="00C81619"/>
    <w:rsid w:val="00CA013C"/>
    <w:rsid w:val="00CA6D6D"/>
    <w:rsid w:val="00CC7A4E"/>
    <w:rsid w:val="00CD1359"/>
    <w:rsid w:val="00CD4C83"/>
    <w:rsid w:val="00CE003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EE4"/>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7C9"/>
    <w:rsid w:val="00F02046"/>
    <w:rsid w:val="00F053D8"/>
    <w:rsid w:val="00F07681"/>
    <w:rsid w:val="00F07888"/>
    <w:rsid w:val="00F1313D"/>
    <w:rsid w:val="00F201E7"/>
    <w:rsid w:val="00F204E0"/>
    <w:rsid w:val="00F20B16"/>
    <w:rsid w:val="00F21C79"/>
    <w:rsid w:val="00F238C9"/>
    <w:rsid w:val="00F23CA5"/>
    <w:rsid w:val="00F25D49"/>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67210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A060C"/>
    <w:pPr>
      <w:spacing w:after="160" w:line="259" w:lineRule="auto"/>
    </w:pPr>
  </w:style>
  <w:style w:type="paragraph" w:styleId="Heading1">
    <w:name w:val="heading 1"/>
    <w:aliases w:val="Pocket"/>
    <w:basedOn w:val="Normal"/>
    <w:next w:val="Normal"/>
    <w:link w:val="Heading1Char"/>
    <w:uiPriority w:val="9"/>
    <w:qFormat/>
    <w:rsid w:val="003A06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6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6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3A06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60C"/>
  </w:style>
  <w:style w:type="character" w:customStyle="1" w:styleId="Heading1Char">
    <w:name w:val="Heading 1 Char"/>
    <w:aliases w:val="Pocket Char"/>
    <w:basedOn w:val="DefaultParagraphFont"/>
    <w:link w:val="Heading1"/>
    <w:uiPriority w:val="9"/>
    <w:rsid w:val="003A060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A060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A060C"/>
    <w:rPr>
      <w:rFonts w:eastAsiaTheme="majorEastAsia"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A060C"/>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060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A060C"/>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3A060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A060C"/>
    <w:rPr>
      <w:color w:val="auto"/>
      <w:u w:val="none"/>
    </w:rPr>
  </w:style>
  <w:style w:type="character" w:styleId="Hyperlink">
    <w:name w:val="Hyperlink"/>
    <w:aliases w:val="No Spacing Char,Card Format Char,ClearFormatting Char,Clear Char,DDI Tag Char,Tag Title Char,No Spacing6 Char,No Spacing7 Char,No Spacing8 Char,Dont u Char,No Spacing311 Char,No Spacing51 Char,Dont use Char,Tag and Cite Char,No Spacing31 Char"/>
    <w:basedOn w:val="DefaultParagraphFont"/>
    <w:link w:val="NoSpacing"/>
    <w:uiPriority w:val="99"/>
    <w:unhideWhenUsed/>
    <w:rsid w:val="003A060C"/>
    <w:rPr>
      <w:color w:val="auto"/>
      <w:u w:val="none"/>
    </w:rPr>
  </w:style>
  <w:style w:type="paragraph" w:styleId="DocumentMap">
    <w:name w:val="Document Map"/>
    <w:basedOn w:val="Normal"/>
    <w:link w:val="DocumentMapChar"/>
    <w:uiPriority w:val="99"/>
    <w:semiHidden/>
    <w:unhideWhenUsed/>
    <w:rsid w:val="003A06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060C"/>
    <w:rPr>
      <w:rFonts w:ascii="Lucida Grande" w:hAnsi="Lucida Grande" w:cs="Lucida Grande"/>
      <w:sz w:val="24"/>
    </w:rPr>
  </w:style>
  <w:style w:type="paragraph" w:customStyle="1" w:styleId="textbold">
    <w:name w:val="text bold"/>
    <w:basedOn w:val="Normal"/>
    <w:link w:val="Emphasis"/>
    <w:uiPriority w:val="20"/>
    <w:qFormat/>
    <w:rsid w:val="005636BF"/>
    <w:pPr>
      <w:ind w:left="720"/>
      <w:jc w:val="both"/>
    </w:pPr>
    <w:rPr>
      <w:b/>
      <w:iCs/>
      <w:u w:val="single"/>
    </w:rPr>
  </w:style>
  <w:style w:type="paragraph" w:styleId="NoSpacing">
    <w:name w:val="No Spacing"/>
    <w:aliases w:val="Card Format,ClearFormatting,Clear,DDI Tag,Tag Title,No Spacing6,No Spacing7,No Spacing8,Dont u,No Spacing311,No Spacing51,Dont use,Tag and Cite,No Spacing31,No Spacing22,No Spacing41,Very Small Text,No Spacing111112,No Spacing3,Card"/>
    <w:basedOn w:val="Heading1"/>
    <w:link w:val="Hyperlink"/>
    <w:autoRedefine/>
    <w:uiPriority w:val="99"/>
    <w:qFormat/>
    <w:rsid w:val="002E21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ipwatchdog.com/2018/07/17/categorical-imperative-innovation-patenting/id=99178/" TargetMode="External"/><Relationship Id="rId10"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C9F03C4-68C3-4C49-A8BB-F13597E4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2785</Words>
  <Characters>15879</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2021-09-25T17:02:00Z</dcterms:created>
  <dcterms:modified xsi:type="dcterms:W3CDTF">2021-09-25T20:01:00Z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