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944876" w14:textId="77777777" w:rsidR="00DA2963" w:rsidRPr="00DF5F7A" w:rsidRDefault="00DA2963" w:rsidP="00DA2963"/>
    <w:p w14:paraId="3DACCE9A" w14:textId="77777777" w:rsidR="00DA2963" w:rsidRDefault="00DA2963" w:rsidP="00DA2963">
      <w:pPr>
        <w:pStyle w:val="Heading1"/>
      </w:pPr>
      <w:r>
        <w:lastRenderedPageBreak/>
        <w:t>1nc</w:t>
      </w:r>
    </w:p>
    <w:p w14:paraId="297ECDFA" w14:textId="77777777" w:rsidR="00DA2963" w:rsidRPr="00311A68" w:rsidRDefault="00DA2963" w:rsidP="00DA2963">
      <w:pPr>
        <w:pStyle w:val="Heading2"/>
      </w:pPr>
      <w:r>
        <w:lastRenderedPageBreak/>
        <w:t>1st</w:t>
      </w:r>
    </w:p>
    <w:p w14:paraId="00B0B61B" w14:textId="77777777" w:rsidR="00DA2963" w:rsidRPr="00D976E6" w:rsidRDefault="00DA2963" w:rsidP="00DA2963">
      <w:pPr>
        <w:pStyle w:val="Heading4"/>
      </w:pPr>
      <w:r w:rsidRPr="00D976E6">
        <w:rPr>
          <w:u w:val="single"/>
        </w:rPr>
        <w:t>The subject is fundamentally unstable</w:t>
      </w:r>
      <w:r w:rsidRPr="00D976E6">
        <w:t xml:space="preserve">: being is in flux due to things such as time, I am not the same </w:t>
      </w:r>
      <w:r>
        <w:t>person</w:t>
      </w:r>
      <w:r w:rsidRPr="00D976E6">
        <w:t xml:space="preserve"> that I was 10 years ago, which proves personal evolution. </w:t>
      </w:r>
    </w:p>
    <w:p w14:paraId="1646EBD3" w14:textId="77777777" w:rsidR="00DA2963" w:rsidRPr="00D976E6" w:rsidRDefault="00DA2963" w:rsidP="00DA2963">
      <w:pPr>
        <w:pStyle w:val="Heading4"/>
      </w:pPr>
      <w:r w:rsidRPr="00D976E6">
        <w:rPr>
          <w:u w:val="single"/>
        </w:rPr>
        <w:t>Affect is constitutive</w:t>
      </w:r>
      <w:r w:rsidRPr="00D976E6">
        <w:t xml:space="preserve">: it is the capacity to experience and to be experienced. I am experiencing my laptop, my opponent, just as much as you are experiencing me. There is no way any person or thing can escape affection. </w:t>
      </w:r>
    </w:p>
    <w:p w14:paraId="39D1B21B" w14:textId="77777777" w:rsidR="00DA2963" w:rsidRPr="00D976E6" w:rsidRDefault="00DA2963" w:rsidP="00DA2963">
      <w:pPr>
        <w:pStyle w:val="Heading4"/>
      </w:pPr>
      <w:r w:rsidRPr="00D976E6">
        <w:rPr>
          <w:u w:val="single"/>
        </w:rPr>
        <w:t>Fluidity determines the subject</w:t>
      </w:r>
      <w:r w:rsidRPr="00D976E6">
        <w:t>: because affect and instability ensure that subjects always change, the only intrinsic feature of the subject is that everything remains in flux. Emphasis on particular aspects of subjectivity only drives division in the proletariat.</w:t>
      </w:r>
    </w:p>
    <w:p w14:paraId="3CAA7A7B" w14:textId="77777777" w:rsidR="00DA2963" w:rsidRPr="00D976E6" w:rsidRDefault="00DA2963" w:rsidP="00DA2963"/>
    <w:p w14:paraId="7329998C" w14:textId="77777777" w:rsidR="00DA2963" w:rsidRPr="00D976E6" w:rsidRDefault="00DA2963" w:rsidP="00DA2963">
      <w:pPr>
        <w:pStyle w:val="Heading4"/>
      </w:pPr>
      <w:r w:rsidRPr="00D976E6">
        <w:t>Previous liberal conceptions of identity and inclusion have only created further exclusion: by using legal recognition as a metric for incorporation, a zone external to the law is necessarily created. The affs fantastical view of politics ov</w:t>
      </w:r>
      <w:r>
        <w:t>er-emphasizes legal recognition, literally asking the state to recognize the right to strike, that</w:t>
      </w:r>
      <w:r w:rsidRPr="00D976E6">
        <w:t xml:space="preserve"> recreate</w:t>
      </w:r>
      <w:r>
        <w:t>s</w:t>
      </w:r>
      <w:r w:rsidRPr="00D976E6">
        <w:t xml:space="preserve"> violence against vulnerable flesh and pit minorities against each other. </w:t>
      </w:r>
    </w:p>
    <w:p w14:paraId="1DF47A09" w14:textId="77777777" w:rsidR="00DA2963" w:rsidRPr="00D976E6" w:rsidRDefault="00DA2963" w:rsidP="00DA2963">
      <w:pPr>
        <w:rPr>
          <w:rFonts w:cs="Calibri"/>
        </w:rPr>
      </w:pPr>
      <w:r w:rsidRPr="00D976E6">
        <w:rPr>
          <w:rStyle w:val="Style13ptBold"/>
          <w:rFonts w:cs="Calibri"/>
        </w:rPr>
        <w:t>Weheliye 1</w:t>
      </w:r>
      <w:r w:rsidRPr="00D976E6">
        <w:rPr>
          <w:rFonts w:cs="Calibri"/>
        </w:rPr>
        <w:t xml:space="preserve"> [Alexander Weheliye; Associate Professor of African American Studies at Northwestern University; 2014; “Habeas Viscus: Racializing Assemblages, Biopolitics, and Black Feminist Theories of the Human”; LCA-BP] *brackets for gendered lang</w:t>
      </w:r>
    </w:p>
    <w:p w14:paraId="46FA6D95" w14:textId="77777777" w:rsidR="00DA2963" w:rsidRPr="00D976E6" w:rsidRDefault="00DA2963" w:rsidP="00DA2963">
      <w:pPr>
        <w:rPr>
          <w:sz w:val="16"/>
        </w:rPr>
      </w:pPr>
      <w:r w:rsidRPr="00D976E6">
        <w:rPr>
          <w:sz w:val="16"/>
        </w:rPr>
        <w:t xml:space="preserve">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essence.21 My interest here lies not in claiming inalienable ownership rights for cells derived from human bodies such as Lacks's and Moore's but to draw attention to how thoroughly the very core of pure biological matter is framed by neoliberal market logics and by liberal ideas of personhood as property. </w:t>
      </w:r>
      <w:r w:rsidRPr="00D976E6">
        <w:rPr>
          <w:rStyle w:val="Heading3Char"/>
        </w:rPr>
        <w:t xml:space="preserve">We are in dire need of alternatives to the legal conception of personhood </w:t>
      </w:r>
      <w:r w:rsidRPr="00D976E6">
        <w:rPr>
          <w:sz w:val="16"/>
        </w:rPr>
        <w:t xml:space="preserve">that dominates our world, </w:t>
      </w:r>
      <w:r w:rsidRPr="00D976E6">
        <w:rPr>
          <w:rStyle w:val="Heading3Char"/>
        </w:rPr>
        <w:t>and</w:t>
      </w:r>
      <w:r w:rsidRPr="00D976E6">
        <w:rPr>
          <w:sz w:val="16"/>
        </w:rPr>
        <w:t xml:space="preserve">, in addition, </w:t>
      </w:r>
      <w:r w:rsidRPr="00D976E6">
        <w:rPr>
          <w:rStyle w:val="Heading3Char"/>
        </w:rPr>
        <w:t>to not lose sight of</w:t>
      </w:r>
      <w:r w:rsidRPr="00D976E6">
        <w:rPr>
          <w:sz w:val="16"/>
        </w:rPr>
        <w:t xml:space="preserve"> what remains outside the law, </w:t>
      </w:r>
      <w:r w:rsidRPr="00D976E6">
        <w:rPr>
          <w:rStyle w:val="Heading3Char"/>
        </w:rPr>
        <w:t>what the law cannot capture</w:t>
      </w:r>
      <w:r w:rsidRPr="00D976E6">
        <w:rPr>
          <w:sz w:val="16"/>
        </w:rPr>
        <w:t xml:space="preserve">, what it cannot magically transform into the fantastic form of property ownership. Writing about the connections between transgender politics and other forms of identity-based activism that respond to structural inequalities, legal scholar Dean Spade shows how the </w:t>
      </w:r>
      <w:r w:rsidRPr="00D976E6">
        <w:rPr>
          <w:rStyle w:val="Heading3Char"/>
        </w:rPr>
        <w:t>focus on inclusion</w:t>
      </w:r>
      <w:r w:rsidRPr="00D976E6">
        <w:rPr>
          <w:sz w:val="16"/>
        </w:rPr>
        <w:t xml:space="preserve">, recognition, </w:t>
      </w:r>
      <w:r w:rsidRPr="00D976E6">
        <w:rPr>
          <w:rStyle w:val="Heading3Char"/>
        </w:rPr>
        <w:t xml:space="preserve">and equality based on a </w:t>
      </w:r>
      <w:r w:rsidRPr="00D976E6">
        <w:rPr>
          <w:rStyle w:val="Heading3Char"/>
        </w:rPr>
        <w:lastRenderedPageBreak/>
        <w:t>narrow legal framework</w:t>
      </w:r>
      <w:r w:rsidRPr="00D976E6">
        <w:rPr>
          <w:sz w:val="16"/>
        </w:rPr>
        <w:t xml:space="preserve"> (especially as it pertains to antidiscrimination and hate crime laws) </w:t>
      </w:r>
      <w:r w:rsidRPr="00D976E6">
        <w:rPr>
          <w:rStyle w:val="Heading3Char"/>
        </w:rPr>
        <w:t>not only hinders the eradication of violence</w:t>
      </w:r>
      <w:r w:rsidRPr="00D976E6">
        <w:rPr>
          <w:sz w:val="16"/>
        </w:rPr>
        <w:t xml:space="preserve"> </w:t>
      </w:r>
      <w:r w:rsidRPr="00D976E6">
        <w:rPr>
          <w:rStyle w:val="Heading3Char"/>
        </w:rPr>
        <w:t>against</w:t>
      </w:r>
      <w:r w:rsidRPr="00D976E6">
        <w:rPr>
          <w:sz w:val="16"/>
        </w:rPr>
        <w:t xml:space="preserve"> trans people and other </w:t>
      </w:r>
      <w:r w:rsidRPr="00D976E6">
        <w:rPr>
          <w:rStyle w:val="Heading3Char"/>
        </w:rPr>
        <w:t>vulnerable populations</w:t>
      </w:r>
      <w:r w:rsidRPr="00D976E6">
        <w:rPr>
          <w:sz w:val="16"/>
        </w:rPr>
        <w:t xml:space="preserve"> </w:t>
      </w:r>
      <w:r w:rsidRPr="00D976E6">
        <w:rPr>
          <w:rStyle w:val="Heading3Char"/>
        </w:rPr>
        <w:t>but</w:t>
      </w:r>
      <w:r w:rsidRPr="00D976E6">
        <w:rPr>
          <w:sz w:val="16"/>
        </w:rPr>
        <w:t xml:space="preserve"> actually </w:t>
      </w:r>
      <w:r w:rsidRPr="00D976E6">
        <w:rPr>
          <w:rStyle w:val="Heading3Char"/>
        </w:rPr>
        <w:t>creates</w:t>
      </w:r>
      <w:r w:rsidRPr="00D976E6">
        <w:rPr>
          <w:sz w:val="16"/>
        </w:rPr>
        <w:t xml:space="preserve"> the condition of possibility for </w:t>
      </w:r>
      <w:r w:rsidRPr="00D976E6">
        <w:rPr>
          <w:rStyle w:val="Heading3Char"/>
        </w:rPr>
        <w:t>the continued unequal “distribution of life chances.”</w:t>
      </w:r>
      <w:r w:rsidRPr="00D976E6">
        <w:rPr>
          <w:rStyle w:val="Heading3Char"/>
          <w:sz w:val="12"/>
        </w:rPr>
        <w:t>22</w:t>
      </w:r>
      <w:r w:rsidRPr="00D976E6">
        <w:rPr>
          <w:rStyle w:val="Heading3Char"/>
        </w:rPr>
        <w:t xml:space="preserve"> If demanding recognition and inclusion remains at the center of minority politics, it will lead only to </w:t>
      </w:r>
      <w:r w:rsidRPr="00D976E6">
        <w:rPr>
          <w:rStyle w:val="Heading3Char"/>
          <w:sz w:val="12"/>
        </w:rPr>
        <w:t>a delimited notion of personhood as property</w:t>
      </w:r>
      <w:r w:rsidRPr="00D976E6">
        <w:rPr>
          <w:sz w:val="16"/>
        </w:rPr>
        <w:t xml:space="preserve"> </w:t>
      </w:r>
      <w:r w:rsidRPr="00D976E6">
        <w:rPr>
          <w:rStyle w:val="Heading3Char"/>
          <w:sz w:val="12"/>
        </w:rPr>
        <w:t>that</w:t>
      </w:r>
      <w:r w:rsidRPr="00D976E6">
        <w:rPr>
          <w:sz w:val="16"/>
        </w:rPr>
        <w:t xml:space="preserve"> zeroes in comparatively on only one form of subjugation at the expense of others, thus allowing for the </w:t>
      </w:r>
      <w:r w:rsidRPr="00D976E6">
        <w:rPr>
          <w:rStyle w:val="Heading3Char"/>
        </w:rPr>
        <w:t>continue</w:t>
      </w:r>
      <w:r w:rsidRPr="00D976E6">
        <w:rPr>
          <w:sz w:val="16"/>
        </w:rPr>
        <w:t xml:space="preserve">d existence of </w:t>
      </w:r>
      <w:r w:rsidRPr="00D976E6">
        <w:rPr>
          <w:rStyle w:val="Heading3Char"/>
        </w:rPr>
        <w:t>hierarchical differences between</w:t>
      </w:r>
      <w:r w:rsidRPr="00D976E6">
        <w:rPr>
          <w:sz w:val="16"/>
        </w:rPr>
        <w:t xml:space="preserve"> full </w:t>
      </w:r>
      <w:r w:rsidRPr="00D976E6">
        <w:rPr>
          <w:rStyle w:val="Heading3Char"/>
        </w:rPr>
        <w:t>humans</w:t>
      </w:r>
      <w:r w:rsidRPr="00D976E6">
        <w:rPr>
          <w:sz w:val="16"/>
        </w:rPr>
        <w:t xml:space="preserve">, not-quite-humans, and nonhumans. This can be gleaned from the “successes” of the mainstream feminist, civil rights, and lesbian-gay rights movements, </w:t>
      </w:r>
      <w:r w:rsidRPr="00D976E6">
        <w:rPr>
          <w:rStyle w:val="Heading3Char"/>
        </w:rPr>
        <w:t>which facilitate the incorporation of a privileged minority</w:t>
      </w:r>
      <w:r w:rsidRPr="00D976E6">
        <w:rPr>
          <w:sz w:val="16"/>
        </w:rPr>
        <w:t xml:space="preserve"> into the ethnoclass of Man </w:t>
      </w:r>
      <w:r w:rsidRPr="00D976E6">
        <w:rPr>
          <w:rStyle w:val="Heading3Char"/>
        </w:rPr>
        <w:t>at the cost of</w:t>
      </w:r>
      <w:r w:rsidRPr="00D976E6">
        <w:rPr>
          <w:sz w:val="16"/>
        </w:rPr>
        <w:t xml:space="preserve"> the still and/or newly criminalized and </w:t>
      </w:r>
      <w:r w:rsidRPr="00D976E6">
        <w:rPr>
          <w:rStyle w:val="Heading3Char"/>
        </w:rPr>
        <w:t>disposable populations</w:t>
      </w:r>
      <w:r w:rsidRPr="00D976E6">
        <w:rPr>
          <w:sz w:val="16"/>
        </w:rPr>
        <w:t xml:space="preserve"> (women of color, the black poor, trans people, the incarcerated, etc.).23 To make claims for inclusion and humanity via the U.S. juridical assemblage removes from view that the law itself has been thoroughly violent in its endorsement of racial slavery, indigenous genocide, Jim Crow, the prison-industrial complex, domestic and international warfare, and so on, and that it continues to be one of the chief instruments in creating and maintaining the racializing assemblages in the world of Man. Instead of appealing to legal recognition, Julia Oparah suggests counteracting the “racialized (trans)gender entrapment” within the prison-industrial complex and beyond with practices of “maroon abolition” (in reference to the long history of escaped slave contraband settlements in the Americas) to</w:t>
      </w:r>
      <w:r w:rsidRPr="00D976E6">
        <w:rPr>
          <w:sz w:val="16"/>
        </w:rPr>
        <w:cr/>
        <w:t xml:space="preserve">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nonprofiteers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104ABD75" w14:textId="77777777" w:rsidR="00DA2963" w:rsidRPr="00D976E6" w:rsidRDefault="00DA2963" w:rsidP="00DA2963">
      <w:pPr>
        <w:rPr>
          <w:sz w:val="16"/>
        </w:rPr>
      </w:pPr>
    </w:p>
    <w:p w14:paraId="1E52DA31" w14:textId="77777777" w:rsidR="00DA2963" w:rsidRPr="00D976E6" w:rsidRDefault="00DA2963" w:rsidP="00DA2963">
      <w:pPr>
        <w:pStyle w:val="Heading4"/>
        <w:rPr>
          <w:rFonts w:cs="Calibri"/>
        </w:rPr>
      </w:pPr>
      <w:r w:rsidRPr="00D976E6">
        <w:rPr>
          <w:rFonts w:cs="Calibri"/>
        </w:rPr>
        <w:t>Subjects are gridded against the legal system to be surveilled by the state, which mandates a precondition to rights: are you oppressed enough to deserve equality? Even when the state affirms the rights of white, cis, wealthy gay men, it oppresses gender nonconforming, indigenous, queers. Thus, the role of the ballot is to deconstruct western Man.</w:t>
      </w:r>
    </w:p>
    <w:p w14:paraId="6B89557A" w14:textId="77777777" w:rsidR="00DA2963" w:rsidRPr="00D976E6" w:rsidRDefault="00DA2963" w:rsidP="00DA2963">
      <w:pPr>
        <w:rPr>
          <w:rFonts w:cs="Calibri"/>
        </w:rPr>
      </w:pPr>
      <w:r w:rsidRPr="00D976E6">
        <w:rPr>
          <w:rStyle w:val="Style13ptBold"/>
          <w:rFonts w:cs="Calibri"/>
        </w:rPr>
        <w:t>Weheliye 2</w:t>
      </w:r>
      <w:r w:rsidRPr="00D976E6">
        <w:rPr>
          <w:rFonts w:cs="Calibri"/>
        </w:rPr>
        <w:t xml:space="preserve"> [Alexander Weheliye; Associate Professor of African American Studies at Northwestern University; 2014; “Habeas Viscus: Racializing Assemblages, Biopolitics, and Black Feminist Theories of the Human”; LCA-BP] *brackets for gendered lang</w:t>
      </w:r>
    </w:p>
    <w:p w14:paraId="0EA114B2" w14:textId="77777777" w:rsidR="00DA2963" w:rsidRPr="00D976E6" w:rsidRDefault="00DA2963" w:rsidP="00DA2963">
      <w:pPr>
        <w:rPr>
          <w:rFonts w:cs="Calibri"/>
          <w:sz w:val="14"/>
        </w:rPr>
      </w:pPr>
      <w:r w:rsidRPr="00D976E6">
        <w:rPr>
          <w:rFonts w:cs="Calibri"/>
          <w:sz w:val="14"/>
        </w:rPr>
        <w:t xml:space="preserve">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minoritized subjects be granted their humanity as a legal status. Hence, </w:t>
      </w:r>
      <w:r w:rsidRPr="00D976E6">
        <w:rPr>
          <w:rStyle w:val="Heading3Char"/>
          <w:rFonts w:cs="Calibri"/>
        </w:rPr>
        <w:t>the glitch</w:t>
      </w:r>
      <w:r w:rsidRPr="00D976E6">
        <w:rPr>
          <w:rFonts w:cs="Calibri"/>
          <w:sz w:val="14"/>
        </w:rPr>
        <w:t xml:space="preserve"> Brown diagnoses </w:t>
      </w:r>
      <w:r w:rsidRPr="00D976E6">
        <w:rPr>
          <w:rStyle w:val="Heading3Char"/>
          <w:rFonts w:cs="Calibri"/>
        </w:rPr>
        <w:t>in identity politics is less a product of the minority subject's desire to</w:t>
      </w:r>
      <w:r w:rsidRPr="00D976E6">
        <w:rPr>
          <w:rFonts w:cs="Calibri"/>
          <w:sz w:val="14"/>
        </w:rPr>
        <w:t xml:space="preserve"> desperately </w:t>
      </w:r>
      <w:r w:rsidRPr="00D976E6">
        <w:rPr>
          <w:rStyle w:val="Heading3Char"/>
          <w:rFonts w:cs="Calibri"/>
        </w:rPr>
        <w:t>cling</w:t>
      </w:r>
      <w:r w:rsidRPr="00D976E6">
        <w:rPr>
          <w:rFonts w:cs="Calibri"/>
          <w:sz w:val="14"/>
        </w:rPr>
        <w:t xml:space="preserve"> </w:t>
      </w:r>
      <w:r w:rsidRPr="00D976E6">
        <w:rPr>
          <w:rStyle w:val="Heading3Char"/>
          <w:rFonts w:cs="Calibri"/>
        </w:rPr>
        <w:t>to</w:t>
      </w:r>
      <w:r w:rsidRPr="00D976E6">
        <w:rPr>
          <w:rFonts w:cs="Calibri"/>
          <w:sz w:val="14"/>
        </w:rPr>
        <w:t xml:space="preserve"> his or her </w:t>
      </w:r>
      <w:r w:rsidRPr="00D976E6">
        <w:rPr>
          <w:rStyle w:val="Heading3Char"/>
          <w:rFonts w:cs="Calibri"/>
        </w:rPr>
        <w:t xml:space="preserve">[their] pain but a </w:t>
      </w:r>
      <w:r w:rsidRPr="00D976E6">
        <w:rPr>
          <w:rStyle w:val="Heading3Char"/>
          <w:rFonts w:cs="Calibri"/>
        </w:rPr>
        <w:lastRenderedPageBreak/>
        <w:t>consequence of the state's dogged insistence on suffering as the only price of entry to proper personhood</w:t>
      </w:r>
      <w:r w:rsidRPr="00D976E6">
        <w:rPr>
          <w:rFonts w:cs="Calibri"/>
          <w:sz w:val="14"/>
        </w:rPr>
        <w:t xml:space="preserve">, what Samera Esmeir has referred to as a “juridical humanity” that bestows and rescinds humanity as an individualized legal status in the vein of property.5 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 We need only to consult the history of habeas corpus, the “great” writ of liberty, which is anchored in the U.S. Constitution (Article 1, Section 9), to see that this type of reasoning leads to reducing inclusion and personhood to ownership.6 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racialized groups throughout U.S. history,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1924.7 Nevertheless, the benefits accrued through the juridical acknowledgment of racialized subjects as fully human often exacts a steep entry price, because </w:t>
      </w:r>
      <w:r w:rsidRPr="00D976E6">
        <w:rPr>
          <w:rStyle w:val="Heading3Char"/>
          <w:rFonts w:cs="Calibri"/>
        </w:rPr>
        <w:t xml:space="preserve">inclusion hinges on </w:t>
      </w:r>
      <w:r w:rsidRPr="00D976E6">
        <w:rPr>
          <w:rStyle w:val="Heading3Char"/>
          <w:rFonts w:cs="Calibri"/>
          <w:sz w:val="12"/>
        </w:rPr>
        <w:t>accepting</w:t>
      </w:r>
      <w:r w:rsidRPr="00D976E6">
        <w:rPr>
          <w:rStyle w:val="Heading3Char"/>
          <w:rFonts w:cs="Calibri"/>
        </w:rPr>
        <w:t xml:space="preserve"> the codification of personhood as property, which is, </w:t>
      </w:r>
      <w:r w:rsidRPr="00D976E6">
        <w:rPr>
          <w:rStyle w:val="Heading3Char"/>
          <w:rFonts w:cs="Calibri"/>
          <w:sz w:val="12"/>
        </w:rPr>
        <w:t>in turn,</w:t>
      </w:r>
      <w:r w:rsidRPr="00D976E6">
        <w:rPr>
          <w:rStyle w:val="Heading3Char"/>
          <w:rFonts w:cs="Calibri"/>
        </w:rPr>
        <w:t xml:space="preserve"> based on the comparative distinction between groups</w:t>
      </w:r>
      <w:r w:rsidRPr="00D976E6">
        <w:rPr>
          <w:rStyle w:val="Heading3Char"/>
          <w:rFonts w:cs="Calibri"/>
          <w:sz w:val="12"/>
        </w:rPr>
        <w:t>, as in</w:t>
      </w:r>
      <w:r w:rsidRPr="00D976E6">
        <w:rPr>
          <w:rFonts w:cs="Calibri"/>
          <w:sz w:val="14"/>
        </w:rPr>
        <w:t xml:space="preserve">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vis-a-vis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While slaves were not accorded the status of being humans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subject.10 The judge's comparison underscores the dangers of ceding definitions of personhood to the law and of comparing different forms of political subjugation, since hypothetical Indian personhood in the law rests on attaining whiteness and the violent denial of said status to black subjects. 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 In other words, </w:t>
      </w:r>
      <w:r w:rsidRPr="00D976E6">
        <w:rPr>
          <w:rStyle w:val="Heading3Char"/>
          <w:rFonts w:cs="Calibri"/>
          <w:sz w:val="12"/>
        </w:rPr>
        <w:t>the legal conception of personhood comes with a steep price</w:t>
      </w:r>
      <w:r w:rsidRPr="00D976E6">
        <w:rPr>
          <w:rFonts w:cs="Calibri"/>
          <w:sz w:val="14"/>
        </w:rPr>
        <w:t xml:space="preserve">, as in this instance where being </w:t>
      </w:r>
      <w:r w:rsidRPr="00D976E6">
        <w:rPr>
          <w:rStyle w:val="Heading3Char"/>
          <w:rFonts w:cs="Calibri"/>
          <w:sz w:val="12"/>
        </w:rPr>
        <w:t>seemingly granted rights laid the groundwork for the U.S. government's genocidal policies against Native Americans</w:t>
      </w:r>
      <w:r w:rsidRPr="00D976E6">
        <w:rPr>
          <w:rFonts w:cs="Calibri"/>
          <w:sz w:val="14"/>
        </w:rPr>
        <w:t xml:space="preserve">, </w:t>
      </w:r>
      <w:r w:rsidRPr="00D976E6">
        <w:rPr>
          <w:rStyle w:val="Heading3Char"/>
          <w:rFonts w:cs="Calibri"/>
          <w:sz w:val="12"/>
        </w:rPr>
        <w:t>since</w:t>
      </w:r>
      <w:r w:rsidRPr="00D976E6">
        <w:rPr>
          <w:rFonts w:cs="Calibri"/>
          <w:sz w:val="14"/>
        </w:rPr>
        <w:t xml:space="preserve"> the “racialization of indigenous peoples, especially through the use of </w:t>
      </w:r>
      <w:r w:rsidRPr="00D976E6">
        <w:rPr>
          <w:rStyle w:val="Heading3Char"/>
          <w:rFonts w:cs="Calibri"/>
          <w:sz w:val="12"/>
        </w:rPr>
        <w:t>blood quantum classification</w:t>
      </w:r>
      <w:r w:rsidRPr="00D976E6">
        <w:rPr>
          <w:rFonts w:cs="Calibri"/>
          <w:sz w:val="14"/>
        </w:rPr>
        <w:t xml:space="preserve">, in particular </w:t>
      </w:r>
      <w:r w:rsidRPr="00D976E6">
        <w:rPr>
          <w:rStyle w:val="Heading3Char"/>
          <w:rFonts w:cs="Calibri"/>
          <w:sz w:val="12"/>
        </w:rPr>
        <w:t>follows...‘genocidal logic,’ rather than simply a logic of</w:t>
      </w:r>
      <w:r w:rsidRPr="00D976E6">
        <w:rPr>
          <w:rFonts w:cs="Calibri"/>
          <w:sz w:val="14"/>
        </w:rPr>
        <w:t xml:space="preserve"> subordination or </w:t>
      </w:r>
      <w:r w:rsidRPr="00D976E6">
        <w:rPr>
          <w:rStyle w:val="Heading3Char"/>
          <w:rFonts w:cs="Calibri"/>
          <w:sz w:val="12"/>
        </w:rPr>
        <w:t>discrimination</w:t>
      </w:r>
      <w:r w:rsidRPr="00D976E6">
        <w:rPr>
          <w:rFonts w:cs="Calibri"/>
          <w:sz w:val="14"/>
        </w:rPr>
        <w:t xml:space="preserve">,” and as a result “whiteness constitutes a project of disappearance for Native peoples rather than signifying privilege.”11 Beginning in the nineteenth century the U.S. government instituted a program in which Native American children were forcibly removed from their families and placed in Christian day and </w:t>
      </w:r>
      <w:r w:rsidRPr="00D976E6">
        <w:rPr>
          <w:rStyle w:val="Heading3Char"/>
          <w:rFonts w:cs="Calibri"/>
          <w:sz w:val="12"/>
        </w:rPr>
        <w:t>boarding schools</w:t>
      </w:r>
      <w:r w:rsidRPr="00D976E6">
        <w:rPr>
          <w:rFonts w:cs="Calibri"/>
          <w:sz w:val="12"/>
        </w:rPr>
        <w:t xml:space="preserve">, and which sought to civilize children by “killing the Indian to save the man,” </w:t>
      </w:r>
      <w:r w:rsidRPr="00D976E6">
        <w:rPr>
          <w:rStyle w:val="Heading3Char"/>
          <w:rFonts w:cs="Calibri"/>
          <w:sz w:val="12"/>
        </w:rPr>
        <w:t>represent</w:t>
      </w:r>
      <w:r w:rsidRPr="00D976E6">
        <w:rPr>
          <w:rFonts w:cs="Calibri"/>
          <w:sz w:val="12"/>
        </w:rPr>
        <w:t xml:space="preserve">ing </w:t>
      </w:r>
      <w:r w:rsidRPr="00D976E6">
        <w:rPr>
          <w:rStyle w:val="Heading3Char"/>
          <w:rFonts w:cs="Calibri"/>
          <w:sz w:val="12"/>
        </w:rPr>
        <w:t>one of the most significant examples of the violent and legal enforced assimilation of Native Americans</w:t>
      </w:r>
      <w:r w:rsidRPr="00D976E6">
        <w:rPr>
          <w:rFonts w:cs="Calibri"/>
          <w:sz w:val="12"/>
        </w:rPr>
        <w:t xml:space="preserve"> into U.S. whiteness.12 Though there is no clear causal relationship between Taney's arguments in the Scott decision and the boarding school initiative, </w:t>
      </w:r>
      <w:r w:rsidRPr="00D976E6">
        <w:rPr>
          <w:rStyle w:val="Heading3Char"/>
          <w:rFonts w:cs="Calibri"/>
          <w:sz w:val="12"/>
        </w:rPr>
        <w:t>both establish</w:t>
      </w:r>
      <w:r w:rsidRPr="00D976E6">
        <w:rPr>
          <w:rFonts w:cs="Calibri"/>
          <w:sz w:val="12"/>
        </w:rPr>
        <w:t xml:space="preserve"> that </w:t>
      </w:r>
      <w:r w:rsidRPr="00D976E6">
        <w:rPr>
          <w:rStyle w:val="Heading3Char"/>
          <w:rFonts w:cs="Calibri"/>
          <w:sz w:val="12"/>
        </w:rPr>
        <w:t>legal personhood is available to indigenous subjects only if the Indian can be killed</w:t>
      </w:r>
      <w:r w:rsidRPr="00D976E6">
        <w:rPr>
          <w:rFonts w:cs="Calibri"/>
          <w:sz w:val="12"/>
        </w:rPr>
        <w:t>—either literally or figuratively—</w:t>
      </w:r>
      <w:r w:rsidRPr="00D976E6">
        <w:rPr>
          <w:rStyle w:val="Heading3Char"/>
          <w:rFonts w:cs="Calibri"/>
          <w:sz w:val="12"/>
        </w:rPr>
        <w:t>in order to save the world of Man</w:t>
      </w:r>
      <w:r w:rsidRPr="00D976E6">
        <w:rPr>
          <w:rFonts w:cs="Calibri"/>
          <w:sz w:val="12"/>
        </w:rPr>
        <w:t xml:space="preserve"> </w:t>
      </w:r>
      <w:r w:rsidRPr="00D976E6">
        <w:rPr>
          <w:rStyle w:val="Heading3Char"/>
          <w:rFonts w:cs="Calibri"/>
          <w:sz w:val="12"/>
        </w:rPr>
        <w:t>(in this case settler colonialism and white supremacy)</w:t>
      </w:r>
      <w:r w:rsidRPr="00D976E6">
        <w:rPr>
          <w:rFonts w:cs="Calibri"/>
          <w:sz w:val="12"/>
        </w:rPr>
        <w:t>.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w:t>
      </w:r>
      <w:r w:rsidRPr="00D976E6">
        <w:rPr>
          <w:rFonts w:cs="Calibri"/>
          <w:sz w:val="14"/>
        </w:rPr>
        <w:t xml:space="preserve"> </w:t>
      </w:r>
      <w:r w:rsidRPr="00D976E6">
        <w:rPr>
          <w:rStyle w:val="Heading3Char"/>
          <w:rFonts w:cs="Calibri"/>
        </w:rPr>
        <w:t>The writ of</w:t>
      </w:r>
      <w:r w:rsidRPr="00D976E6">
        <w:rPr>
          <w:rFonts w:cs="Calibri"/>
          <w:sz w:val="14"/>
        </w:rPr>
        <w:t xml:space="preserve"> habeas corpus—and </w:t>
      </w:r>
      <w:r w:rsidRPr="00D976E6">
        <w:rPr>
          <w:rStyle w:val="Heading3Char"/>
          <w:rFonts w:cs="Calibri"/>
        </w:rPr>
        <w:t>the law</w:t>
      </w:r>
      <w:r w:rsidRPr="00D976E6">
        <w:rPr>
          <w:rFonts w:cs="Calibri"/>
          <w:sz w:val="14"/>
        </w:rPr>
        <w:t xml:space="preserve"> more generally—</w:t>
      </w:r>
      <w:r w:rsidRPr="00D976E6">
        <w:rPr>
          <w:rStyle w:val="Heading3Char"/>
          <w:rFonts w:cs="Calibri"/>
        </w:rPr>
        <w:t xml:space="preserve">anoints those individualized subjects who are deemed deserving </w:t>
      </w:r>
      <w:r w:rsidRPr="00D976E6">
        <w:rPr>
          <w:rStyle w:val="Heading3Char"/>
          <w:rFonts w:cs="Calibri"/>
          <w:sz w:val="12"/>
        </w:rPr>
        <w:t>with bodies even</w:t>
      </w:r>
      <w:r w:rsidRPr="00D976E6">
        <w:rPr>
          <w:rStyle w:val="Heading3Char"/>
          <w:rFonts w:cs="Calibri"/>
        </w:rPr>
        <w:t xml:space="preserve"> while this assemblage continually enlists </w:t>
      </w:r>
      <w:r w:rsidRPr="00D976E6">
        <w:rPr>
          <w:rStyle w:val="Heading3Char"/>
          <w:rFonts w:cs="Calibri"/>
          <w:sz w:val="12"/>
        </w:rPr>
        <w:t>new</w:t>
      </w:r>
      <w:r w:rsidRPr="00D976E6">
        <w:rPr>
          <w:rFonts w:cs="Calibri"/>
          <w:sz w:val="14"/>
        </w:rPr>
        <w:t xml:space="preserve"> and/or </w:t>
      </w:r>
      <w:r w:rsidRPr="00D976E6">
        <w:rPr>
          <w:rStyle w:val="Heading3Char"/>
          <w:rFonts w:cs="Calibri"/>
        </w:rPr>
        <w:t>different groups to</w:t>
      </w:r>
      <w:r w:rsidRPr="00D976E6">
        <w:rPr>
          <w:rFonts w:cs="Calibri"/>
          <w:sz w:val="14"/>
        </w:rPr>
        <w:t xml:space="preserve"> exclude, banish, or </w:t>
      </w:r>
      <w:r w:rsidRPr="00D976E6">
        <w:rPr>
          <w:rStyle w:val="Heading3Char"/>
          <w:rFonts w:cs="Calibri"/>
        </w:rPr>
        <w:t>exterminate</w:t>
      </w:r>
      <w:r w:rsidRPr="00D976E6">
        <w:rPr>
          <w:rFonts w:cs="Calibri"/>
          <w:sz w:val="14"/>
        </w:rPr>
        <w:t xml:space="preserve"> from the world of Man. </w:t>
      </w:r>
      <w:r w:rsidRPr="00D976E6">
        <w:rPr>
          <w:rStyle w:val="Heading3Char"/>
          <w:rFonts w:cs="Calibri"/>
          <w:sz w:val="12"/>
        </w:rPr>
        <w:t>In the end,</w:t>
      </w:r>
      <w:r w:rsidRPr="00D976E6">
        <w:rPr>
          <w:rStyle w:val="Heading3Char"/>
          <w:rFonts w:cs="Calibri"/>
        </w:rPr>
        <w:t xml:space="preserve"> the law</w:t>
      </w:r>
      <w:r w:rsidRPr="00D976E6">
        <w:rPr>
          <w:rFonts w:cs="Calibri"/>
          <w:sz w:val="14"/>
        </w:rPr>
        <w:t xml:space="preserve">, whether bound by national borders or spanning the globe, </w:t>
      </w:r>
      <w:r w:rsidRPr="00D976E6">
        <w:rPr>
          <w:rStyle w:val="Heading3Char"/>
          <w:rFonts w:cs="Calibri"/>
        </w:rPr>
        <w:t>establishes a</w:t>
      </w:r>
      <w:r w:rsidRPr="00D976E6">
        <w:rPr>
          <w:rStyle w:val="Heading3Char"/>
          <w:rFonts w:cs="Calibri"/>
          <w:sz w:val="12"/>
        </w:rPr>
        <w:t>n</w:t>
      </w:r>
      <w:r w:rsidRPr="00D976E6">
        <w:rPr>
          <w:rStyle w:val="Heading3Char"/>
          <w:rFonts w:cs="Calibri"/>
        </w:rPr>
        <w:t xml:space="preserve"> </w:t>
      </w:r>
      <w:r w:rsidRPr="00D976E6">
        <w:rPr>
          <w:rStyle w:val="Heading3Char"/>
          <w:rFonts w:cs="Calibri"/>
          <w:sz w:val="12"/>
        </w:rPr>
        <w:t>international</w:t>
      </w:r>
      <w:r w:rsidRPr="00D976E6">
        <w:rPr>
          <w:rStyle w:val="Heading3Char"/>
          <w:rFonts w:cs="Calibri"/>
        </w:rPr>
        <w:t xml:space="preserve"> division of humanity</w:t>
      </w:r>
      <w:r w:rsidRPr="00D976E6">
        <w:rPr>
          <w:rFonts w:cs="Calibri"/>
          <w:sz w:val="14"/>
        </w:rPr>
        <w:t xml:space="preserve">, </w:t>
      </w:r>
      <w:r w:rsidRPr="00D976E6">
        <w:rPr>
          <w:rStyle w:val="Heading3Char"/>
          <w:rFonts w:cs="Calibri"/>
        </w:rPr>
        <w:t>which grants previously excluded subjects limited access to personhood as property at the same time as it fortifies the supremacy of Man</w:t>
      </w:r>
      <w:r w:rsidRPr="00D976E6">
        <w:rPr>
          <w:rFonts w:cs="Calibri"/>
          <w:sz w:val="14"/>
        </w:rPr>
        <w:t>.13</w:t>
      </w:r>
    </w:p>
    <w:p w14:paraId="54A3AF61" w14:textId="77777777" w:rsidR="00DA2963" w:rsidRPr="00D976E6" w:rsidRDefault="00DA2963" w:rsidP="00DA2963">
      <w:pPr>
        <w:rPr>
          <w:rFonts w:cs="Calibri"/>
        </w:rPr>
      </w:pPr>
    </w:p>
    <w:p w14:paraId="268BF75A" w14:textId="77777777" w:rsidR="00DA2963" w:rsidRPr="00D976E6" w:rsidRDefault="00DA2963" w:rsidP="00DA2963">
      <w:pPr>
        <w:pStyle w:val="Heading4"/>
        <w:rPr>
          <w:rFonts w:cs="Calibri"/>
        </w:rPr>
      </w:pPr>
      <w:r w:rsidRPr="00D976E6">
        <w:rPr>
          <w:rFonts w:cs="Calibri"/>
        </w:rPr>
        <w:t xml:space="preserve">Focusing on legal integration reinforces the western Man by forcing groups the beg for empathy and degrade themselves for simple rights. It encourages infighting – a bourgeois strategy that forces oppression olympics while affirming political violence. </w:t>
      </w:r>
    </w:p>
    <w:p w14:paraId="629D0CBD" w14:textId="77777777" w:rsidR="00DA2963" w:rsidRPr="00D976E6" w:rsidRDefault="00DA2963" w:rsidP="00DA2963">
      <w:pPr>
        <w:rPr>
          <w:rFonts w:cs="Calibri"/>
        </w:rPr>
      </w:pPr>
      <w:r w:rsidRPr="00D976E6">
        <w:rPr>
          <w:rStyle w:val="Style13ptBold"/>
          <w:rFonts w:cs="Calibri"/>
        </w:rPr>
        <w:t>Weheliye 3</w:t>
      </w:r>
      <w:r w:rsidRPr="00D976E6">
        <w:rPr>
          <w:rFonts w:cs="Calibri"/>
        </w:rPr>
        <w:t xml:space="preserve"> [Alexander Weheliye; Associate Professor of African American Studies at Northwestern University; 2014; “Habeas Viscus: Racializing Assemblages, Biopolitics, and Black Feminist Theories of the Human”; LCA-BP]</w:t>
      </w:r>
    </w:p>
    <w:p w14:paraId="3DFE8EB8" w14:textId="77777777" w:rsidR="00DA2963" w:rsidRPr="00D976E6" w:rsidRDefault="00DA2963" w:rsidP="00DA2963">
      <w:pPr>
        <w:rPr>
          <w:rFonts w:cs="Calibri"/>
          <w:sz w:val="16"/>
        </w:rPr>
      </w:pPr>
      <w:r w:rsidRPr="00D976E6">
        <w:rPr>
          <w:rFonts w:cs="Calibri"/>
          <w:sz w:val="12"/>
        </w:rPr>
        <w:t xml:space="preserve">Even though it would be fairly easy to dismiss </w:t>
      </w:r>
      <w:r w:rsidRPr="00D976E6">
        <w:rPr>
          <w:rStyle w:val="Heading3Char"/>
          <w:rFonts w:cs="Calibri"/>
          <w:sz w:val="12"/>
        </w:rPr>
        <w:t>one position</w:t>
      </w:r>
      <w:r w:rsidRPr="00D976E6">
        <w:rPr>
          <w:rFonts w:cs="Calibri"/>
          <w:sz w:val="12"/>
        </w:rPr>
        <w:t xml:space="preserve">, </w:t>
      </w:r>
      <w:r w:rsidRPr="00D976E6">
        <w:rPr>
          <w:rStyle w:val="Heading3Char"/>
          <w:rFonts w:cs="Calibri"/>
          <w:sz w:val="12"/>
        </w:rPr>
        <w:t>either</w:t>
      </w:r>
      <w:r w:rsidRPr="00D976E6">
        <w:rPr>
          <w:rFonts w:cs="Calibri"/>
          <w:sz w:val="12"/>
        </w:rPr>
        <w:t xml:space="preserve"> </w:t>
      </w:r>
      <w:r w:rsidRPr="00D976E6">
        <w:rPr>
          <w:rStyle w:val="Heading3Char"/>
          <w:rFonts w:cs="Calibri"/>
          <w:sz w:val="12"/>
        </w:rPr>
        <w:t>the traditionally humanist (suffering is human) or the</w:t>
      </w:r>
      <w:r w:rsidRPr="00D976E6">
        <w:rPr>
          <w:rFonts w:cs="Calibri"/>
          <w:sz w:val="12"/>
        </w:rPr>
        <w:t xml:space="preserve"> racially </w:t>
      </w:r>
      <w:r w:rsidRPr="00D976E6">
        <w:rPr>
          <w:rStyle w:val="Heading3Char"/>
          <w:rFonts w:cs="Calibri"/>
          <w:sz w:val="12"/>
        </w:rPr>
        <w:t xml:space="preserve">particularistic (suffering is experienced only by those groups upon which it is inflicted), </w:t>
      </w:r>
      <w:r w:rsidRPr="00D976E6">
        <w:rPr>
          <w:rFonts w:cs="Calibri"/>
          <w:sz w:val="12"/>
        </w:rPr>
        <w:t xml:space="preserve">in favor of the other, </w:t>
      </w:r>
      <w:r w:rsidRPr="00D976E6">
        <w:rPr>
          <w:rStyle w:val="Heading3Char"/>
          <w:rFonts w:cs="Calibri"/>
          <w:sz w:val="12"/>
        </w:rPr>
        <w:t>both</w:t>
      </w:r>
      <w:r w:rsidRPr="00D976E6">
        <w:rPr>
          <w:rFonts w:cs="Calibri"/>
          <w:sz w:val="12"/>
        </w:rPr>
        <w:t xml:space="preserve"> these stances </w:t>
      </w:r>
      <w:r w:rsidRPr="00D976E6">
        <w:rPr>
          <w:rStyle w:val="Heading3Char"/>
          <w:rFonts w:cs="Calibri"/>
          <w:sz w:val="12"/>
        </w:rPr>
        <w:t>rely on the same logic that deems one incompatible with the other, since the humanist brand would erase particularities in favor of a universalist sweep and the particularistic variant insists on its irreducibility by excluding all nonmembers from the group's affliction.</w:t>
      </w:r>
      <w:r w:rsidRPr="00D976E6">
        <w:rPr>
          <w:rFonts w:cs="Calibri"/>
          <w:sz w:val="12"/>
        </w:rPr>
        <w:t xml:space="preserve"> </w:t>
      </w:r>
      <w:r w:rsidRPr="00D976E6">
        <w:rPr>
          <w:rStyle w:val="Heading3Char"/>
          <w:rFonts w:cs="Calibri"/>
          <w:sz w:val="12"/>
        </w:rPr>
        <w:t>Rather</w:t>
      </w:r>
      <w:r w:rsidRPr="00D976E6">
        <w:rPr>
          <w:rFonts w:cs="Calibri"/>
          <w:sz w:val="12"/>
        </w:rPr>
        <w:t xml:space="preserve"> than urging us to choose sides, Farah's juxtaposition of these viewpoints draws attention to the ways racialized and gendered suffering at the hands of political brutalization are always already imbricated in the construction of modern humanity. Suffering, especially when caused by political violence, has long functioned as the hallmark of both humane sentience and of inhuman brutality. Frequently,</w:t>
      </w:r>
      <w:r w:rsidRPr="00D976E6">
        <w:rPr>
          <w:rFonts w:cs="Calibri"/>
          <w:sz w:val="16"/>
        </w:rPr>
        <w:t xml:space="preserve"> </w:t>
      </w:r>
      <w:r w:rsidRPr="00D976E6">
        <w:rPr>
          <w:rStyle w:val="Heading3Char"/>
          <w:rFonts w:cs="Calibri"/>
        </w:rPr>
        <w:t xml:space="preserve">suffering becomes the defining feature of those subjects excluded </w:t>
      </w:r>
      <w:r w:rsidRPr="00D976E6">
        <w:rPr>
          <w:rStyle w:val="Heading3Char"/>
          <w:rFonts w:cs="Calibri"/>
          <w:sz w:val="12"/>
        </w:rPr>
        <w:t>from the law</w:t>
      </w:r>
      <w:r w:rsidRPr="00D976E6">
        <w:rPr>
          <w:rFonts w:cs="Calibri"/>
          <w:sz w:val="12"/>
        </w:rPr>
        <w:t>, the</w:t>
      </w:r>
      <w:r w:rsidRPr="00D976E6">
        <w:rPr>
          <w:rFonts w:cs="Calibri"/>
          <w:sz w:val="16"/>
        </w:rPr>
        <w:t xml:space="preserve"> national community, humanity, and so on </w:t>
      </w:r>
      <w:r w:rsidRPr="00D976E6">
        <w:rPr>
          <w:rStyle w:val="Heading3Char"/>
          <w:rFonts w:cs="Calibri"/>
        </w:rPr>
        <w:t>due to the political violence inflicted upon them even as it, paradoxically, grants them access to inclusion</w:t>
      </w:r>
      <w:r w:rsidRPr="00D976E6">
        <w:rPr>
          <w:rFonts w:cs="Calibri"/>
          <w:sz w:val="16"/>
        </w:rPr>
        <w:t xml:space="preserve"> and equality. In western human rights discourse, for instance, the physical and psychic residues of political violence enable victims to be recognized as belonging to the “brotherhood of Man.” Too often, </w:t>
      </w:r>
      <w:r w:rsidRPr="00D976E6">
        <w:rPr>
          <w:rStyle w:val="Heading3Char"/>
          <w:rFonts w:cs="Calibri"/>
        </w:rPr>
        <w:t>this tendency</w:t>
      </w:r>
      <w:r w:rsidRPr="00D976E6">
        <w:rPr>
          <w:rFonts w:cs="Calibri"/>
          <w:sz w:val="16"/>
        </w:rPr>
        <w:t xml:space="preserve"> not only </w:t>
      </w:r>
      <w:r w:rsidRPr="00D976E6">
        <w:rPr>
          <w:rStyle w:val="Heading3Char"/>
          <w:rFonts w:cs="Calibri"/>
        </w:rPr>
        <w:t>leaves intact hegemonic ideas</w:t>
      </w:r>
      <w:r w:rsidRPr="00D976E6">
        <w:rPr>
          <w:rFonts w:cs="Calibri"/>
          <w:sz w:val="16"/>
        </w:rPr>
        <w:t xml:space="preserve"> </w:t>
      </w:r>
      <w:r w:rsidRPr="00D976E6">
        <w:rPr>
          <w:rStyle w:val="Heading3Char"/>
          <w:rFonts w:cs="Calibri"/>
        </w:rPr>
        <w:t>of</w:t>
      </w:r>
      <w:r w:rsidRPr="00D976E6">
        <w:rPr>
          <w:rFonts w:cs="Calibri"/>
          <w:sz w:val="16"/>
        </w:rPr>
        <w:t xml:space="preserve"> humanity as indistinguishable from </w:t>
      </w:r>
      <w:r w:rsidRPr="00D976E6">
        <w:rPr>
          <w:rStyle w:val="Heading3Char"/>
          <w:rFonts w:cs="Calibri"/>
        </w:rPr>
        <w:t>western Man</w:t>
      </w:r>
      <w:r w:rsidRPr="00D976E6">
        <w:rPr>
          <w:rFonts w:cs="Calibri"/>
          <w:sz w:val="16"/>
        </w:rPr>
        <w:t xml:space="preserve"> </w:t>
      </w:r>
      <w:r w:rsidRPr="00D976E6">
        <w:rPr>
          <w:rStyle w:val="Heading3Char"/>
          <w:rFonts w:cs="Calibri"/>
        </w:rPr>
        <w:t xml:space="preserve">but demands comparing </w:t>
      </w:r>
      <w:r w:rsidRPr="00D976E6">
        <w:rPr>
          <w:rStyle w:val="Heading3Char"/>
          <w:rFonts w:cs="Calibri"/>
          <w:sz w:val="12"/>
        </w:rPr>
        <w:t>different forms of</w:t>
      </w:r>
      <w:r w:rsidRPr="00D976E6">
        <w:rPr>
          <w:rStyle w:val="Heading3Char"/>
          <w:rFonts w:cs="Calibri"/>
        </w:rPr>
        <w:t xml:space="preserve"> subjugation </w:t>
      </w:r>
      <w:r w:rsidRPr="00D976E6">
        <w:rPr>
          <w:rStyle w:val="Heading3Char"/>
          <w:rFonts w:cs="Calibri"/>
          <w:sz w:val="12"/>
        </w:rPr>
        <w:t>in order</w:t>
      </w:r>
      <w:r w:rsidRPr="00D976E6">
        <w:rPr>
          <w:rStyle w:val="Heading3Char"/>
          <w:rFonts w:cs="Calibri"/>
        </w:rPr>
        <w:t xml:space="preserve"> to adjudicate who warrants </w:t>
      </w:r>
      <w:r w:rsidRPr="00D976E6">
        <w:rPr>
          <w:rFonts w:cs="Calibri"/>
          <w:sz w:val="16"/>
        </w:rPr>
        <w:t xml:space="preserve">recognition and </w:t>
      </w:r>
      <w:r w:rsidRPr="00D976E6">
        <w:rPr>
          <w:rStyle w:val="Heading3Char"/>
          <w:rFonts w:cs="Calibri"/>
        </w:rPr>
        <w:t>belonging</w:t>
      </w:r>
      <w:r w:rsidRPr="00D976E6">
        <w:rPr>
          <w:rFonts w:cs="Calibri"/>
          <w:sz w:val="16"/>
        </w:rPr>
        <w:t xml:space="preserve">. As W. E. B. Du Bois asked in 1944, if the Universal Declaration of Human Rights did not offer provisions for ending world colonialism or legal segregation in the United States, “Why then call it the Declaration of Human Rights?”2 Wendy Brown maintains, </w:t>
      </w:r>
      <w:r w:rsidRPr="00D976E6">
        <w:rPr>
          <w:rStyle w:val="Heading3Char"/>
          <w:rFonts w:cs="Calibri"/>
        </w:rPr>
        <w:t xml:space="preserve">“politicized identity” operates “only by </w:t>
      </w:r>
      <w:r w:rsidRPr="00D976E6">
        <w:rPr>
          <w:rStyle w:val="Heading3Char"/>
          <w:rFonts w:cs="Calibri"/>
          <w:sz w:val="12"/>
        </w:rPr>
        <w:t>entrenching, restating,</w:t>
      </w:r>
      <w:r w:rsidRPr="00D976E6">
        <w:rPr>
          <w:rStyle w:val="Heading3Char"/>
          <w:rFonts w:cs="Calibri"/>
        </w:rPr>
        <w:t xml:space="preserve"> dramatizing</w:t>
      </w:r>
      <w:r w:rsidRPr="00D976E6">
        <w:rPr>
          <w:rStyle w:val="Heading3Char"/>
          <w:rFonts w:cs="Calibri"/>
          <w:sz w:val="12"/>
        </w:rPr>
        <w:t xml:space="preserve">, and inscribing its </w:t>
      </w:r>
      <w:r w:rsidRPr="00D976E6">
        <w:rPr>
          <w:rStyle w:val="Heading3Char"/>
          <w:rFonts w:cs="Calibri"/>
        </w:rPr>
        <w:t>pain in politics; it can hold out no future...that triumphs over this pain.”</w:t>
      </w:r>
      <w:r w:rsidRPr="00D976E6">
        <w:rPr>
          <w:rFonts w:cs="Calibri"/>
          <w:sz w:val="16"/>
        </w:rPr>
        <w:t xml:space="preserve">3 Brown suggests </w:t>
      </w:r>
      <w:r w:rsidRPr="00D976E6">
        <w:rPr>
          <w:rStyle w:val="Heading3Char"/>
        </w:rPr>
        <w:t>replacing</w:t>
      </w:r>
      <w:r w:rsidRPr="00D976E6">
        <w:rPr>
          <w:rFonts w:cs="Calibri"/>
          <w:sz w:val="16"/>
        </w:rPr>
        <w:t xml:space="preserve"> </w:t>
      </w:r>
      <w:r w:rsidRPr="00D976E6">
        <w:rPr>
          <w:rStyle w:val="Heading3Char"/>
        </w:rPr>
        <w:t xml:space="preserve">the identitarian </w:t>
      </w:r>
      <w:r w:rsidRPr="00D976E6">
        <w:rPr>
          <w:rStyle w:val="Heading3Char"/>
          <w:sz w:val="12"/>
        </w:rPr>
        <w:t>declaration</w:t>
      </w:r>
      <w:r w:rsidRPr="00D976E6">
        <w:rPr>
          <w:rStyle w:val="Heading3Char"/>
        </w:rPr>
        <w:t xml:space="preserve"> “I am,”</w:t>
      </w:r>
      <w:r w:rsidRPr="00D976E6">
        <w:rPr>
          <w:rFonts w:cs="Calibri"/>
          <w:sz w:val="16"/>
        </w:rPr>
        <w:t xml:space="preserve"> which merely confirms and solidifies what already exists, </w:t>
      </w:r>
      <w:r w:rsidRPr="00D976E6">
        <w:rPr>
          <w:rStyle w:val="Heading3Char"/>
        </w:rPr>
        <w:t xml:space="preserve">with the desiring </w:t>
      </w:r>
      <w:r w:rsidRPr="00D976E6">
        <w:rPr>
          <w:rStyle w:val="Heading3Char"/>
          <w:sz w:val="12"/>
        </w:rPr>
        <w:t>proclamation</w:t>
      </w:r>
      <w:r w:rsidRPr="00D976E6">
        <w:rPr>
          <w:rStyle w:val="Heading3Char"/>
        </w:rPr>
        <w:t xml:space="preserve"> “I want,”</w:t>
      </w:r>
      <w:r w:rsidRPr="00D976E6">
        <w:rPr>
          <w:rFonts w:cs="Calibri"/>
          <w:sz w:val="16"/>
        </w:rPr>
        <w:t xml:space="preserve"> </w:t>
      </w:r>
      <w:r w:rsidRPr="00D976E6">
        <w:rPr>
          <w:rStyle w:val="Heading3Char"/>
        </w:rPr>
        <w:t>which</w:t>
      </w:r>
      <w:r w:rsidRPr="00D976E6">
        <w:rPr>
          <w:rFonts w:cs="Calibri"/>
          <w:sz w:val="16"/>
        </w:rPr>
        <w:t xml:space="preserve"> </w:t>
      </w:r>
      <w:r w:rsidRPr="00D976E6">
        <w:rPr>
          <w:rStyle w:val="Heading3Char"/>
        </w:rPr>
        <w:t>offers</w:t>
      </w:r>
      <w:r w:rsidRPr="00D976E6">
        <w:rPr>
          <w:rFonts w:cs="Calibri"/>
          <w:sz w:val="16"/>
        </w:rPr>
        <w:t xml:space="preserve"> </w:t>
      </w:r>
      <w:r w:rsidRPr="00D976E6">
        <w:rPr>
          <w:rStyle w:val="Heading3Char"/>
        </w:rPr>
        <w:t>a</w:t>
      </w:r>
      <w:r w:rsidRPr="00D976E6">
        <w:rPr>
          <w:rFonts w:cs="Calibri"/>
          <w:sz w:val="16"/>
        </w:rPr>
        <w:t xml:space="preserve"> Nietzschean </w:t>
      </w:r>
      <w:r w:rsidRPr="00D976E6">
        <w:rPr>
          <w:rStyle w:val="Heading3Char"/>
        </w:rPr>
        <w:t>politics of overcoming pain instead of clinging to suffering as an immutable feature of identity politics</w:t>
      </w:r>
      <w:r w:rsidRPr="00D976E6">
        <w:rPr>
          <w:rFonts w:cs="Calibri"/>
          <w:sz w:val="16"/>
        </w:rPr>
        <w:t xml:space="preserve">. While I recognize Brown's effort to formulate a form of minority politics not beholden to the aura of wounded attachments and fixated almost fetishistically on the state as the site of change, we do well to recall that many of the </w:t>
      </w:r>
      <w:r w:rsidRPr="00D976E6">
        <w:rPr>
          <w:rStyle w:val="Heading3Char"/>
          <w:rFonts w:cs="Calibri"/>
          <w:sz w:val="12"/>
        </w:rPr>
        <w:t>political agendas based on identity</w:t>
      </w:r>
      <w:r w:rsidRPr="00D976E6">
        <w:rPr>
          <w:rFonts w:cs="Calibri"/>
          <w:sz w:val="16"/>
        </w:rPr>
        <w:t xml:space="preserve"> (the suffragette movement, the movement for the equality of same-sex marriages, or the various movements for the full civil rights of racialized minority subjects, for instance) are less concerned with claiming their suffering per se (I am) than they are with </w:t>
      </w:r>
      <w:r w:rsidRPr="00D976E6">
        <w:rPr>
          <w:rStyle w:val="Heading3Char"/>
          <w:rFonts w:cs="Calibri"/>
          <w:sz w:val="12"/>
        </w:rPr>
        <w:t>us[e]</w:t>
      </w:r>
      <w:r w:rsidRPr="00D976E6">
        <w:rPr>
          <w:rFonts w:cs="Calibri"/>
          <w:sz w:val="16"/>
        </w:rPr>
        <w:t xml:space="preserve">ing </w:t>
      </w:r>
      <w:r w:rsidRPr="00D976E6">
        <w:rPr>
          <w:rStyle w:val="Heading3Char"/>
          <w:rFonts w:cs="Calibri"/>
          <w:sz w:val="12"/>
        </w:rPr>
        <w:t>wounding as a stepping stone in the quest</w:t>
      </w:r>
      <w:r w:rsidRPr="00D976E6">
        <w:rPr>
          <w:rFonts w:cs="Calibri"/>
          <w:sz w:val="16"/>
        </w:rPr>
        <w:t xml:space="preserve"> (I want) </w:t>
      </w:r>
      <w:r w:rsidRPr="00D976E6">
        <w:rPr>
          <w:rStyle w:val="Heading3Char"/>
          <w:rFonts w:cs="Calibri"/>
          <w:sz w:val="12"/>
        </w:rPr>
        <w:t>for rights equal to those of full citizens</w:t>
      </w:r>
      <w:r w:rsidRPr="00D976E6">
        <w:rPr>
          <w:rFonts w:cs="Calibri"/>
          <w:sz w:val="16"/>
        </w:rPr>
        <w:t>.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w:t>
      </w:r>
    </w:p>
    <w:p w14:paraId="69B5FD70" w14:textId="77777777" w:rsidR="00DA2963" w:rsidRPr="00D976E6" w:rsidRDefault="00DA2963" w:rsidP="00DA2963">
      <w:pPr>
        <w:rPr>
          <w:rFonts w:cs="Calibri"/>
        </w:rPr>
      </w:pPr>
    </w:p>
    <w:p w14:paraId="05C88E4E" w14:textId="77777777" w:rsidR="00DA2963" w:rsidRPr="00D976E6" w:rsidRDefault="00DA2963" w:rsidP="00DA2963">
      <w:pPr>
        <w:pStyle w:val="Heading4"/>
        <w:rPr>
          <w:rFonts w:cs="Calibri"/>
        </w:rPr>
      </w:pPr>
      <w:r w:rsidRPr="00D976E6">
        <w:rPr>
          <w:rFonts w:cs="Calibri"/>
        </w:rPr>
        <w:lastRenderedPageBreak/>
        <w:t xml:space="preserve">By emphasizing the distinctions between humans, not-quite humans, and non-humans, whiteness becomes viewed as Truth and the bar at which everyone is compared in the color line. The color line emphasizes phenotypical distinctions as the standard for which bodies enter spaces of liminality. </w:t>
      </w:r>
    </w:p>
    <w:p w14:paraId="7A07E6ED" w14:textId="77777777" w:rsidR="00DA2963" w:rsidRPr="00D976E6" w:rsidRDefault="00DA2963" w:rsidP="00DA2963">
      <w:pPr>
        <w:rPr>
          <w:rStyle w:val="StyleUnderline"/>
          <w:rFonts w:cs="Calibri"/>
        </w:rPr>
      </w:pPr>
      <w:r w:rsidRPr="00D976E6">
        <w:rPr>
          <w:rStyle w:val="Style13ptBold"/>
        </w:rPr>
        <w:t>Wynter</w:t>
      </w:r>
      <w:r w:rsidRPr="00D976E6">
        <w:rPr>
          <w:rFonts w:cs="Calibri"/>
          <w:sz w:val="16"/>
        </w:rPr>
        <w:t xml:space="preserve"> </w:t>
      </w:r>
      <w:r w:rsidRPr="00D976E6">
        <w:rPr>
          <w:rFonts w:cs="Calibri"/>
          <w:sz w:val="24"/>
        </w:rPr>
        <w:t>[Sylvia; 2003; “Unsettling the Coloniality of Being/Power/Truth/Freedom: Towards the Human, After Man, Its Overrepresentation--An Argument,” CR: The New Centennial Review, Volume 3, Number 3,257-337]</w:t>
      </w:r>
      <w:r w:rsidRPr="00D976E6">
        <w:rPr>
          <w:rFonts w:cs="Calibri"/>
          <w:sz w:val="16"/>
        </w:rPr>
        <w:br/>
      </w:r>
      <w:r w:rsidRPr="00D976E6">
        <w:rPr>
          <w:rFonts w:cs="Calibri"/>
          <w:sz w:val="16"/>
          <w:shd w:val="clear" w:color="auto" w:fill="FFFFFF"/>
        </w:rPr>
        <w:t xml:space="preserve">The Argument proposes that </w:t>
      </w:r>
      <w:r w:rsidRPr="00D976E6">
        <w:rPr>
          <w:rStyle w:val="Heading3Char"/>
        </w:rPr>
        <w:t>the</w:t>
      </w:r>
      <w:r w:rsidRPr="00D976E6">
        <w:rPr>
          <w:rStyle w:val="StyleUnderline"/>
          <w:rFonts w:cs="Calibri"/>
        </w:rPr>
        <w:t xml:space="preserve"> </w:t>
      </w:r>
      <w:r w:rsidRPr="00D976E6">
        <w:rPr>
          <w:rStyle w:val="StyleUnderline"/>
          <w:rFonts w:cs="Calibri"/>
          <w:sz w:val="12"/>
        </w:rPr>
        <w:t xml:space="preserve">new master </w:t>
      </w:r>
      <w:r w:rsidRPr="00D976E6">
        <w:rPr>
          <w:rStyle w:val="Heading3Char"/>
          <w:sz w:val="12"/>
        </w:rPr>
        <w:t>code</w:t>
      </w:r>
      <w:r w:rsidRPr="00D976E6">
        <w:rPr>
          <w:rStyle w:val="StyleUnderline"/>
          <w:rFonts w:cs="Calibri"/>
          <w:sz w:val="12"/>
        </w:rPr>
        <w:t xml:space="preserve"> of the bourgeoisie </w:t>
      </w:r>
      <w:r w:rsidRPr="00D976E6">
        <w:rPr>
          <w:rStyle w:val="Heading3Char"/>
          <w:sz w:val="12"/>
        </w:rPr>
        <w:t>and</w:t>
      </w:r>
      <w:r w:rsidRPr="00D976E6">
        <w:rPr>
          <w:rStyle w:val="StyleUnderline"/>
          <w:rFonts w:cs="Calibri"/>
          <w:sz w:val="12"/>
        </w:rPr>
        <w:t xml:space="preserve"> of its ethnoclass</w:t>
      </w:r>
      <w:r w:rsidRPr="00D976E6">
        <w:rPr>
          <w:rStyle w:val="StyleUnderline"/>
          <w:rFonts w:cs="Calibri"/>
        </w:rPr>
        <w:t xml:space="preserve"> </w:t>
      </w:r>
      <w:r w:rsidRPr="00D976E6">
        <w:rPr>
          <w:rStyle w:val="Heading3Char"/>
        </w:rPr>
        <w:t>conception of the human</w:t>
      </w:r>
      <w:r w:rsidRPr="00D976E6">
        <w:rPr>
          <w:rFonts w:cs="Calibri"/>
          <w:sz w:val="16"/>
          <w:shd w:val="clear" w:color="auto" w:fill="FFFFFF"/>
        </w:rPr>
        <w:t xml:space="preserve"> - that </w:t>
      </w:r>
      <w:r w:rsidRPr="00D976E6">
        <w:rPr>
          <w:rStyle w:val="StyleUnderline"/>
          <w:rFonts w:cs="Calibri"/>
          <w:b/>
          <w:sz w:val="32"/>
        </w:rPr>
        <w:t>is</w:t>
      </w:r>
      <w:r w:rsidRPr="00D976E6">
        <w:rPr>
          <w:rFonts w:cs="Calibri"/>
          <w:b/>
          <w:sz w:val="32"/>
          <w:shd w:val="clear" w:color="auto" w:fill="FFFFFF"/>
        </w:rPr>
        <w:t>,</w:t>
      </w:r>
      <w:r w:rsidRPr="00D976E6">
        <w:rPr>
          <w:rFonts w:cs="Calibri"/>
          <w:sz w:val="16"/>
          <w:shd w:val="clear" w:color="auto" w:fill="FFFFFF"/>
        </w:rPr>
        <w:t xml:space="preserve"> the code of selected by Evolution/dysselected by Evolution- was </w:t>
      </w:r>
      <w:r w:rsidRPr="00D976E6">
        <w:rPr>
          <w:rStyle w:val="StyleUnderline"/>
          <w:rFonts w:cs="Calibri"/>
          <w:sz w:val="12"/>
        </w:rPr>
        <w:t>now to be</w:t>
      </w:r>
      <w:r w:rsidRPr="00D976E6">
        <w:rPr>
          <w:rStyle w:val="StyleUnderline"/>
          <w:rFonts w:cs="Calibri"/>
        </w:rPr>
        <w:t xml:space="preserve"> </w:t>
      </w:r>
      <w:r w:rsidRPr="00D976E6">
        <w:rPr>
          <w:rStyle w:val="Heading3Char"/>
        </w:rPr>
        <w:t>mapped</w:t>
      </w:r>
      <w:r w:rsidRPr="00D976E6">
        <w:rPr>
          <w:rStyle w:val="StyleUnderline"/>
          <w:rFonts w:cs="Calibri"/>
        </w:rPr>
        <w:t xml:space="preserve"> </w:t>
      </w:r>
      <w:r w:rsidRPr="00D976E6">
        <w:rPr>
          <w:rStyle w:val="StyleUnderline"/>
          <w:rFonts w:cs="Calibri"/>
          <w:sz w:val="12"/>
        </w:rPr>
        <w:t>and anchored</w:t>
      </w:r>
      <w:r w:rsidRPr="00D976E6">
        <w:rPr>
          <w:rStyle w:val="StyleUnderline"/>
          <w:rFonts w:cs="Calibri"/>
        </w:rPr>
        <w:t xml:space="preserve"> </w:t>
      </w:r>
      <w:r w:rsidRPr="00D976E6">
        <w:rPr>
          <w:rStyle w:val="StyleUnderline"/>
          <w:rFonts w:cs="Calibri"/>
          <w:b/>
          <w:sz w:val="32"/>
        </w:rPr>
        <w:t>on</w:t>
      </w:r>
      <w:r w:rsidRPr="00D976E6">
        <w:rPr>
          <w:rStyle w:val="StyleUnderline"/>
          <w:rFonts w:cs="Calibri"/>
        </w:rPr>
        <w:t xml:space="preserve"> </w:t>
      </w:r>
      <w:r w:rsidRPr="00D976E6">
        <w:rPr>
          <w:rStyle w:val="StyleUnderline"/>
          <w:rFonts w:cs="Calibri"/>
          <w:sz w:val="12"/>
        </w:rPr>
        <w:t>the only available "objective set of facts" that remained.</w:t>
      </w:r>
      <w:r w:rsidRPr="00D976E6">
        <w:rPr>
          <w:rFonts w:cs="Calibri"/>
          <w:sz w:val="12"/>
          <w:shd w:val="clear" w:color="auto" w:fill="FFFFFF"/>
        </w:rPr>
        <w:t xml:space="preserve"> </w:t>
      </w:r>
      <w:r w:rsidRPr="00D976E6">
        <w:rPr>
          <w:rStyle w:val="StyleUnderline"/>
          <w:rFonts w:cs="Calibri"/>
          <w:sz w:val="12"/>
        </w:rPr>
        <w:t xml:space="preserve">This was the set of </w:t>
      </w:r>
      <w:r w:rsidRPr="00D976E6">
        <w:rPr>
          <w:rStyle w:val="StyleUnderline"/>
          <w:rFonts w:cs="Calibri"/>
          <w:b/>
          <w:sz w:val="12"/>
        </w:rPr>
        <w:t>environmentally,</w:t>
      </w:r>
      <w:r w:rsidRPr="00D976E6">
        <w:rPr>
          <w:rStyle w:val="StyleUnderline"/>
          <w:rFonts w:cs="Calibri"/>
          <w:b/>
          <w:sz w:val="32"/>
        </w:rPr>
        <w:t xml:space="preserve"> </w:t>
      </w:r>
      <w:r w:rsidRPr="00D976E6">
        <w:rPr>
          <w:rStyle w:val="StyleUnderline"/>
          <w:rFonts w:cs="Calibri"/>
          <w:b/>
          <w:sz w:val="12"/>
        </w:rPr>
        <w:t>climatically</w:t>
      </w:r>
      <w:r w:rsidRPr="00D976E6">
        <w:rPr>
          <w:rStyle w:val="StyleUnderline"/>
          <w:rFonts w:cs="Calibri"/>
          <w:b/>
          <w:sz w:val="32"/>
        </w:rPr>
        <w:t xml:space="preserve"> </w:t>
      </w:r>
      <w:r w:rsidRPr="00D976E6">
        <w:rPr>
          <w:rStyle w:val="StyleUnderline"/>
          <w:rFonts w:cs="Calibri"/>
          <w:b/>
          <w:sz w:val="12"/>
        </w:rPr>
        <w:t>determined</w:t>
      </w:r>
      <w:r w:rsidRPr="00D976E6">
        <w:rPr>
          <w:rStyle w:val="StyleUnderline"/>
          <w:rFonts w:cs="Calibri"/>
          <w:b/>
          <w:sz w:val="32"/>
        </w:rPr>
        <w:t xml:space="preserve"> phenotypical differences between </w:t>
      </w:r>
      <w:r w:rsidRPr="00D976E6">
        <w:rPr>
          <w:rStyle w:val="StyleUnderline"/>
          <w:rFonts w:cs="Calibri"/>
          <w:b/>
          <w:sz w:val="12"/>
        </w:rPr>
        <w:t>human</w:t>
      </w:r>
      <w:r w:rsidRPr="00D976E6">
        <w:rPr>
          <w:rStyle w:val="StyleUnderline"/>
          <w:rFonts w:cs="Calibri"/>
          <w:b/>
          <w:sz w:val="32"/>
        </w:rPr>
        <w:t xml:space="preserve"> hereditary variations as</w:t>
      </w:r>
      <w:r w:rsidRPr="00D976E6">
        <w:rPr>
          <w:rStyle w:val="StyleUnderline"/>
          <w:rFonts w:cs="Calibri"/>
          <w:b/>
        </w:rPr>
        <w:t xml:space="preserve"> </w:t>
      </w:r>
      <w:r w:rsidRPr="00D976E6">
        <w:rPr>
          <w:rStyle w:val="StyleUnderline"/>
          <w:rFonts w:cs="Calibri"/>
          <w:b/>
          <w:sz w:val="12"/>
        </w:rPr>
        <w:t>these</w:t>
      </w:r>
      <w:r w:rsidRPr="00D976E6">
        <w:rPr>
          <w:rStyle w:val="StyleUnderline"/>
          <w:rFonts w:cs="Calibri"/>
          <w:b/>
        </w:rPr>
        <w:t xml:space="preserve"> </w:t>
      </w:r>
      <w:r w:rsidRPr="00D976E6">
        <w:rPr>
          <w:rStyle w:val="StyleUnderline"/>
          <w:rFonts w:cs="Calibri"/>
          <w:b/>
          <w:sz w:val="12"/>
        </w:rPr>
        <w:t>had</w:t>
      </w:r>
      <w:r w:rsidRPr="00D976E6">
        <w:rPr>
          <w:rStyle w:val="StyleUnderline"/>
          <w:rFonts w:cs="Calibri"/>
          <w:b/>
          <w:sz w:val="32"/>
        </w:rPr>
        <w:t xml:space="preserve"> developed in </w:t>
      </w:r>
      <w:r w:rsidRPr="00D976E6">
        <w:rPr>
          <w:rStyle w:val="StyleUnderline"/>
          <w:rFonts w:cs="Calibri"/>
          <w:b/>
          <w:sz w:val="12"/>
        </w:rPr>
        <w:t>the wake of the</w:t>
      </w:r>
      <w:r w:rsidRPr="00D976E6">
        <w:rPr>
          <w:rStyle w:val="StyleUnderline"/>
          <w:rFonts w:cs="Calibri"/>
          <w:b/>
          <w:sz w:val="32"/>
        </w:rPr>
        <w:t xml:space="preserve"> human diaspora </w:t>
      </w:r>
      <w:r w:rsidRPr="00D976E6">
        <w:rPr>
          <w:rStyle w:val="StyleUnderline"/>
          <w:rFonts w:cs="Calibri"/>
          <w:b/>
          <w:sz w:val="12"/>
        </w:rPr>
        <w:t>both across and out of the continent of Africa</w:t>
      </w:r>
      <w:r w:rsidRPr="00D976E6">
        <w:rPr>
          <w:rFonts w:cs="Calibri"/>
          <w:b/>
          <w:sz w:val="12"/>
          <w:shd w:val="clear" w:color="auto" w:fill="FFFFFF"/>
        </w:rPr>
        <w:t>;</w:t>
      </w:r>
      <w:r w:rsidRPr="00D976E6">
        <w:rPr>
          <w:rFonts w:cs="Calibri"/>
          <w:sz w:val="12"/>
          <w:shd w:val="clear" w:color="auto" w:fill="FFFFFF"/>
        </w:rPr>
        <w:t xml:space="preserve"> that is, </w:t>
      </w:r>
      <w:r w:rsidRPr="00D976E6">
        <w:rPr>
          <w:rStyle w:val="StyleUnderline"/>
          <w:rFonts w:cs="Calibri"/>
          <w:sz w:val="12"/>
        </w:rPr>
        <w:t>as a set of</w:t>
      </w:r>
      <w:r w:rsidRPr="00D976E6">
        <w:rPr>
          <w:rFonts w:cs="Calibri"/>
          <w:sz w:val="12"/>
          <w:shd w:val="clear" w:color="auto" w:fill="FFFFFF"/>
        </w:rPr>
        <w:t xml:space="preserve"> (so to speak) tot</w:t>
      </w:r>
      <w:r w:rsidRPr="00D976E6">
        <w:rPr>
          <w:rStyle w:val="StyleUnderline"/>
          <w:rFonts w:cs="Calibri"/>
          <w:sz w:val="12"/>
        </w:rPr>
        <w:t xml:space="preserve">emic </w:t>
      </w:r>
      <w:r w:rsidRPr="00D976E6">
        <w:rPr>
          <w:rStyle w:val="StyleUnderline"/>
          <w:rFonts w:cs="Calibri"/>
          <w:b/>
          <w:sz w:val="32"/>
        </w:rPr>
        <w:t>differences</w:t>
      </w:r>
      <w:r w:rsidRPr="00D976E6">
        <w:rPr>
          <w:rStyle w:val="StyleUnderline"/>
          <w:rFonts w:cs="Calibri"/>
        </w:rPr>
        <w:t xml:space="preserve">, </w:t>
      </w:r>
      <w:r w:rsidRPr="00D976E6">
        <w:rPr>
          <w:rStyle w:val="StyleUnderline"/>
          <w:rFonts w:cs="Calibri"/>
          <w:sz w:val="12"/>
        </w:rPr>
        <w:t>which</w:t>
      </w:r>
      <w:r w:rsidRPr="00D976E6">
        <w:rPr>
          <w:rStyle w:val="StyleUnderline"/>
          <w:rFonts w:cs="Calibri"/>
        </w:rPr>
        <w:t xml:space="preserve"> </w:t>
      </w:r>
      <w:r w:rsidRPr="00D976E6">
        <w:rPr>
          <w:rStyle w:val="StyleUnderline"/>
          <w:rFonts w:cs="Calibri"/>
          <w:b/>
          <w:sz w:val="32"/>
        </w:rPr>
        <w:t>were</w:t>
      </w:r>
      <w:r w:rsidRPr="00D976E6">
        <w:rPr>
          <w:rStyle w:val="StyleUnderline"/>
          <w:rFonts w:cs="Calibri"/>
        </w:rPr>
        <w:t xml:space="preserve"> </w:t>
      </w:r>
      <w:r w:rsidRPr="00D976E6">
        <w:rPr>
          <w:rStyle w:val="StyleUnderline"/>
          <w:rFonts w:cs="Calibri"/>
          <w:sz w:val="12"/>
        </w:rPr>
        <w:t>now</w:t>
      </w:r>
      <w:r w:rsidRPr="00D976E6">
        <w:rPr>
          <w:rStyle w:val="StyleUnderline"/>
          <w:rFonts w:cs="Calibri"/>
        </w:rPr>
        <w:t xml:space="preserve"> </w:t>
      </w:r>
      <w:r w:rsidRPr="00D976E6">
        <w:rPr>
          <w:rStyle w:val="StyleUnderline"/>
          <w:rFonts w:cs="Calibri"/>
          <w:b/>
          <w:sz w:val="32"/>
        </w:rPr>
        <w:t xml:space="preserve">harnessed to the task of projecting the Color Line drawn institutionally </w:t>
      </w:r>
      <w:r w:rsidRPr="00D976E6">
        <w:rPr>
          <w:rStyle w:val="StyleUnderline"/>
          <w:rFonts w:cs="Calibri"/>
          <w:b/>
          <w:sz w:val="12"/>
        </w:rPr>
        <w:t>and discursively between whites/nonwhites</w:t>
      </w:r>
      <w:r w:rsidRPr="00D976E6">
        <w:rPr>
          <w:rStyle w:val="StyleUnderline"/>
          <w:rFonts w:cs="Calibri"/>
          <w:sz w:val="12"/>
        </w:rPr>
        <w:t xml:space="preserve"> - and at its most extreme between the Caucasoid physiognomy (as symbolic life, the name of what is good, the idea that some humans can be selected by Evolution) and the Negroid phys- iognomy (as symbolic death, the "name of what is evil," the idea that some humans can be dysselected by Evolution)- as </w:t>
      </w:r>
      <w:r w:rsidRPr="00D976E6">
        <w:rPr>
          <w:rStyle w:val="StyleUnderline"/>
          <w:rFonts w:cs="Calibri"/>
          <w:b/>
          <w:sz w:val="32"/>
        </w:rPr>
        <w:t>the new extrahuman line,</w:t>
      </w:r>
      <w:r w:rsidRPr="00D976E6">
        <w:rPr>
          <w:rStyle w:val="StyleUnderline"/>
          <w:rFonts w:cs="Calibri"/>
        </w:rPr>
        <w:t xml:space="preserve"> </w:t>
      </w:r>
      <w:r w:rsidRPr="00D976E6">
        <w:rPr>
          <w:rFonts w:cs="Calibri"/>
          <w:sz w:val="12"/>
        </w:rPr>
        <w:t>or</w:t>
      </w:r>
      <w:r w:rsidRPr="00D976E6">
        <w:rPr>
          <w:rFonts w:cs="Calibri"/>
          <w:sz w:val="12"/>
          <w:shd w:val="clear" w:color="auto" w:fill="FFFFFF"/>
        </w:rPr>
        <w:t xml:space="preserve"> projection of genetic nonhomogeneity </w:t>
      </w:r>
      <w:r w:rsidRPr="00D976E6">
        <w:rPr>
          <w:rStyle w:val="StyleUnderline"/>
          <w:rFonts w:cs="Calibri"/>
          <w:sz w:val="12"/>
        </w:rPr>
        <w:t>that</w:t>
      </w:r>
      <w:r w:rsidRPr="00D976E6">
        <w:rPr>
          <w:rStyle w:val="StyleUnderline"/>
          <w:rFonts w:cs="Calibri"/>
        </w:rPr>
        <w:t xml:space="preserve"> </w:t>
      </w:r>
      <w:r w:rsidRPr="00D976E6">
        <w:rPr>
          <w:rStyle w:val="StyleUnderline"/>
          <w:rFonts w:cs="Calibri"/>
          <w:b/>
          <w:sz w:val="32"/>
        </w:rPr>
        <w:t>would</w:t>
      </w:r>
      <w:r w:rsidRPr="00D976E6">
        <w:rPr>
          <w:rStyle w:val="StyleUnderline"/>
          <w:rFonts w:cs="Calibri"/>
          <w:b/>
        </w:rPr>
        <w:t xml:space="preserve"> </w:t>
      </w:r>
      <w:r w:rsidRPr="00D976E6">
        <w:rPr>
          <w:rStyle w:val="StyleUnderline"/>
          <w:rFonts w:cs="Calibri"/>
          <w:sz w:val="12"/>
        </w:rPr>
        <w:t>now</w:t>
      </w:r>
      <w:r w:rsidRPr="00D976E6">
        <w:rPr>
          <w:rStyle w:val="StyleUnderline"/>
          <w:rFonts w:cs="Calibri"/>
          <w:b/>
        </w:rPr>
        <w:t xml:space="preserve"> </w:t>
      </w:r>
      <w:r w:rsidRPr="00D976E6">
        <w:rPr>
          <w:rStyle w:val="StyleUnderline"/>
          <w:rFonts w:cs="Calibri"/>
          <w:b/>
          <w:sz w:val="32"/>
        </w:rPr>
        <w:t>be made to function</w:t>
      </w:r>
      <w:r w:rsidRPr="00D976E6">
        <w:rPr>
          <w:rFonts w:cs="Calibri"/>
          <w:sz w:val="16"/>
          <w:shd w:val="clear" w:color="auto" w:fill="FFFFFF"/>
        </w:rPr>
        <w:t xml:space="preserve">, analogically, </w:t>
      </w:r>
      <w:r w:rsidRPr="00D976E6">
        <w:rPr>
          <w:rStyle w:val="StyleUnderline"/>
          <w:rFonts w:cs="Calibri"/>
          <w:b/>
          <w:sz w:val="32"/>
        </w:rPr>
        <w:t>as the status-ordering principle based upon</w:t>
      </w:r>
      <w:r w:rsidRPr="00D976E6">
        <w:rPr>
          <w:rStyle w:val="StyleUnderline"/>
          <w:rFonts w:cs="Calibri"/>
          <w:b/>
        </w:rPr>
        <w:t xml:space="preserve"> </w:t>
      </w:r>
      <w:r w:rsidRPr="00D976E6">
        <w:rPr>
          <w:rStyle w:val="StyleUnderline"/>
          <w:rFonts w:cs="Calibri"/>
          <w:sz w:val="12"/>
        </w:rPr>
        <w:t>ostensibly differ- ential degrees</w:t>
      </w:r>
      <w:r w:rsidRPr="00D976E6">
        <w:rPr>
          <w:rFonts w:cs="Calibri"/>
          <w:sz w:val="12"/>
          <w:shd w:val="clear" w:color="auto" w:fill="FFFFFF"/>
        </w:rPr>
        <w:t xml:space="preserve"> of evolutionary selectedness/eugenicity and/or dysselected- ness/dysgenicity</w:t>
      </w:r>
      <w:r w:rsidRPr="00D976E6">
        <w:rPr>
          <w:rFonts w:cs="Calibri"/>
          <w:sz w:val="16"/>
          <w:shd w:val="clear" w:color="auto" w:fill="FFFFFF"/>
        </w:rPr>
        <w:t xml:space="preserve">. </w:t>
      </w:r>
      <w:r w:rsidRPr="00D976E6">
        <w:rPr>
          <w:rStyle w:val="StyleUnderline"/>
          <w:rFonts w:cs="Calibri"/>
          <w:b/>
          <w:sz w:val="32"/>
        </w:rPr>
        <w:t>Differential degrees</w:t>
      </w:r>
      <w:r w:rsidRPr="00D976E6">
        <w:rPr>
          <w:rStyle w:val="StyleUnderline"/>
          <w:rFonts w:cs="Calibri"/>
          <w:b/>
        </w:rPr>
        <w:t>,</w:t>
      </w:r>
      <w:r w:rsidRPr="00D976E6">
        <w:rPr>
          <w:rStyle w:val="StyleUnderline"/>
          <w:rFonts w:cs="Calibri"/>
        </w:rPr>
        <w:t xml:space="preserve"> </w:t>
      </w:r>
      <w:r w:rsidRPr="00D976E6">
        <w:rPr>
          <w:rStyle w:val="StyleUnderline"/>
          <w:rFonts w:cs="Calibri"/>
          <w:sz w:val="12"/>
        </w:rPr>
        <w:t>as</w:t>
      </w:r>
      <w:r w:rsidRPr="00D976E6">
        <w:rPr>
          <w:rStyle w:val="StyleUnderline"/>
          <w:rFonts w:cs="Calibri"/>
        </w:rPr>
        <w:t xml:space="preserve"> </w:t>
      </w:r>
      <w:r w:rsidRPr="00D976E6">
        <w:rPr>
          <w:rStyle w:val="StyleUnderline"/>
          <w:rFonts w:cs="Calibri"/>
          <w:b/>
          <w:sz w:val="32"/>
        </w:rPr>
        <w:t>between</w:t>
      </w:r>
      <w:r w:rsidRPr="00D976E6">
        <w:rPr>
          <w:rStyle w:val="StyleUnderline"/>
          <w:rFonts w:cs="Calibri"/>
        </w:rPr>
        <w:t xml:space="preserve"> </w:t>
      </w:r>
      <w:r w:rsidRPr="00D976E6">
        <w:rPr>
          <w:rStyle w:val="StyleUnderline"/>
          <w:rFonts w:cs="Calibri"/>
          <w:sz w:val="12"/>
        </w:rPr>
        <w:t>the</w:t>
      </w:r>
      <w:r w:rsidRPr="00D976E6">
        <w:rPr>
          <w:rStyle w:val="StyleUnderline"/>
          <w:rFonts w:cs="Calibri"/>
        </w:rPr>
        <w:t xml:space="preserve"> </w:t>
      </w:r>
      <w:r w:rsidRPr="00D976E6">
        <w:rPr>
          <w:rStyle w:val="StyleUnderline"/>
          <w:rFonts w:cs="Calibri"/>
          <w:b/>
          <w:sz w:val="32"/>
        </w:rPr>
        <w:t>classes</w:t>
      </w:r>
      <w:r w:rsidRPr="00D976E6">
        <w:rPr>
          <w:rFonts w:cs="Calibri"/>
          <w:sz w:val="16"/>
          <w:shd w:val="clear" w:color="auto" w:fill="FFFFFF"/>
        </w:rPr>
        <w:t xml:space="preserve"> </w:t>
      </w:r>
      <w:r w:rsidRPr="00D976E6">
        <w:rPr>
          <w:rFonts w:cs="Calibri"/>
          <w:sz w:val="12"/>
          <w:shd w:val="clear" w:color="auto" w:fill="FFFFFF"/>
        </w:rPr>
        <w:t xml:space="preserve">(middle and lower and, by extrapolation, between capital and labor) </w:t>
      </w:r>
      <w:r w:rsidRPr="00D976E6">
        <w:rPr>
          <w:rStyle w:val="StyleUnderline"/>
          <w:rFonts w:cs="Calibri"/>
          <w:sz w:val="12"/>
        </w:rPr>
        <w:t xml:space="preserve">as well as between </w:t>
      </w:r>
      <w:r w:rsidRPr="00D976E6">
        <w:rPr>
          <w:rStyle w:val="StyleUnderline"/>
          <w:rFonts w:cs="Calibri"/>
          <w:b/>
          <w:sz w:val="12"/>
        </w:rPr>
        <w:t>men and women</w:t>
      </w:r>
      <w:r w:rsidRPr="00D976E6">
        <w:rPr>
          <w:rStyle w:val="StyleUnderline"/>
          <w:rFonts w:cs="Calibri"/>
          <w:sz w:val="12"/>
        </w:rPr>
        <w:t xml:space="preserve">, </w:t>
      </w:r>
      <w:r w:rsidRPr="00D976E6">
        <w:rPr>
          <w:rStyle w:val="StyleUnderline"/>
          <w:rFonts w:cs="Calibri"/>
          <w:b/>
          <w:sz w:val="12"/>
        </w:rPr>
        <w:t>and</w:t>
      </w:r>
      <w:r w:rsidRPr="00D976E6">
        <w:rPr>
          <w:rStyle w:val="StyleUnderline"/>
          <w:rFonts w:cs="Calibri"/>
        </w:rPr>
        <w:t xml:space="preserve"> </w:t>
      </w:r>
      <w:r w:rsidRPr="00D976E6">
        <w:rPr>
          <w:rStyle w:val="StyleUnderline"/>
          <w:rFonts w:cs="Calibri"/>
          <w:sz w:val="12"/>
        </w:rPr>
        <w:t>between the</w:t>
      </w:r>
      <w:r w:rsidRPr="00D976E6">
        <w:rPr>
          <w:rStyle w:val="StyleUnderline"/>
          <w:rFonts w:cs="Calibri"/>
        </w:rPr>
        <w:t xml:space="preserve"> </w:t>
      </w:r>
      <w:r w:rsidRPr="00D976E6">
        <w:rPr>
          <w:rStyle w:val="StyleUnderline"/>
          <w:rFonts w:cs="Calibri"/>
          <w:b/>
          <w:sz w:val="32"/>
        </w:rPr>
        <w:t>hetero</w:t>
      </w:r>
      <w:r w:rsidRPr="00D976E6">
        <w:rPr>
          <w:rStyle w:val="StyleUnderline"/>
          <w:rFonts w:cs="Calibri"/>
          <w:sz w:val="12"/>
        </w:rPr>
        <w:t xml:space="preserve">sexual </w:t>
      </w:r>
      <w:r w:rsidRPr="00D976E6">
        <w:rPr>
          <w:rStyle w:val="StyleUnderline"/>
          <w:rFonts w:cs="Calibri"/>
          <w:b/>
          <w:sz w:val="32"/>
        </w:rPr>
        <w:t>and homosexual</w:t>
      </w:r>
      <w:r w:rsidRPr="00D976E6">
        <w:rPr>
          <w:rStyle w:val="StyleUnderline"/>
          <w:rFonts w:cs="Calibri"/>
        </w:rPr>
        <w:t xml:space="preserve"> </w:t>
      </w:r>
      <w:r w:rsidRPr="00D976E6">
        <w:rPr>
          <w:rStyle w:val="StyleUnderline"/>
          <w:rFonts w:cs="Calibri"/>
          <w:sz w:val="12"/>
        </w:rPr>
        <w:t xml:space="preserve">erotic preference - and, even more centrally, as between </w:t>
      </w:r>
      <w:r w:rsidRPr="00D976E6">
        <w:rPr>
          <w:rStyle w:val="Heading3Char"/>
        </w:rPr>
        <w:t>Breadwinner</w:t>
      </w:r>
      <w:r w:rsidRPr="00D976E6">
        <w:rPr>
          <w:rFonts w:cs="Calibri"/>
          <w:sz w:val="16"/>
          <w:shd w:val="clear" w:color="auto" w:fill="FFFFFF"/>
        </w:rPr>
        <w:t xml:space="preserve"> (job- holding middle and working classes) </w:t>
      </w:r>
      <w:r w:rsidRPr="00D976E6">
        <w:rPr>
          <w:rStyle w:val="Heading3Char"/>
        </w:rPr>
        <w:t>and</w:t>
      </w:r>
      <w:r w:rsidRPr="00D976E6">
        <w:rPr>
          <w:rStyle w:val="StyleUnderline"/>
          <w:rFonts w:cs="Calibri"/>
        </w:rPr>
        <w:t xml:space="preserve"> </w:t>
      </w:r>
      <w:r w:rsidRPr="00D976E6">
        <w:rPr>
          <w:rStyle w:val="StyleUnderline"/>
          <w:rFonts w:cs="Calibri"/>
          <w:sz w:val="12"/>
        </w:rPr>
        <w:t>the jobless and criminalized</w:t>
      </w:r>
      <w:r w:rsidRPr="00D976E6">
        <w:rPr>
          <w:rStyle w:val="StyleUnderline"/>
          <w:rFonts w:cs="Calibri"/>
        </w:rPr>
        <w:t xml:space="preserve"> </w:t>
      </w:r>
      <w:r w:rsidRPr="00D976E6">
        <w:rPr>
          <w:rStyle w:val="Heading3Char"/>
        </w:rPr>
        <w:t>Poor</w:t>
      </w:r>
      <w:r w:rsidRPr="00D976E6">
        <w:rPr>
          <w:rStyle w:val="StyleUnderline"/>
          <w:rFonts w:cs="Calibri"/>
        </w:rPr>
        <w:t xml:space="preserve">, </w:t>
      </w:r>
      <w:r w:rsidRPr="00D976E6">
        <w:rPr>
          <w:rStyle w:val="StyleUnderline"/>
          <w:rFonts w:cs="Calibri"/>
          <w:sz w:val="12"/>
        </w:rPr>
        <w:t>with this rearticulated at the global level as between Sartre's "Men" and Natives</w:t>
      </w:r>
      <w:r w:rsidRPr="00D976E6">
        <w:rPr>
          <w:rFonts w:cs="Calibri"/>
          <w:sz w:val="12"/>
          <w:shd w:val="clear" w:color="auto" w:fill="FFFFFF"/>
        </w:rPr>
        <w:t xml:space="preserve"> (see his guide-quote), </w:t>
      </w:r>
      <w:r w:rsidRPr="00D976E6">
        <w:rPr>
          <w:rStyle w:val="StyleUnderline"/>
          <w:rFonts w:cs="Calibri"/>
          <w:sz w:val="12"/>
        </w:rPr>
        <w:t>before the end of politico-military colonial- ism, then postcolonially as between the "developed" First World, on the one hand, and the "underdeveloped" Third and Fourth Worlds on the other</w:t>
      </w:r>
      <w:r w:rsidRPr="00D976E6">
        <w:rPr>
          <w:rStyle w:val="StyleUnderline"/>
          <w:rFonts w:cs="Calibri"/>
        </w:rPr>
        <w:t xml:space="preserve">. </w:t>
      </w:r>
      <w:r w:rsidRPr="00D976E6">
        <w:rPr>
          <w:rStyle w:val="StyleUnderline"/>
          <w:rFonts w:cs="Calibri"/>
          <w:b/>
          <w:sz w:val="32"/>
        </w:rPr>
        <w:t xml:space="preserve">The Color Line was now projected </w:t>
      </w:r>
      <w:r w:rsidRPr="00D976E6">
        <w:rPr>
          <w:rStyle w:val="StyleUnderline"/>
          <w:rFonts w:cs="Calibri"/>
          <w:b/>
          <w:sz w:val="12"/>
        </w:rPr>
        <w:t>as the new "space of Otherness</w:t>
      </w:r>
      <w:r w:rsidRPr="00D976E6">
        <w:rPr>
          <w:rFonts w:cs="Calibri"/>
          <w:sz w:val="12"/>
          <w:shd w:val="clear" w:color="auto" w:fill="FFFFFF"/>
        </w:rPr>
        <w:t xml:space="preserve">" principle of nonhomogeneity, </w:t>
      </w:r>
      <w:r w:rsidRPr="00D976E6">
        <w:rPr>
          <w:rStyle w:val="StyleUnderline"/>
          <w:rFonts w:cs="Calibri"/>
          <w:b/>
          <w:sz w:val="12"/>
        </w:rPr>
        <w:t>made</w:t>
      </w:r>
      <w:r w:rsidRPr="00D976E6">
        <w:rPr>
          <w:rStyle w:val="StyleUnderline"/>
          <w:rFonts w:cs="Calibri"/>
          <w:b/>
          <w:sz w:val="32"/>
        </w:rPr>
        <w:t xml:space="preserve"> to reoccupy the</w:t>
      </w:r>
      <w:r w:rsidRPr="00D976E6">
        <w:rPr>
          <w:rStyle w:val="StyleUnderline"/>
          <w:rFonts w:cs="Calibri"/>
        </w:rPr>
        <w:t xml:space="preserve"> </w:t>
      </w:r>
      <w:r w:rsidRPr="00D976E6">
        <w:rPr>
          <w:rStyle w:val="StyleUnderline"/>
          <w:rFonts w:cs="Calibri"/>
          <w:sz w:val="12"/>
        </w:rPr>
        <w:t>earlier</w:t>
      </w:r>
      <w:r w:rsidRPr="00D976E6">
        <w:rPr>
          <w:rStyle w:val="StyleUnderline"/>
          <w:rFonts w:cs="Calibri"/>
        </w:rPr>
        <w:t xml:space="preserve"> </w:t>
      </w:r>
      <w:r w:rsidRPr="00D976E6">
        <w:rPr>
          <w:rStyle w:val="StyleUnderline"/>
          <w:rFonts w:cs="Calibri"/>
          <w:b/>
          <w:sz w:val="32"/>
        </w:rPr>
        <w:t xml:space="preserve">places of </w:t>
      </w:r>
      <w:r w:rsidRPr="00D976E6">
        <w:rPr>
          <w:rStyle w:val="StyleUnderline"/>
          <w:rFonts w:cs="Calibri"/>
          <w:sz w:val="12"/>
        </w:rPr>
        <w:t>the motion-filled heavens/non-moving Earth</w:t>
      </w:r>
      <w:r w:rsidRPr="00D976E6">
        <w:rPr>
          <w:rStyle w:val="StyleUnderline"/>
          <w:rFonts w:cs="Calibri"/>
        </w:rPr>
        <w:t xml:space="preserve">, </w:t>
      </w:r>
      <w:r w:rsidRPr="00D976E6">
        <w:rPr>
          <w:rStyle w:val="StyleUnderline"/>
          <w:rFonts w:cs="Calibri"/>
          <w:b/>
          <w:sz w:val="32"/>
        </w:rPr>
        <w:t xml:space="preserve">rational </w:t>
      </w:r>
      <w:r w:rsidRPr="00D976E6">
        <w:rPr>
          <w:rStyle w:val="StyleUnderline"/>
          <w:rFonts w:cs="Calibri"/>
          <w:b/>
          <w:sz w:val="12"/>
        </w:rPr>
        <w:t>humans</w:t>
      </w:r>
      <w:r w:rsidRPr="00D976E6">
        <w:rPr>
          <w:rStyle w:val="StyleUnderline"/>
          <w:rFonts w:cs="Calibri"/>
          <w:b/>
          <w:sz w:val="32"/>
        </w:rPr>
        <w:t xml:space="preserve">/irrational </w:t>
      </w:r>
      <w:r w:rsidRPr="00D976E6">
        <w:rPr>
          <w:rStyle w:val="StyleUnderline"/>
          <w:rFonts w:cs="Calibri"/>
          <w:b/>
          <w:sz w:val="12"/>
        </w:rPr>
        <w:t>animal lines,</w:t>
      </w:r>
      <w:r w:rsidRPr="00D976E6">
        <w:rPr>
          <w:rStyle w:val="StyleUnderline"/>
          <w:rFonts w:cs="Calibri"/>
          <w:b/>
          <w:sz w:val="32"/>
        </w:rPr>
        <w:t xml:space="preserve"> and to recode in </w:t>
      </w:r>
      <w:r w:rsidRPr="00D976E6">
        <w:rPr>
          <w:rStyle w:val="StyleUnderline"/>
          <w:rFonts w:cs="Calibri"/>
          <w:b/>
          <w:sz w:val="12"/>
        </w:rPr>
        <w:t>new terms their ostensible</w:t>
      </w:r>
      <w:r w:rsidRPr="00D976E6">
        <w:rPr>
          <w:rStyle w:val="StyleUnderline"/>
          <w:rFonts w:cs="Calibri"/>
          <w:b/>
          <w:sz w:val="32"/>
        </w:rPr>
        <w:t xml:space="preserve"> extrahumanly determined differences of ontological substance</w:t>
      </w:r>
      <w:r w:rsidRPr="00D976E6">
        <w:rPr>
          <w:rFonts w:cs="Calibri"/>
          <w:sz w:val="16"/>
          <w:shd w:val="clear" w:color="auto" w:fill="FFFFFF"/>
        </w:rPr>
        <w:t xml:space="preserve">. </w:t>
      </w:r>
      <w:r w:rsidRPr="00D976E6">
        <w:rPr>
          <w:rFonts w:cs="Calibri"/>
          <w:sz w:val="12"/>
          <w:shd w:val="clear" w:color="auto" w:fill="FFFFFF"/>
        </w:rPr>
        <w:t xml:space="preserve">While, if the earlier two had been indispen-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ment therefore being rigorously conserved by the "learning system" and order of knowledge as articulated in the institutional structure of each order - this was to be no less the case with respect to the projected "space of Otherness" of the Color Line. </w:t>
      </w:r>
      <w:r w:rsidRPr="00D976E6">
        <w:rPr>
          <w:rStyle w:val="StyleUnderline"/>
          <w:rFonts w:cs="Calibri"/>
          <w:sz w:val="12"/>
        </w:rPr>
        <w:t>With respec</w:t>
      </w:r>
      <w:r w:rsidRPr="00D976E6">
        <w:rPr>
          <w:rFonts w:cs="Calibri"/>
          <w:sz w:val="12"/>
          <w:shd w:val="clear" w:color="auto" w:fill="FFFFFF"/>
        </w:rPr>
        <w:t xml:space="preserve">t, that is, </w:t>
      </w:r>
      <w:r w:rsidRPr="00D976E6">
        <w:rPr>
          <w:rStyle w:val="StyleUnderline"/>
          <w:rFonts w:cs="Calibri"/>
          <w:sz w:val="12"/>
        </w:rPr>
        <w:t>to its indispensability to the production and reproduction of our present genre of the human Mam, together with the overall global/national bourgeois order of things and its specific mode of economic production, alone able to provide the material conditions of existence for the production and reproduction of the ethnoclass or Western-bourgeois answer that we now give to the question of the who and what we are.</w:t>
      </w:r>
    </w:p>
    <w:p w14:paraId="1C3312D4" w14:textId="77777777" w:rsidR="00DA2963" w:rsidRPr="00D976E6" w:rsidRDefault="00DA2963" w:rsidP="00DA2963">
      <w:pPr>
        <w:rPr>
          <w:rFonts w:cs="Calibri"/>
        </w:rPr>
      </w:pPr>
    </w:p>
    <w:p w14:paraId="6E6604E3" w14:textId="77777777" w:rsidR="00DA2963" w:rsidRPr="00D976E6" w:rsidRDefault="00DA2963" w:rsidP="00DA2963">
      <w:pPr>
        <w:rPr>
          <w:rFonts w:cs="Calibri"/>
        </w:rPr>
      </w:pPr>
    </w:p>
    <w:p w14:paraId="5AD6694E" w14:textId="77777777" w:rsidR="00DA2963" w:rsidRPr="00D976E6" w:rsidRDefault="00DA2963" w:rsidP="00DA2963">
      <w:pPr>
        <w:pStyle w:val="Heading4"/>
        <w:rPr>
          <w:rFonts w:cs="Calibri"/>
        </w:rPr>
      </w:pPr>
      <w:r w:rsidRPr="00D976E6">
        <w:rPr>
          <w:rFonts w:cs="Calibri"/>
        </w:rPr>
        <w:lastRenderedPageBreak/>
        <w:t xml:space="preserve">The alternative is habeas viscus. We reconfigure our view of the human to be framed by flesh (suffering, actualized, material) instead of the legal body (legible, coherent, perceived) to focus on </w:t>
      </w:r>
      <w:r w:rsidRPr="00D976E6">
        <w:rPr>
          <w:rFonts w:cs="Calibri"/>
          <w:u w:val="single"/>
        </w:rPr>
        <w:t>affective bonds</w:t>
      </w:r>
      <w:r w:rsidRPr="00D976E6">
        <w:rPr>
          <w:rFonts w:cs="Calibri"/>
        </w:rPr>
        <w:t xml:space="preserve">. By synthesizing our experiences and identities, we can embrace liminality to better </w:t>
      </w:r>
      <w:r w:rsidRPr="00D976E6">
        <w:rPr>
          <w:rFonts w:cs="Calibri"/>
          <w:u w:val="single"/>
        </w:rPr>
        <w:t>strategize</w:t>
      </w:r>
      <w:r w:rsidRPr="00D976E6">
        <w:rPr>
          <w:rFonts w:cs="Calibri"/>
        </w:rPr>
        <w:t xml:space="preserve"> and dismantle systems of oppression while emphasizing collective action and </w:t>
      </w:r>
      <w:r w:rsidRPr="00D976E6">
        <w:rPr>
          <w:rFonts w:cs="Calibri"/>
          <w:u w:val="single"/>
        </w:rPr>
        <w:t>collaboration</w:t>
      </w:r>
      <w:r w:rsidRPr="00D976E6">
        <w:rPr>
          <w:rFonts w:cs="Calibri"/>
        </w:rPr>
        <w:t>.</w:t>
      </w:r>
    </w:p>
    <w:p w14:paraId="6E92C474" w14:textId="77777777" w:rsidR="00DA2963" w:rsidRPr="00D976E6" w:rsidRDefault="00DA2963" w:rsidP="00DA2963">
      <w:pPr>
        <w:rPr>
          <w:rFonts w:cs="Calibri"/>
        </w:rPr>
      </w:pPr>
      <w:r w:rsidRPr="00D976E6">
        <w:rPr>
          <w:rStyle w:val="Style13ptBold"/>
          <w:rFonts w:cs="Calibri"/>
        </w:rPr>
        <w:t>Weheliye 4</w:t>
      </w:r>
      <w:r w:rsidRPr="00D976E6">
        <w:rPr>
          <w:rFonts w:cs="Calibri"/>
        </w:rPr>
        <w:t xml:space="preserve"> [Alexander Weheliye; Associate Professor of African American Studies at Northwestern University; 2014; “Habeas Viscus: Racializing Assemblages, Biopolitics, and Black Feminist Theories of the Human”; LCA-BP]</w:t>
      </w:r>
    </w:p>
    <w:p w14:paraId="0F877E4B" w14:textId="77777777" w:rsidR="00DA2963" w:rsidRPr="00D976E6" w:rsidRDefault="00DA2963" w:rsidP="00DA2963">
      <w:pPr>
        <w:rPr>
          <w:rFonts w:cs="Calibri"/>
          <w:sz w:val="16"/>
        </w:rPr>
      </w:pPr>
      <w:r w:rsidRPr="00D976E6">
        <w:rPr>
          <w:rFonts w:cs="Calibri"/>
          <w:sz w:val="16"/>
        </w:rPr>
        <w:t xml:space="preserve">The poetics and politics that I have been discussing under the heading of </w:t>
      </w:r>
      <w:r w:rsidRPr="00D976E6">
        <w:rPr>
          <w:rStyle w:val="Heading3Char"/>
          <w:rFonts w:cs="Calibri"/>
        </w:rPr>
        <w:t>habeas viscus</w:t>
      </w:r>
      <w:r w:rsidRPr="00D976E6">
        <w:rPr>
          <w:rFonts w:cs="Calibri"/>
          <w:sz w:val="16"/>
        </w:rPr>
        <w:t xml:space="preserve"> or the flesh are </w:t>
      </w:r>
      <w:r w:rsidRPr="00D976E6">
        <w:rPr>
          <w:rStyle w:val="Heading3Char"/>
          <w:rFonts w:cs="Calibri"/>
        </w:rPr>
        <w:t>concerned not with inclusion</w:t>
      </w:r>
      <w:r w:rsidRPr="00D976E6">
        <w:rPr>
          <w:rFonts w:cs="Calibri"/>
          <w:sz w:val="16"/>
        </w:rPr>
        <w:t xml:space="preserve"> in reigning precincts of the status quo </w:t>
      </w:r>
      <w:r w:rsidRPr="00D976E6">
        <w:rPr>
          <w:rStyle w:val="Heading3Char"/>
          <w:rFonts w:cs="Calibri"/>
        </w:rPr>
        <w:t>but</w:t>
      </w:r>
      <w:r w:rsidRPr="00D976E6">
        <w:rPr>
          <w:rFonts w:cs="Calibri"/>
          <w:sz w:val="16"/>
        </w:rPr>
        <w:t xml:space="preserve">, in Cedric Robinson's apt phrasing, “the continuing development of </w:t>
      </w:r>
      <w:r w:rsidRPr="00D976E6">
        <w:rPr>
          <w:rStyle w:val="Heading3Char"/>
          <w:rFonts w:cs="Calibri"/>
        </w:rPr>
        <w:t xml:space="preserve">a collective consciousness </w:t>
      </w:r>
      <w:r w:rsidRPr="00D976E6">
        <w:rPr>
          <w:rFonts w:cs="Calibri"/>
          <w:sz w:val="16"/>
        </w:rPr>
        <w:t xml:space="preserve">informed by the historical struggles for liberation and </w:t>
      </w:r>
      <w:r w:rsidRPr="00D976E6">
        <w:rPr>
          <w:rStyle w:val="Heading3Char"/>
          <w:rFonts w:cs="Calibri"/>
        </w:rPr>
        <w:t xml:space="preserve">motivated by the shared sense of obligation </w:t>
      </w:r>
      <w:r w:rsidRPr="00D976E6">
        <w:rPr>
          <w:rStyle w:val="Heading3Char"/>
          <w:rFonts w:cs="Calibri"/>
          <w:sz w:val="12"/>
        </w:rPr>
        <w:t>to preserve</w:t>
      </w:r>
      <w:r w:rsidRPr="00D976E6">
        <w:rPr>
          <w:rFonts w:cs="Calibri"/>
          <w:sz w:val="12"/>
        </w:rPr>
        <w:t xml:space="preserve"> [and I would add also to reimagine] </w:t>
      </w:r>
      <w:r w:rsidRPr="00D976E6">
        <w:rPr>
          <w:rStyle w:val="Heading3Char"/>
          <w:rFonts w:cs="Calibri"/>
          <w:sz w:val="12"/>
        </w:rPr>
        <w:t>the collective being</w:t>
      </w:r>
      <w:r w:rsidRPr="00D976E6">
        <w:rPr>
          <w:rFonts w:cs="Calibri"/>
          <w:sz w:val="12"/>
        </w:rPr>
        <w:t>, the ontological totality.”31 Though the laws of Man place the flesh outside the ferocious and ravenous perimeters of the legal body</w:t>
      </w:r>
      <w:r w:rsidRPr="00D976E6">
        <w:rPr>
          <w:rFonts w:cs="Calibri"/>
          <w:sz w:val="16"/>
        </w:rPr>
        <w:t xml:space="preserve">, </w:t>
      </w:r>
      <w:r w:rsidRPr="00D976E6">
        <w:rPr>
          <w:rStyle w:val="Heading3Char"/>
          <w:rFonts w:cs="Calibri"/>
        </w:rPr>
        <w:t>habeas viscus defies domestication</w:t>
      </w:r>
      <w:r w:rsidRPr="00D976E6">
        <w:rPr>
          <w:rFonts w:cs="Calibri"/>
          <w:sz w:val="16"/>
        </w:rPr>
        <w:t xml:space="preserve"> both </w:t>
      </w:r>
      <w:r w:rsidRPr="00D976E6">
        <w:rPr>
          <w:rStyle w:val="Heading3Char"/>
          <w:rFonts w:cs="Calibri"/>
        </w:rPr>
        <w:t>on the basis of</w:t>
      </w:r>
      <w:r w:rsidRPr="00D976E6">
        <w:rPr>
          <w:rFonts w:cs="Calibri"/>
          <w:sz w:val="16"/>
        </w:rPr>
        <w:t xml:space="preserve"> particularized </w:t>
      </w:r>
      <w:r w:rsidRPr="00D976E6">
        <w:rPr>
          <w:rStyle w:val="Heading3Char"/>
          <w:rFonts w:cs="Calibri"/>
        </w:rPr>
        <w:t>personhood as a result of suffering</w:t>
      </w:r>
      <w:r w:rsidRPr="00D976E6">
        <w:rPr>
          <w:rFonts w:cs="Calibri"/>
          <w:sz w:val="16"/>
        </w:rPr>
        <w:t>, as in human rights discourse,</w:t>
      </w:r>
      <w:r w:rsidRPr="00D976E6">
        <w:rPr>
          <w:rStyle w:val="Heading3Char"/>
          <w:rFonts w:cs="Calibri"/>
        </w:rPr>
        <w:t xml:space="preserve"> and on the grounds of the</w:t>
      </w:r>
      <w:r w:rsidRPr="00D976E6">
        <w:rPr>
          <w:rFonts w:cs="Calibri"/>
          <w:sz w:val="16"/>
        </w:rPr>
        <w:t xml:space="preserve"> </w:t>
      </w:r>
      <w:r w:rsidRPr="00D976E6">
        <w:rPr>
          <w:rStyle w:val="Heading3Char"/>
          <w:rFonts w:cs="Calibri"/>
        </w:rPr>
        <w:t>universalized</w:t>
      </w:r>
      <w:r w:rsidRPr="00D976E6">
        <w:rPr>
          <w:rFonts w:cs="Calibri"/>
          <w:sz w:val="16"/>
        </w:rPr>
        <w:t xml:space="preserve"> version of </w:t>
      </w:r>
      <w:r w:rsidRPr="00D976E6">
        <w:rPr>
          <w:rStyle w:val="Heading3Char"/>
          <w:rFonts w:cs="Calibri"/>
        </w:rPr>
        <w:t xml:space="preserve">western Man. Rather, habeas viscus points to </w:t>
      </w:r>
      <w:r w:rsidRPr="00D976E6">
        <w:rPr>
          <w:rStyle w:val="Heading3Char"/>
          <w:rFonts w:cs="Calibri"/>
          <w:sz w:val="12"/>
        </w:rPr>
        <w:t>the terrain of</w:t>
      </w:r>
      <w:r w:rsidRPr="00D976E6">
        <w:rPr>
          <w:rStyle w:val="Heading3Char"/>
          <w:rFonts w:cs="Calibri"/>
        </w:rPr>
        <w:t xml:space="preserve"> humanity as a relational assemblage exterior to the</w:t>
      </w:r>
      <w:r w:rsidRPr="00D976E6">
        <w:rPr>
          <w:rFonts w:cs="Calibri"/>
          <w:sz w:val="16"/>
        </w:rPr>
        <w:t xml:space="preserve"> jurisdiction of </w:t>
      </w:r>
      <w:r w:rsidRPr="00D976E6">
        <w:rPr>
          <w:rStyle w:val="Heading3Char"/>
          <w:rFonts w:cs="Calibri"/>
        </w:rPr>
        <w:t>law</w:t>
      </w:r>
      <w:r w:rsidRPr="00D976E6">
        <w:rPr>
          <w:rFonts w:cs="Calibri"/>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 </w:t>
      </w:r>
      <w:r w:rsidRPr="00D976E6">
        <w:rPr>
          <w:rStyle w:val="Heading3Char"/>
          <w:rFonts w:cs="Calibri"/>
        </w:rPr>
        <w:t>it translates the hieroglyphics of the flesh into a potentiality in any and all things</w:t>
      </w:r>
      <w:r w:rsidRPr="00D976E6">
        <w:rPr>
          <w:rFonts w:cs="Calibri"/>
          <w:sz w:val="16"/>
        </w:rPr>
        <w:t xml:space="preserve">, 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itself/ourselves.”32 Claiming </w:t>
      </w:r>
      <w:r w:rsidRPr="00D976E6">
        <w:rPr>
          <w:rStyle w:val="Heading3Char"/>
          <w:rFonts w:cs="Calibri"/>
        </w:rPr>
        <w:t>and dwelling in the monstrosity of the flesh present some of the weapons in the guerrilla warfare</w:t>
      </w:r>
      <w:r w:rsidRPr="00D976E6">
        <w:rPr>
          <w:rFonts w:cs="Calibri"/>
          <w:sz w:val="16"/>
        </w:rPr>
        <w:t xml:space="preserve"> to “secure the full cognitive and behavioral autonomy of the human species,” </w:t>
      </w:r>
      <w:r w:rsidRPr="00D976E6">
        <w:rPr>
          <w:rStyle w:val="Heading3Char"/>
          <w:rFonts w:cs="Calibri"/>
        </w:rPr>
        <w:t xml:space="preserve">since these </w:t>
      </w:r>
      <w:r w:rsidRPr="00D976E6">
        <w:rPr>
          <w:rStyle w:val="Heading3Char"/>
          <w:rFonts w:cs="Calibri"/>
          <w:sz w:val="12"/>
        </w:rPr>
        <w:t>liberate</w:t>
      </w:r>
      <w:r w:rsidRPr="00D976E6">
        <w:rPr>
          <w:rFonts w:cs="Calibri"/>
          <w:sz w:val="16"/>
        </w:rPr>
        <w:t xml:space="preserve"> from captivity </w:t>
      </w:r>
      <w:r w:rsidRPr="00D976E6">
        <w:rPr>
          <w:rStyle w:val="Heading3Char"/>
          <w:rFonts w:cs="Calibri"/>
          <w:sz w:val="12"/>
        </w:rPr>
        <w:t>assemblages</w:t>
      </w:r>
      <w:r w:rsidRPr="00D976E6">
        <w:rPr>
          <w:rFonts w:cs="Calibri"/>
          <w:sz w:val="16"/>
        </w:rPr>
        <w:t xml:space="preserve"> of life, thought, and politics from the tradition of the oppressed and, as a result, </w:t>
      </w:r>
      <w:r w:rsidRPr="00D976E6">
        <w:rPr>
          <w:rStyle w:val="Heading3Char"/>
          <w:rFonts w:cs="Calibri"/>
        </w:rPr>
        <w:t xml:space="preserve">disfigure the centrality of Man as the sign for </w:t>
      </w:r>
      <w:r w:rsidRPr="00D976E6">
        <w:rPr>
          <w:rFonts w:cs="Calibri"/>
          <w:sz w:val="16"/>
        </w:rPr>
        <w:t xml:space="preserve">the </w:t>
      </w:r>
      <w:r w:rsidRPr="00D976E6">
        <w:rPr>
          <w:rStyle w:val="Heading3Char"/>
          <w:rFonts w:cs="Calibri"/>
        </w:rPr>
        <w:t>human</w:t>
      </w:r>
      <w:r w:rsidRPr="00D976E6">
        <w:rPr>
          <w:rFonts w:cs="Calibri"/>
          <w:sz w:val="16"/>
        </w:rPr>
        <w:t xml:space="preserve">. As an assemblage of humanity, </w:t>
      </w:r>
      <w:r w:rsidRPr="00D976E6">
        <w:rPr>
          <w:rStyle w:val="Heading3Char"/>
          <w:rFonts w:cs="Calibri"/>
        </w:rPr>
        <w:t xml:space="preserve">habeas viscus animates the elsewheres of Man and emancipates the true potentiality that rests in those </w:t>
      </w:r>
      <w:r w:rsidRPr="00D976E6">
        <w:rPr>
          <w:rStyle w:val="Heading3Char"/>
          <w:rFonts w:cs="Calibri"/>
        </w:rPr>
        <w:lastRenderedPageBreak/>
        <w:t>subjects who live behind the veil of the permanent state of exception</w:t>
      </w:r>
      <w:r w:rsidRPr="00D976E6">
        <w:rPr>
          <w:rFonts w:cs="Calibri"/>
          <w:sz w:val="16"/>
        </w:rPr>
        <w:t>: freedom; assemblages of freedom that sway to the temporality of new syncopated beginnings for the human beyond the world and continent of Man.</w:t>
      </w:r>
    </w:p>
    <w:p w14:paraId="5C04C94D" w14:textId="77777777" w:rsidR="00DA2963" w:rsidRDefault="00DA2963" w:rsidP="00DA2963">
      <w:pPr>
        <w:pStyle w:val="Heading2"/>
      </w:pPr>
      <w:r>
        <w:lastRenderedPageBreak/>
        <w:t>Case</w:t>
      </w:r>
    </w:p>
    <w:p w14:paraId="7F921E5C"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004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499"/>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A296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7E34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A2963"/>
    <w:pPr>
      <w:spacing w:after="160" w:line="259" w:lineRule="auto"/>
    </w:pPr>
  </w:style>
  <w:style w:type="paragraph" w:styleId="Heading1">
    <w:name w:val="heading 1"/>
    <w:aliases w:val="Pocket"/>
    <w:basedOn w:val="Normal"/>
    <w:next w:val="Normal"/>
    <w:link w:val="Heading1Char"/>
    <w:uiPriority w:val="9"/>
    <w:qFormat/>
    <w:rsid w:val="00DA29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29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DA29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DA29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29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2963"/>
  </w:style>
  <w:style w:type="character" w:customStyle="1" w:styleId="Heading1Char">
    <w:name w:val="Heading 1 Char"/>
    <w:aliases w:val="Pocket Char"/>
    <w:basedOn w:val="DefaultParagraphFont"/>
    <w:link w:val="Heading1"/>
    <w:uiPriority w:val="9"/>
    <w:rsid w:val="00DA2963"/>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DA2963"/>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A2963"/>
    <w:rPr>
      <w:rFonts w:eastAsiaTheme="majorEastAs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DA2963"/>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DA2963"/>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Bold Cite Char,Citation Char Char Char,ci,c"/>
    <w:basedOn w:val="DefaultParagraphFont"/>
    <w:uiPriority w:val="6"/>
    <w:qFormat/>
    <w:rsid w:val="00DA2963"/>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B"/>
    <w:basedOn w:val="DefaultParagraphFont"/>
    <w:link w:val="textbold"/>
    <w:uiPriority w:val="7"/>
    <w:qFormat/>
    <w:rsid w:val="00DA2963"/>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A2963"/>
    <w:rPr>
      <w:color w:val="auto"/>
      <w:u w:val="none"/>
    </w:rPr>
  </w:style>
  <w:style w:type="character" w:styleId="Hyperlink">
    <w:name w:val="Hyperlink"/>
    <w:basedOn w:val="DefaultParagraphFont"/>
    <w:uiPriority w:val="99"/>
    <w:semiHidden/>
    <w:unhideWhenUsed/>
    <w:rsid w:val="00DA2963"/>
    <w:rPr>
      <w:color w:val="auto"/>
      <w:u w:val="none"/>
    </w:rPr>
  </w:style>
  <w:style w:type="paragraph" w:styleId="DocumentMap">
    <w:name w:val="Document Map"/>
    <w:basedOn w:val="Normal"/>
    <w:link w:val="DocumentMapChar"/>
    <w:uiPriority w:val="99"/>
    <w:semiHidden/>
    <w:unhideWhenUsed/>
    <w:rsid w:val="00DA29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2963"/>
    <w:rPr>
      <w:rFonts w:ascii="Lucida Grande" w:hAnsi="Lucida Grande" w:cs="Lucida Grande"/>
      <w:sz w:val="24"/>
    </w:rPr>
  </w:style>
  <w:style w:type="paragraph" w:customStyle="1" w:styleId="textbold">
    <w:name w:val="text bold"/>
    <w:basedOn w:val="Normal"/>
    <w:link w:val="Emphasis"/>
    <w:uiPriority w:val="7"/>
    <w:qFormat/>
    <w:rsid w:val="00DA296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45954A-CCC5-7C49-A158-3F7C95F17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10</Pages>
  <Words>3948</Words>
  <Characters>22509</Characters>
  <Application>Microsoft Macintosh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26405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2</cp:revision>
  <dcterms:created xsi:type="dcterms:W3CDTF">2021-11-20T18:23:00Z</dcterms:created>
  <dcterms:modified xsi:type="dcterms:W3CDTF">2021-11-20T18:26:00Z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