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AABE27" w14:textId="758A6F9A" w:rsidR="00E42E4C" w:rsidRDefault="004C160F" w:rsidP="004C160F">
      <w:pPr>
        <w:pStyle w:val="Heading1"/>
      </w:pPr>
      <w:r>
        <w:t>1ac</w:t>
      </w:r>
    </w:p>
    <w:p w14:paraId="5E462308" w14:textId="43BAC0D3" w:rsidR="00C45332" w:rsidRDefault="00C45332" w:rsidP="00552172">
      <w:pPr>
        <w:pStyle w:val="Heading2"/>
      </w:pPr>
      <w:r>
        <w:t>1</w:t>
      </w:r>
      <w:r w:rsidRPr="00C45332">
        <w:rPr>
          <w:vertAlign w:val="superscript"/>
        </w:rPr>
        <w:t>st</w:t>
      </w:r>
      <w:r>
        <w:t xml:space="preserve"> </w:t>
      </w:r>
    </w:p>
    <w:p w14:paraId="5FC31F1A" w14:textId="77777777" w:rsidR="00C45332" w:rsidRDefault="00C45332" w:rsidP="00C45332">
      <w:pPr>
        <w:pStyle w:val="Heading4"/>
      </w:pPr>
      <w:r>
        <w:t>Interpretation – Debaters may not read extinction impacts, claim extinction has infinite magnitude and reasons why we should use epistemic modesty</w:t>
      </w:r>
    </w:p>
    <w:p w14:paraId="5B8D0E92" w14:textId="75941B76" w:rsidR="00C45332" w:rsidRDefault="00C45332" w:rsidP="00C45332">
      <w:pPr>
        <w:pStyle w:val="Heading4"/>
      </w:pPr>
      <w:r>
        <w:t xml:space="preserve">Violation – They read EM, an extinction impact, and their </w:t>
      </w:r>
      <w:proofErr w:type="spellStart"/>
      <w:r>
        <w:t>pummer</w:t>
      </w:r>
      <w:proofErr w:type="spellEnd"/>
      <w:r>
        <w:t xml:space="preserve"> 15 card says extinction has </w:t>
      </w:r>
      <w:proofErr w:type="spellStart"/>
      <w:r>
        <w:t>inf</w:t>
      </w:r>
      <w:proofErr w:type="spellEnd"/>
      <w:r>
        <w:t xml:space="preserve"> magnitude </w:t>
      </w:r>
    </w:p>
    <w:p w14:paraId="4D74E6FB" w14:textId="77777777" w:rsidR="00C45332" w:rsidRDefault="00C45332" w:rsidP="00C45332">
      <w:pPr>
        <w:pStyle w:val="Heading4"/>
      </w:pPr>
      <w:r>
        <w:t>Standards:</w:t>
      </w:r>
    </w:p>
    <w:p w14:paraId="18CE1343" w14:textId="77777777" w:rsidR="00C45332" w:rsidRDefault="00C45332" w:rsidP="00C45332">
      <w:pPr>
        <w:pStyle w:val="Heading4"/>
      </w:pPr>
      <w:r>
        <w:t>1. Infinite abuse – means you’ll always win since you’ll just assert extinction has infinite magnitude and win under EM, that links back to fairness and also kills clash since you’ll just go all in on extinction and EM and pay minimal attention to other layers</w:t>
      </w:r>
    </w:p>
    <w:p w14:paraId="34C5B048" w14:textId="77777777" w:rsidR="00C45332" w:rsidRDefault="00C45332" w:rsidP="00C45332">
      <w:pPr>
        <w:pStyle w:val="Heading4"/>
      </w:pPr>
      <w:r>
        <w:t xml:space="preserve">2. Philosophical education – </w:t>
      </w:r>
      <w:r w:rsidRPr="00CC5C01">
        <w:t xml:space="preserve">kills </w:t>
      </w:r>
      <w:proofErr w:type="spellStart"/>
      <w:r w:rsidRPr="00CC5C01">
        <w:t>phil</w:t>
      </w:r>
      <w:proofErr w:type="spellEnd"/>
      <w:r w:rsidRPr="00CC5C01">
        <w:t xml:space="preserve"> </w:t>
      </w:r>
      <w:proofErr w:type="spellStart"/>
      <w:r w:rsidRPr="00CC5C01">
        <w:t>ed</w:t>
      </w:r>
      <w:proofErr w:type="spellEnd"/>
      <w:r w:rsidRPr="00CC5C01">
        <w:t xml:space="preserve"> by </w:t>
      </w:r>
      <w:r>
        <w:t xml:space="preserve">letting you win with low risk extinction claims that outweigh infinitely under some </w:t>
      </w:r>
      <w:proofErr w:type="spellStart"/>
      <w:r>
        <w:t>probabilityxmagnitude</w:t>
      </w:r>
      <w:proofErr w:type="spellEnd"/>
      <w:r>
        <w:t xml:space="preserve"> framing and getting out of the fra</w:t>
      </w:r>
      <w:bookmarkStart w:id="0" w:name="_GoBack"/>
      <w:bookmarkEnd w:id="0"/>
      <w:r>
        <w:t xml:space="preserve">mework debate </w:t>
      </w:r>
      <w:r w:rsidRPr="00CC5C01">
        <w:t xml:space="preserve">when we are supposed to be learning about and debating philosophy. That’s an independent voter </w:t>
      </w:r>
      <w:r>
        <w:t xml:space="preserve">because </w:t>
      </w:r>
      <w:proofErr w:type="spellStart"/>
      <w:r>
        <w:t>phil</w:t>
      </w:r>
      <w:proofErr w:type="spellEnd"/>
      <w:r>
        <w:t xml:space="preserve"> </w:t>
      </w:r>
      <w:proofErr w:type="spellStart"/>
      <w:r>
        <w:t>ed</w:t>
      </w:r>
      <w:proofErr w:type="spellEnd"/>
      <w:r>
        <w:t xml:space="preserve"> is constitutive to LD Debate </w:t>
      </w:r>
      <w:r w:rsidRPr="00CC5C01">
        <w:t xml:space="preserve">and controls the internal link to other voters because we need a concept of </w:t>
      </w:r>
      <w:proofErr w:type="spellStart"/>
      <w:r w:rsidRPr="00CC5C01">
        <w:t>noramtivity</w:t>
      </w:r>
      <w:proofErr w:type="spellEnd"/>
      <w:r w:rsidRPr="00CC5C01">
        <w:t xml:space="preserve"> to even care about fairness or education.</w:t>
      </w:r>
    </w:p>
    <w:p w14:paraId="1F0883D0" w14:textId="6A90D44F" w:rsidR="00C45332" w:rsidRDefault="00C45332" w:rsidP="00C45332">
      <w:pPr>
        <w:pStyle w:val="Heading4"/>
      </w:pPr>
      <w:r>
        <w:t xml:space="preserve">Fairness is a voter </w:t>
      </w:r>
    </w:p>
    <w:p w14:paraId="63ABAAB4" w14:textId="77777777" w:rsidR="00C45332" w:rsidRPr="00CA653C" w:rsidRDefault="00C45332" w:rsidP="00C45332">
      <w:proofErr w:type="spellStart"/>
      <w:r>
        <w:t>Neg</w:t>
      </w:r>
      <w:proofErr w:type="spellEnd"/>
      <w:r>
        <w:t xml:space="preserve"> theory outweighs </w:t>
      </w:r>
    </w:p>
    <w:p w14:paraId="4BC0ABC8" w14:textId="77777777" w:rsidR="00C45332" w:rsidRDefault="00C45332" w:rsidP="00C45332">
      <w:pPr>
        <w:pStyle w:val="Heading4"/>
      </w:pPr>
      <w:r>
        <w:t xml:space="preserve">DTD, </w:t>
      </w:r>
      <w:r w:rsidRPr="00A02274">
        <w:t>1. Deterrence – Prevents reading the abusive practice in the future since it’s not worth risking the loss which is k2 norm setting indefensible practices die out 2. TS – Otherwise you’ll read a bunch of abusive practices for the time trade off 3. Epistemic Skew – The round has already been skewed so it’s impossible to evaluate the rest of the flow</w:t>
      </w:r>
    </w:p>
    <w:p w14:paraId="398B032E" w14:textId="77777777" w:rsidR="00C45332" w:rsidRDefault="00C45332" w:rsidP="00C45332">
      <w:pPr>
        <w:pStyle w:val="Heading4"/>
      </w:pPr>
      <w:r>
        <w:t>No RVIs, a] baiting, b] norming: justifies you dumping on the shell for 7 min in the 1ar and 2ar but a 7 min 1n shell is impossible</w:t>
      </w:r>
    </w:p>
    <w:p w14:paraId="2505C84A" w14:textId="3416D25C" w:rsidR="00C45332" w:rsidRDefault="00C45332" w:rsidP="00C45332">
      <w:pPr>
        <w:pStyle w:val="Heading4"/>
      </w:pPr>
      <w:r>
        <w:t xml:space="preserve">CI &gt; reasonability, </w:t>
      </w:r>
      <w:r w:rsidRPr="001F4B3E">
        <w:rPr>
          <w:rStyle w:val="Style13ptBold"/>
        </w:rPr>
        <w:t xml:space="preserve">1] </w:t>
      </w:r>
      <w:r>
        <w:rPr>
          <w:rStyle w:val="Style13ptBold"/>
        </w:rPr>
        <w:t>reasonability is arbitrary and judge intervention, 2] reasonability encourages a race to the bottom</w:t>
      </w:r>
    </w:p>
    <w:p w14:paraId="69E18AC8" w14:textId="77777777" w:rsidR="00C45332" w:rsidRPr="00D25327" w:rsidRDefault="00C45332" w:rsidP="00C45332">
      <w:pPr>
        <w:pStyle w:val="Heading4"/>
      </w:pPr>
      <w:r>
        <w:t>No cross-apps, overviews,</w:t>
      </w:r>
      <w:r w:rsidRPr="00D25327">
        <w:t xml:space="preserve"> meta theory</w:t>
      </w:r>
      <w:r>
        <w:t>, or 1AR theory</w:t>
      </w:r>
      <w:r w:rsidRPr="00D25327">
        <w:t xml:space="preserve"> – make them win the CI </w:t>
      </w:r>
      <w:proofErr w:type="gramStart"/>
      <w:r w:rsidRPr="00D25327">
        <w:t>cause</w:t>
      </w:r>
      <w:proofErr w:type="gramEnd"/>
      <w:r w:rsidRPr="00D25327">
        <w:t xml:space="preserve"> they know they’re abusive and have to read </w:t>
      </w:r>
      <w:proofErr w:type="spellStart"/>
      <w:r w:rsidRPr="00D25327">
        <w:t>takeouts</w:t>
      </w:r>
      <w:proofErr w:type="spellEnd"/>
      <w:r w:rsidRPr="00D25327">
        <w:t xml:space="preserve"> to theory to win when called out, anything else recreates their abuse and assumes it was justified in the first place since they just try to commit more abuse to take out the shell</w:t>
      </w:r>
    </w:p>
    <w:p w14:paraId="6E842D1A" w14:textId="77777777" w:rsidR="00C45332" w:rsidRPr="00C45332" w:rsidRDefault="00C45332" w:rsidP="00C45332"/>
    <w:p w14:paraId="33890F9B" w14:textId="184A6F91" w:rsidR="00552172" w:rsidRPr="00552172" w:rsidRDefault="00552172" w:rsidP="00552172">
      <w:pPr>
        <w:rPr>
          <w:b/>
          <w:sz w:val="26"/>
        </w:rPr>
      </w:pPr>
      <w:r>
        <w:rPr>
          <w:rStyle w:val="Style13ptBold"/>
        </w:rPr>
        <w:t xml:space="preserve"> </w:t>
      </w:r>
    </w:p>
    <w:p w14:paraId="18EE07E3" w14:textId="7EB13D9E" w:rsidR="00552172" w:rsidRDefault="00552172" w:rsidP="00552172">
      <w:pPr>
        <w:pStyle w:val="Heading2"/>
      </w:pPr>
      <w:r>
        <w:t>2</w:t>
      </w:r>
      <w:r w:rsidRPr="00552172">
        <w:rPr>
          <w:vertAlign w:val="superscript"/>
        </w:rPr>
        <w:t>nd</w:t>
      </w:r>
      <w:r>
        <w:t xml:space="preserve"> </w:t>
      </w:r>
    </w:p>
    <w:p w14:paraId="2EDB7C51" w14:textId="77777777" w:rsidR="00552172" w:rsidRPr="00D976E6" w:rsidRDefault="00552172" w:rsidP="00552172">
      <w:pPr>
        <w:pStyle w:val="Heading4"/>
      </w:pPr>
      <w:r w:rsidRPr="00D976E6">
        <w:rPr>
          <w:u w:val="single"/>
        </w:rPr>
        <w:t>The subject is fundamentally unstable</w:t>
      </w:r>
      <w:r w:rsidRPr="00D976E6">
        <w:t xml:space="preserve">: being is in flux due to things such as time, I am not the same </w:t>
      </w:r>
      <w:r>
        <w:t>person</w:t>
      </w:r>
      <w:r w:rsidRPr="00D976E6">
        <w:t xml:space="preserve"> that I was 10 years ago, which proves personal evolution. </w:t>
      </w:r>
    </w:p>
    <w:p w14:paraId="353CFF27" w14:textId="77777777" w:rsidR="00552172" w:rsidRPr="00D976E6" w:rsidRDefault="00552172" w:rsidP="00552172">
      <w:pPr>
        <w:pStyle w:val="Heading4"/>
      </w:pPr>
      <w:r w:rsidRPr="00D976E6">
        <w:rPr>
          <w:u w:val="single"/>
        </w:rPr>
        <w:t>Affect is constitutive</w:t>
      </w:r>
      <w:r w:rsidRPr="00D976E6">
        <w:t xml:space="preserve">: it is the capacity to experience and to be experienced. I am experiencing my laptop, my opponent, just as much as you are experiencing me. There is no way any person or thing can escape affection. </w:t>
      </w:r>
    </w:p>
    <w:p w14:paraId="001538D7" w14:textId="77777777" w:rsidR="00552172" w:rsidRPr="00D976E6" w:rsidRDefault="00552172" w:rsidP="00552172">
      <w:pPr>
        <w:pStyle w:val="Heading4"/>
      </w:pPr>
      <w:r w:rsidRPr="00D976E6">
        <w:rPr>
          <w:u w:val="single"/>
        </w:rPr>
        <w:t>Fluidity determines the subject</w:t>
      </w:r>
      <w:r w:rsidRPr="00D976E6">
        <w:t>: because affect and instability ensure that subjects always change, the only intrinsic feature of the subject is that everything remains in flux. Emphasis on particular aspects of subjectivity only drives division in the proletariat.</w:t>
      </w:r>
    </w:p>
    <w:p w14:paraId="74C22322" w14:textId="77777777" w:rsidR="00552172" w:rsidRPr="00D976E6" w:rsidRDefault="00552172" w:rsidP="00552172">
      <w:pPr>
        <w:rPr>
          <w:sz w:val="16"/>
        </w:rPr>
      </w:pPr>
    </w:p>
    <w:p w14:paraId="56CAC044" w14:textId="77777777" w:rsidR="00552172" w:rsidRPr="00D976E6" w:rsidRDefault="00552172" w:rsidP="00552172">
      <w:pPr>
        <w:pStyle w:val="Heading4"/>
        <w:rPr>
          <w:rFonts w:cs="Calibri"/>
        </w:rPr>
      </w:pPr>
      <w:r w:rsidRPr="00D976E6">
        <w:rPr>
          <w:rFonts w:cs="Calibri"/>
        </w:rPr>
        <w:t>Subjects are gridded against the legal system to be surveilled by the state, which mandates a precondition to rights: are you oppressed enough to deserve equality? Even when the state affirms the rights of white, cis, wealthy gay men, it oppresses gender nonconforming, indigenous, queers. Thus, the role of the ballot is to deconstruct western Man.</w:t>
      </w:r>
    </w:p>
    <w:p w14:paraId="3B3EE6B7" w14:textId="77777777" w:rsidR="00552172" w:rsidRPr="00D976E6" w:rsidRDefault="00552172" w:rsidP="00552172">
      <w:pPr>
        <w:rPr>
          <w:rFonts w:cs="Calibri"/>
        </w:rPr>
      </w:pPr>
      <w:proofErr w:type="spellStart"/>
      <w:r w:rsidRPr="00D976E6">
        <w:rPr>
          <w:rStyle w:val="Style13ptBold"/>
          <w:rFonts w:cs="Calibri"/>
        </w:rPr>
        <w:t>Weheliye</w:t>
      </w:r>
      <w:proofErr w:type="spellEnd"/>
      <w:r w:rsidRPr="00D976E6">
        <w:rPr>
          <w:rStyle w:val="Style13ptBold"/>
          <w:rFonts w:cs="Calibri"/>
        </w:rPr>
        <w:t xml:space="preserve"> 2</w:t>
      </w:r>
      <w:r w:rsidRPr="00D976E6">
        <w:rPr>
          <w:rFonts w:cs="Calibri"/>
        </w:rPr>
        <w:t xml:space="preserve"> [Alexander </w:t>
      </w:r>
      <w:proofErr w:type="spellStart"/>
      <w:r w:rsidRPr="00D976E6">
        <w:rPr>
          <w:rFonts w:cs="Calibri"/>
        </w:rPr>
        <w:t>Weheliye</w:t>
      </w:r>
      <w:proofErr w:type="spellEnd"/>
      <w:r w:rsidRPr="00D976E6">
        <w:rPr>
          <w:rFonts w:cs="Calibri"/>
        </w:rPr>
        <w:t xml:space="preserve">; Associate Professor of African American Studies at Northwestern University; 2014; “Habeas Viscus: Racializing Assemblages, </w:t>
      </w:r>
      <w:proofErr w:type="spellStart"/>
      <w:r w:rsidRPr="00D976E6">
        <w:rPr>
          <w:rFonts w:cs="Calibri"/>
        </w:rPr>
        <w:t>Biopolitics</w:t>
      </w:r>
      <w:proofErr w:type="spellEnd"/>
      <w:r w:rsidRPr="00D976E6">
        <w:rPr>
          <w:rFonts w:cs="Calibri"/>
        </w:rPr>
        <w:t xml:space="preserve">, and Black Feminist Theories of the Human”; LCA-BP] *brackets for gendered </w:t>
      </w:r>
      <w:proofErr w:type="spellStart"/>
      <w:r w:rsidRPr="00D976E6">
        <w:rPr>
          <w:rFonts w:cs="Calibri"/>
        </w:rPr>
        <w:t>lang</w:t>
      </w:r>
      <w:proofErr w:type="spellEnd"/>
    </w:p>
    <w:p w14:paraId="7725D78A" w14:textId="77777777" w:rsidR="00552172" w:rsidRPr="00D976E6" w:rsidRDefault="00552172" w:rsidP="00552172">
      <w:pPr>
        <w:rPr>
          <w:rFonts w:cs="Calibri"/>
          <w:sz w:val="14"/>
        </w:rPr>
      </w:pPr>
      <w:r w:rsidRPr="00D976E6">
        <w:rPr>
          <w:rFonts w:cs="Calibri"/>
          <w:sz w:val="14"/>
        </w:rPr>
        <w:t xml:space="preserve">Even more generally, the acknowledgment and granting of full personhood of those excluded from its precincts requires the overcoming of physical violence, while epistemic and economic brutalities remain outside the scope of the law. Congruently, much of the politics constructed around the effects of political violence, especially within the context of international human rights but also with regard to minority politics in the United States, is constructed from the shaky foundation of surmounting or desiring to leave behind physical suffering so as to take on the ghostly semblance of possessing one's personhood. Then and only then will previously </w:t>
      </w:r>
      <w:proofErr w:type="spellStart"/>
      <w:r w:rsidRPr="00D976E6">
        <w:rPr>
          <w:rFonts w:cs="Calibri"/>
          <w:sz w:val="14"/>
        </w:rPr>
        <w:t>minoritized</w:t>
      </w:r>
      <w:proofErr w:type="spellEnd"/>
      <w:r w:rsidRPr="00D976E6">
        <w:rPr>
          <w:rFonts w:cs="Calibri"/>
          <w:sz w:val="14"/>
        </w:rPr>
        <w:t xml:space="preserve"> subjects be granted their humanity as a legal status. Hence, </w:t>
      </w:r>
      <w:r w:rsidRPr="00D976E6">
        <w:rPr>
          <w:rStyle w:val="Heading3Char"/>
          <w:rFonts w:cs="Calibri"/>
        </w:rPr>
        <w:t>the glitch</w:t>
      </w:r>
      <w:r w:rsidRPr="00D976E6">
        <w:rPr>
          <w:rFonts w:cs="Calibri"/>
          <w:sz w:val="14"/>
        </w:rPr>
        <w:t xml:space="preserve"> Brown diagnoses </w:t>
      </w:r>
      <w:r w:rsidRPr="00D976E6">
        <w:rPr>
          <w:rStyle w:val="Heading3Char"/>
          <w:rFonts w:cs="Calibri"/>
        </w:rPr>
        <w:t>in identity politics is less a product of the minority subject's desire to</w:t>
      </w:r>
      <w:r w:rsidRPr="00D976E6">
        <w:rPr>
          <w:rFonts w:cs="Calibri"/>
          <w:sz w:val="14"/>
        </w:rPr>
        <w:t xml:space="preserve"> desperately </w:t>
      </w:r>
      <w:r w:rsidRPr="00D976E6">
        <w:rPr>
          <w:rStyle w:val="Heading3Char"/>
          <w:rFonts w:cs="Calibri"/>
        </w:rPr>
        <w:t>cling</w:t>
      </w:r>
      <w:r w:rsidRPr="00D976E6">
        <w:rPr>
          <w:rFonts w:cs="Calibri"/>
          <w:sz w:val="14"/>
        </w:rPr>
        <w:t xml:space="preserve"> </w:t>
      </w:r>
      <w:r w:rsidRPr="00D976E6">
        <w:rPr>
          <w:rStyle w:val="Heading3Char"/>
          <w:rFonts w:cs="Calibri"/>
        </w:rPr>
        <w:t>to</w:t>
      </w:r>
      <w:r w:rsidRPr="00D976E6">
        <w:rPr>
          <w:rFonts w:cs="Calibri"/>
          <w:sz w:val="14"/>
        </w:rPr>
        <w:t xml:space="preserve"> his or her </w:t>
      </w:r>
      <w:r w:rsidRPr="00D976E6">
        <w:rPr>
          <w:rStyle w:val="Heading3Char"/>
          <w:rFonts w:cs="Calibri"/>
        </w:rPr>
        <w:t>[their] pain but a consequence of the state's dogged insistence on suffering as the only price of entry to proper personhood</w:t>
      </w:r>
      <w:r w:rsidRPr="00D976E6">
        <w:rPr>
          <w:rFonts w:cs="Calibri"/>
          <w:sz w:val="14"/>
        </w:rPr>
        <w:t xml:space="preserve">, what </w:t>
      </w:r>
      <w:proofErr w:type="spellStart"/>
      <w:r w:rsidRPr="00D976E6">
        <w:rPr>
          <w:rFonts w:cs="Calibri"/>
          <w:sz w:val="14"/>
        </w:rPr>
        <w:t>Samera</w:t>
      </w:r>
      <w:proofErr w:type="spellEnd"/>
      <w:r w:rsidRPr="00D976E6">
        <w:rPr>
          <w:rFonts w:cs="Calibri"/>
          <w:sz w:val="14"/>
        </w:rPr>
        <w:t xml:space="preserve"> </w:t>
      </w:r>
      <w:proofErr w:type="spellStart"/>
      <w:r w:rsidRPr="00D976E6">
        <w:rPr>
          <w:rFonts w:cs="Calibri"/>
          <w:sz w:val="14"/>
        </w:rPr>
        <w:t>Esmeir</w:t>
      </w:r>
      <w:proofErr w:type="spellEnd"/>
      <w:r w:rsidRPr="00D976E6">
        <w:rPr>
          <w:rFonts w:cs="Calibri"/>
          <w:sz w:val="14"/>
        </w:rPr>
        <w:t xml:space="preserve"> has referred to as a “juridical humanity” that bestows and rescinds humanity as an individualized legal status in the vein of property.5 Apportioning personhood in this way maintains the world of Man and its attendant racializing assemblages, which means in essence that the entry fee for legal recognition is the acceptance of categories based on white supremacy and colonialism, as well as normative genders and sexualities. We need only to consult the history of habeas corpus, the “great” writ of liberty, which is anchored in the U.S. Constitution (Article 1, Section 9), to see that this type of reasoning leads to reducing inclusion and personhood to ownership.6 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has been used both by and frequently against racialized groups throughout U.S. history, as was the case when habeas corpus was suspended during World War II, allowing for the internment of Japanese Americans. The writ has also led to gains for </w:t>
      </w:r>
      <w:proofErr w:type="spellStart"/>
      <w:r w:rsidRPr="00D976E6">
        <w:rPr>
          <w:rFonts w:cs="Calibri"/>
          <w:sz w:val="14"/>
        </w:rPr>
        <w:t>minoritized</w:t>
      </w:r>
      <w:proofErr w:type="spellEnd"/>
      <w:r w:rsidRPr="00D976E6">
        <w:rPr>
          <w:rFonts w:cs="Calibri"/>
          <w:sz w:val="14"/>
        </w:rPr>
        <w:t xml:space="preserve">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1924.7 Nevertheless, the benefits accrued through the juridical acknowledgment of racialized subjects as fully human often exacts a steep entry price, because </w:t>
      </w:r>
      <w:r w:rsidRPr="00D976E6">
        <w:rPr>
          <w:rStyle w:val="Heading3Char"/>
          <w:rFonts w:cs="Calibri"/>
        </w:rPr>
        <w:t xml:space="preserve">inclusion hinges on </w:t>
      </w:r>
      <w:r w:rsidRPr="00D976E6">
        <w:rPr>
          <w:rStyle w:val="Heading3Char"/>
          <w:rFonts w:cs="Calibri"/>
          <w:sz w:val="12"/>
        </w:rPr>
        <w:t>accepting</w:t>
      </w:r>
      <w:r w:rsidRPr="00D976E6">
        <w:rPr>
          <w:rStyle w:val="Heading3Char"/>
          <w:rFonts w:cs="Calibri"/>
        </w:rPr>
        <w:t xml:space="preserve"> the codification of personhood as property, which is, </w:t>
      </w:r>
      <w:r w:rsidRPr="00D976E6">
        <w:rPr>
          <w:rStyle w:val="Heading3Char"/>
          <w:rFonts w:cs="Calibri"/>
          <w:sz w:val="12"/>
        </w:rPr>
        <w:t>in turn,</w:t>
      </w:r>
      <w:r w:rsidRPr="00D976E6">
        <w:rPr>
          <w:rStyle w:val="Heading3Char"/>
          <w:rFonts w:cs="Calibri"/>
        </w:rPr>
        <w:t xml:space="preserve"> based on the comparative distinction between groups</w:t>
      </w:r>
      <w:r w:rsidRPr="00D976E6">
        <w:rPr>
          <w:rStyle w:val="Heading3Char"/>
          <w:rFonts w:cs="Calibri"/>
          <w:sz w:val="12"/>
        </w:rPr>
        <w:t>, as in</w:t>
      </w:r>
      <w:r w:rsidRPr="00D976E6">
        <w:rPr>
          <w:rFonts w:cs="Calibri"/>
          <w:sz w:val="14"/>
        </w:rPr>
        <w:t xml:space="preserve"> one of the best-known court cases in U.S. history: the Dred Scott case. In 1857, the Supreme Court invalidated Dred Scott's habeas corpus,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Taney's opinion in the decision contrasts the status of black subjects with the legal position of Native Americans vis-a-vis the possibility of U.S. citizenship and personhood: “The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people.”9 While slaves were not accorded the status of being humans that belonged to a different nation, Indians could theoretically overcome their lawful foreignness, but only if they renounced previous forms of personhood and citizenship. Hence, the tabula rasa of whiteness—which all groups but blacks can access—serves as the prerequisite for the law's magical transubstantiation of a thing to be possessed into a property-owning subject.10 The judge's comparison underscores the dangers of ceding definitions of personhood to the law and of comparing different forms of political subjugation, since hypothetical Indian personhood in the law rests on attaining whiteness and the violent denial of said status to black subjects. Additionally, while the court conceded limited capabilities of personhood to indigenous subjects if they chose to convert to whiteness, it did not prevent the U.S. government from instituting various genocidal measures to ensure that American Indians would become white and therefore no longer exist as Indians. In other words, </w:t>
      </w:r>
      <w:r w:rsidRPr="00D976E6">
        <w:rPr>
          <w:rStyle w:val="Heading3Char"/>
          <w:rFonts w:cs="Calibri"/>
          <w:sz w:val="12"/>
        </w:rPr>
        <w:t>the legal conception of personhood comes with a steep price</w:t>
      </w:r>
      <w:r w:rsidRPr="00D976E6">
        <w:rPr>
          <w:rFonts w:cs="Calibri"/>
          <w:sz w:val="14"/>
        </w:rPr>
        <w:t xml:space="preserve">, as in this instance where being </w:t>
      </w:r>
      <w:r w:rsidRPr="00D976E6">
        <w:rPr>
          <w:rStyle w:val="Heading3Char"/>
          <w:rFonts w:cs="Calibri"/>
          <w:sz w:val="12"/>
        </w:rPr>
        <w:t>seemingly granted rights laid the groundwork for the U.S. government's genocidal policies against Native Americans</w:t>
      </w:r>
      <w:r w:rsidRPr="00D976E6">
        <w:rPr>
          <w:rFonts w:cs="Calibri"/>
          <w:sz w:val="14"/>
        </w:rPr>
        <w:t xml:space="preserve">, </w:t>
      </w:r>
      <w:r w:rsidRPr="00D976E6">
        <w:rPr>
          <w:rStyle w:val="Heading3Char"/>
          <w:rFonts w:cs="Calibri"/>
          <w:sz w:val="12"/>
        </w:rPr>
        <w:t>since</w:t>
      </w:r>
      <w:r w:rsidRPr="00D976E6">
        <w:rPr>
          <w:rFonts w:cs="Calibri"/>
          <w:sz w:val="14"/>
        </w:rPr>
        <w:t xml:space="preserve"> the “racialization of indigenous peoples, especially through the use of </w:t>
      </w:r>
      <w:r w:rsidRPr="00D976E6">
        <w:rPr>
          <w:rStyle w:val="Heading3Char"/>
          <w:rFonts w:cs="Calibri"/>
          <w:sz w:val="12"/>
        </w:rPr>
        <w:t>blood quantum classification</w:t>
      </w:r>
      <w:r w:rsidRPr="00D976E6">
        <w:rPr>
          <w:rFonts w:cs="Calibri"/>
          <w:sz w:val="14"/>
        </w:rPr>
        <w:t xml:space="preserve">, in particular </w:t>
      </w:r>
      <w:r w:rsidRPr="00D976E6">
        <w:rPr>
          <w:rStyle w:val="Heading3Char"/>
          <w:rFonts w:cs="Calibri"/>
          <w:sz w:val="12"/>
        </w:rPr>
        <w:t>follows...‘genocidal logic,’ rather than simply a logic of</w:t>
      </w:r>
      <w:r w:rsidRPr="00D976E6">
        <w:rPr>
          <w:rFonts w:cs="Calibri"/>
          <w:sz w:val="14"/>
        </w:rPr>
        <w:t xml:space="preserve"> subordination or </w:t>
      </w:r>
      <w:r w:rsidRPr="00D976E6">
        <w:rPr>
          <w:rStyle w:val="Heading3Char"/>
          <w:rFonts w:cs="Calibri"/>
          <w:sz w:val="12"/>
        </w:rPr>
        <w:t>discrimination</w:t>
      </w:r>
      <w:r w:rsidRPr="00D976E6">
        <w:rPr>
          <w:rFonts w:cs="Calibri"/>
          <w:sz w:val="14"/>
        </w:rPr>
        <w:t xml:space="preserve">,” and as a result “whiteness constitutes a project of disappearance for Native peoples rather than signifying privilege.”11 Beginning in the nineteenth century the U.S. government instituted a program in which Native American children were forcibly removed from their families and placed in Christian day and </w:t>
      </w:r>
      <w:r w:rsidRPr="00D976E6">
        <w:rPr>
          <w:rStyle w:val="Heading3Char"/>
          <w:rFonts w:cs="Calibri"/>
          <w:sz w:val="12"/>
        </w:rPr>
        <w:t>boarding schools</w:t>
      </w:r>
      <w:r w:rsidRPr="00D976E6">
        <w:rPr>
          <w:rFonts w:cs="Calibri"/>
          <w:sz w:val="12"/>
        </w:rPr>
        <w:t xml:space="preserve">, and which sought to civilize children by “killing the Indian to save the man,” </w:t>
      </w:r>
      <w:r w:rsidRPr="00D976E6">
        <w:rPr>
          <w:rStyle w:val="Heading3Char"/>
          <w:rFonts w:cs="Calibri"/>
          <w:sz w:val="12"/>
        </w:rPr>
        <w:t>represent</w:t>
      </w:r>
      <w:r w:rsidRPr="00D976E6">
        <w:rPr>
          <w:rFonts w:cs="Calibri"/>
          <w:sz w:val="12"/>
        </w:rPr>
        <w:t xml:space="preserve">ing </w:t>
      </w:r>
      <w:r w:rsidRPr="00D976E6">
        <w:rPr>
          <w:rStyle w:val="Heading3Char"/>
          <w:rFonts w:cs="Calibri"/>
          <w:sz w:val="12"/>
        </w:rPr>
        <w:t>one of the most significant examples of the violent and legal enforced assimilation of Native Americans</w:t>
      </w:r>
      <w:r w:rsidRPr="00D976E6">
        <w:rPr>
          <w:rFonts w:cs="Calibri"/>
          <w:sz w:val="12"/>
        </w:rPr>
        <w:t xml:space="preserve"> into U.S. whiteness.12 Though there is no clear causal relationship between Taney's arguments in the Scott decision and the boarding school initiative, </w:t>
      </w:r>
      <w:r w:rsidRPr="00D976E6">
        <w:rPr>
          <w:rStyle w:val="Heading3Char"/>
          <w:rFonts w:cs="Calibri"/>
          <w:sz w:val="12"/>
        </w:rPr>
        <w:t>both establish</w:t>
      </w:r>
      <w:r w:rsidRPr="00D976E6">
        <w:rPr>
          <w:rFonts w:cs="Calibri"/>
          <w:sz w:val="12"/>
        </w:rPr>
        <w:t xml:space="preserve"> that </w:t>
      </w:r>
      <w:r w:rsidRPr="00D976E6">
        <w:rPr>
          <w:rStyle w:val="Heading3Char"/>
          <w:rFonts w:cs="Calibri"/>
          <w:sz w:val="12"/>
        </w:rPr>
        <w:t>legal personhood is available to indigenous subjects only if the Indian can be killed</w:t>
      </w:r>
      <w:r w:rsidRPr="00D976E6">
        <w:rPr>
          <w:rFonts w:cs="Calibri"/>
          <w:sz w:val="12"/>
        </w:rPr>
        <w:t>—either literally or figuratively—</w:t>
      </w:r>
      <w:r w:rsidRPr="00D976E6">
        <w:rPr>
          <w:rStyle w:val="Heading3Char"/>
          <w:rFonts w:cs="Calibri"/>
          <w:sz w:val="12"/>
        </w:rPr>
        <w:t>in order to save the world of Man</w:t>
      </w:r>
      <w:r w:rsidRPr="00D976E6">
        <w:rPr>
          <w:rFonts w:cs="Calibri"/>
          <w:sz w:val="12"/>
        </w:rPr>
        <w:t xml:space="preserve"> </w:t>
      </w:r>
      <w:r w:rsidRPr="00D976E6">
        <w:rPr>
          <w:rStyle w:val="Heading3Char"/>
          <w:rFonts w:cs="Calibri"/>
          <w:sz w:val="12"/>
        </w:rPr>
        <w:t>(in this case settler colonialism and white supremacy)</w:t>
      </w:r>
      <w:r w:rsidRPr="00D976E6">
        <w:rPr>
          <w:rFonts w:cs="Calibri"/>
          <w:sz w:val="12"/>
        </w:rPr>
        <w:t>. Furthermore, the denial of personhood qua whiteness to African American subjects does not stand in opposition to the genocidal wages of whiteness bequeathed to indigenous subjects but rather represents different properties of the same racializing juridical assemblage that differentially produces both black and native subjects as aberrations from Man and thus not-quite-human.</w:t>
      </w:r>
      <w:r w:rsidRPr="00D976E6">
        <w:rPr>
          <w:rFonts w:cs="Calibri"/>
          <w:sz w:val="14"/>
        </w:rPr>
        <w:t xml:space="preserve"> </w:t>
      </w:r>
      <w:r w:rsidRPr="00D976E6">
        <w:rPr>
          <w:rStyle w:val="Heading3Char"/>
          <w:rFonts w:cs="Calibri"/>
        </w:rPr>
        <w:t>The writ of</w:t>
      </w:r>
      <w:r w:rsidRPr="00D976E6">
        <w:rPr>
          <w:rFonts w:cs="Calibri"/>
          <w:sz w:val="14"/>
        </w:rPr>
        <w:t xml:space="preserve"> habeas corpus—and </w:t>
      </w:r>
      <w:r w:rsidRPr="00D976E6">
        <w:rPr>
          <w:rStyle w:val="Heading3Char"/>
          <w:rFonts w:cs="Calibri"/>
        </w:rPr>
        <w:t>the law</w:t>
      </w:r>
      <w:r w:rsidRPr="00D976E6">
        <w:rPr>
          <w:rFonts w:cs="Calibri"/>
          <w:sz w:val="14"/>
        </w:rPr>
        <w:t xml:space="preserve"> more generally—</w:t>
      </w:r>
      <w:r w:rsidRPr="00D976E6">
        <w:rPr>
          <w:rStyle w:val="Heading3Char"/>
          <w:rFonts w:cs="Calibri"/>
        </w:rPr>
        <w:t xml:space="preserve">anoints those individualized subjects who are deemed deserving </w:t>
      </w:r>
      <w:r w:rsidRPr="00D976E6">
        <w:rPr>
          <w:rStyle w:val="Heading3Char"/>
          <w:rFonts w:cs="Calibri"/>
          <w:sz w:val="12"/>
        </w:rPr>
        <w:t>with bodies even</w:t>
      </w:r>
      <w:r w:rsidRPr="00D976E6">
        <w:rPr>
          <w:rStyle w:val="Heading3Char"/>
          <w:rFonts w:cs="Calibri"/>
        </w:rPr>
        <w:t xml:space="preserve"> while this assemblage continually enlists </w:t>
      </w:r>
      <w:r w:rsidRPr="00D976E6">
        <w:rPr>
          <w:rStyle w:val="Heading3Char"/>
          <w:rFonts w:cs="Calibri"/>
          <w:sz w:val="12"/>
        </w:rPr>
        <w:t>new</w:t>
      </w:r>
      <w:r w:rsidRPr="00D976E6">
        <w:rPr>
          <w:rFonts w:cs="Calibri"/>
          <w:sz w:val="14"/>
        </w:rPr>
        <w:t xml:space="preserve"> and/or </w:t>
      </w:r>
      <w:r w:rsidRPr="00D976E6">
        <w:rPr>
          <w:rStyle w:val="Heading3Char"/>
          <w:rFonts w:cs="Calibri"/>
        </w:rPr>
        <w:t>different groups to</w:t>
      </w:r>
      <w:r w:rsidRPr="00D976E6">
        <w:rPr>
          <w:rFonts w:cs="Calibri"/>
          <w:sz w:val="14"/>
        </w:rPr>
        <w:t xml:space="preserve"> exclude, banish, or </w:t>
      </w:r>
      <w:r w:rsidRPr="00D976E6">
        <w:rPr>
          <w:rStyle w:val="Heading3Char"/>
          <w:rFonts w:cs="Calibri"/>
        </w:rPr>
        <w:t>exterminate</w:t>
      </w:r>
      <w:r w:rsidRPr="00D976E6">
        <w:rPr>
          <w:rFonts w:cs="Calibri"/>
          <w:sz w:val="14"/>
        </w:rPr>
        <w:t xml:space="preserve"> from the world of Man. </w:t>
      </w:r>
      <w:r w:rsidRPr="00D976E6">
        <w:rPr>
          <w:rStyle w:val="Heading3Char"/>
          <w:rFonts w:cs="Calibri"/>
          <w:sz w:val="12"/>
        </w:rPr>
        <w:t>In the end,</w:t>
      </w:r>
      <w:r w:rsidRPr="00D976E6">
        <w:rPr>
          <w:rStyle w:val="Heading3Char"/>
          <w:rFonts w:cs="Calibri"/>
        </w:rPr>
        <w:t xml:space="preserve"> the law</w:t>
      </w:r>
      <w:r w:rsidRPr="00D976E6">
        <w:rPr>
          <w:rFonts w:cs="Calibri"/>
          <w:sz w:val="14"/>
        </w:rPr>
        <w:t xml:space="preserve">, whether bound by national borders or spanning the globe, </w:t>
      </w:r>
      <w:r w:rsidRPr="00D976E6">
        <w:rPr>
          <w:rStyle w:val="Heading3Char"/>
          <w:rFonts w:cs="Calibri"/>
        </w:rPr>
        <w:t>establishes a</w:t>
      </w:r>
      <w:r w:rsidRPr="00D976E6">
        <w:rPr>
          <w:rStyle w:val="Heading3Char"/>
          <w:rFonts w:cs="Calibri"/>
          <w:sz w:val="12"/>
        </w:rPr>
        <w:t>n</w:t>
      </w:r>
      <w:r w:rsidRPr="00D976E6">
        <w:rPr>
          <w:rStyle w:val="Heading3Char"/>
          <w:rFonts w:cs="Calibri"/>
        </w:rPr>
        <w:t xml:space="preserve"> </w:t>
      </w:r>
      <w:r w:rsidRPr="00D976E6">
        <w:rPr>
          <w:rStyle w:val="Heading3Char"/>
          <w:rFonts w:cs="Calibri"/>
          <w:sz w:val="12"/>
        </w:rPr>
        <w:t>international</w:t>
      </w:r>
      <w:r w:rsidRPr="00D976E6">
        <w:rPr>
          <w:rStyle w:val="Heading3Char"/>
          <w:rFonts w:cs="Calibri"/>
        </w:rPr>
        <w:t xml:space="preserve"> division of humanity</w:t>
      </w:r>
      <w:r w:rsidRPr="00D976E6">
        <w:rPr>
          <w:rFonts w:cs="Calibri"/>
          <w:sz w:val="14"/>
        </w:rPr>
        <w:t xml:space="preserve">, </w:t>
      </w:r>
      <w:r w:rsidRPr="00D976E6">
        <w:rPr>
          <w:rStyle w:val="Heading3Char"/>
          <w:rFonts w:cs="Calibri"/>
        </w:rPr>
        <w:t>which grants previously excluded subjects limited access to personhood as property at the same time as it fortifies the supremacy of Man</w:t>
      </w:r>
      <w:r w:rsidRPr="00D976E6">
        <w:rPr>
          <w:rFonts w:cs="Calibri"/>
          <w:sz w:val="14"/>
        </w:rPr>
        <w:t>.13</w:t>
      </w:r>
    </w:p>
    <w:p w14:paraId="01CAB9E7" w14:textId="77777777" w:rsidR="00552172" w:rsidRPr="00D976E6" w:rsidRDefault="00552172" w:rsidP="00552172">
      <w:pPr>
        <w:rPr>
          <w:rFonts w:cs="Calibri"/>
        </w:rPr>
      </w:pPr>
    </w:p>
    <w:p w14:paraId="594A94A1" w14:textId="671A8B44" w:rsidR="00552172" w:rsidRPr="00D976E6" w:rsidRDefault="00D02825" w:rsidP="00552172">
      <w:pPr>
        <w:pStyle w:val="Heading4"/>
        <w:rPr>
          <w:rFonts w:cs="Calibri"/>
        </w:rPr>
      </w:pPr>
      <w:r>
        <w:rPr>
          <w:rFonts w:cs="Calibri"/>
        </w:rPr>
        <w:t xml:space="preserve">Focusing on legal integration, i.e. the </w:t>
      </w:r>
      <w:proofErr w:type="spellStart"/>
      <w:r>
        <w:rPr>
          <w:rFonts w:cs="Calibri"/>
        </w:rPr>
        <w:t>aff</w:t>
      </w:r>
      <w:proofErr w:type="spellEnd"/>
      <w:r>
        <w:rPr>
          <w:rFonts w:cs="Calibri"/>
        </w:rPr>
        <w:t xml:space="preserve"> wanting governments to legally </w:t>
      </w:r>
      <w:proofErr w:type="spellStart"/>
      <w:r>
        <w:rPr>
          <w:rFonts w:cs="Calibri"/>
        </w:rPr>
        <w:t>recgnoize</w:t>
      </w:r>
      <w:proofErr w:type="spellEnd"/>
      <w:r>
        <w:rPr>
          <w:rFonts w:cs="Calibri"/>
        </w:rPr>
        <w:t xml:space="preserve"> the right to strike, </w:t>
      </w:r>
      <w:r w:rsidR="00552172" w:rsidRPr="00D976E6">
        <w:rPr>
          <w:rFonts w:cs="Calibri"/>
        </w:rPr>
        <w:t xml:space="preserve">reinforces the western Man by forcing groups the beg for empathy and degrade themselves for simple rights. It encourages infighting – a bourgeois strategy that forces oppression </w:t>
      </w:r>
      <w:proofErr w:type="spellStart"/>
      <w:r w:rsidR="00552172" w:rsidRPr="00D976E6">
        <w:rPr>
          <w:rFonts w:cs="Calibri"/>
        </w:rPr>
        <w:t>olympics</w:t>
      </w:r>
      <w:proofErr w:type="spellEnd"/>
      <w:r w:rsidR="00552172" w:rsidRPr="00D976E6">
        <w:rPr>
          <w:rFonts w:cs="Calibri"/>
        </w:rPr>
        <w:t xml:space="preserve"> while affirming political violence. </w:t>
      </w:r>
    </w:p>
    <w:p w14:paraId="1D34C9CC" w14:textId="77777777" w:rsidR="00552172" w:rsidRPr="00D976E6" w:rsidRDefault="00552172" w:rsidP="00552172">
      <w:pPr>
        <w:rPr>
          <w:rFonts w:cs="Calibri"/>
        </w:rPr>
      </w:pPr>
      <w:proofErr w:type="spellStart"/>
      <w:r w:rsidRPr="00D976E6">
        <w:rPr>
          <w:rStyle w:val="Style13ptBold"/>
          <w:rFonts w:cs="Calibri"/>
        </w:rPr>
        <w:t>Weheliye</w:t>
      </w:r>
      <w:proofErr w:type="spellEnd"/>
      <w:r w:rsidRPr="00D976E6">
        <w:rPr>
          <w:rStyle w:val="Style13ptBold"/>
          <w:rFonts w:cs="Calibri"/>
        </w:rPr>
        <w:t xml:space="preserve"> 3</w:t>
      </w:r>
      <w:r w:rsidRPr="00D976E6">
        <w:rPr>
          <w:rFonts w:cs="Calibri"/>
        </w:rPr>
        <w:t xml:space="preserve"> [Alexander </w:t>
      </w:r>
      <w:proofErr w:type="spellStart"/>
      <w:r w:rsidRPr="00D976E6">
        <w:rPr>
          <w:rFonts w:cs="Calibri"/>
        </w:rPr>
        <w:t>Weheliye</w:t>
      </w:r>
      <w:proofErr w:type="spellEnd"/>
      <w:r w:rsidRPr="00D976E6">
        <w:rPr>
          <w:rFonts w:cs="Calibri"/>
        </w:rPr>
        <w:t xml:space="preserve">; Associate Professor of African American Studies at Northwestern University; 2014; “Habeas Viscus: Racializing Assemblages, </w:t>
      </w:r>
      <w:proofErr w:type="spellStart"/>
      <w:r w:rsidRPr="00D976E6">
        <w:rPr>
          <w:rFonts w:cs="Calibri"/>
        </w:rPr>
        <w:t>Biopolitics</w:t>
      </w:r>
      <w:proofErr w:type="spellEnd"/>
      <w:r w:rsidRPr="00D976E6">
        <w:rPr>
          <w:rFonts w:cs="Calibri"/>
        </w:rPr>
        <w:t>, and Black Feminist Theories of the Human”; LCA-BP]</w:t>
      </w:r>
    </w:p>
    <w:p w14:paraId="0D2E5168" w14:textId="77777777" w:rsidR="00552172" w:rsidRPr="00D976E6" w:rsidRDefault="00552172" w:rsidP="00552172">
      <w:pPr>
        <w:rPr>
          <w:rFonts w:cs="Calibri"/>
          <w:sz w:val="16"/>
        </w:rPr>
      </w:pPr>
      <w:r w:rsidRPr="00D976E6">
        <w:rPr>
          <w:rFonts w:cs="Calibri"/>
          <w:sz w:val="12"/>
        </w:rPr>
        <w:t xml:space="preserve">Even though it would be fairly easy to dismiss </w:t>
      </w:r>
      <w:r w:rsidRPr="00D976E6">
        <w:rPr>
          <w:rStyle w:val="Heading3Char"/>
          <w:rFonts w:cs="Calibri"/>
          <w:sz w:val="12"/>
        </w:rPr>
        <w:t>one position</w:t>
      </w:r>
      <w:r w:rsidRPr="00D976E6">
        <w:rPr>
          <w:rFonts w:cs="Calibri"/>
          <w:sz w:val="12"/>
        </w:rPr>
        <w:t xml:space="preserve">, </w:t>
      </w:r>
      <w:r w:rsidRPr="00D976E6">
        <w:rPr>
          <w:rStyle w:val="Heading3Char"/>
          <w:rFonts w:cs="Calibri"/>
          <w:sz w:val="12"/>
        </w:rPr>
        <w:t>either</w:t>
      </w:r>
      <w:r w:rsidRPr="00D976E6">
        <w:rPr>
          <w:rFonts w:cs="Calibri"/>
          <w:sz w:val="12"/>
        </w:rPr>
        <w:t xml:space="preserve"> </w:t>
      </w:r>
      <w:r w:rsidRPr="00D976E6">
        <w:rPr>
          <w:rStyle w:val="Heading3Char"/>
          <w:rFonts w:cs="Calibri"/>
          <w:sz w:val="12"/>
        </w:rPr>
        <w:t>the traditionally humanist (suffering is human) or the</w:t>
      </w:r>
      <w:r w:rsidRPr="00D976E6">
        <w:rPr>
          <w:rFonts w:cs="Calibri"/>
          <w:sz w:val="12"/>
        </w:rPr>
        <w:t xml:space="preserve"> racially </w:t>
      </w:r>
      <w:r w:rsidRPr="00D976E6">
        <w:rPr>
          <w:rStyle w:val="Heading3Char"/>
          <w:rFonts w:cs="Calibri"/>
          <w:sz w:val="12"/>
        </w:rPr>
        <w:t xml:space="preserve">particularistic (suffering is experienced only by those groups upon which it is inflicted), </w:t>
      </w:r>
      <w:r w:rsidRPr="00D976E6">
        <w:rPr>
          <w:rFonts w:cs="Calibri"/>
          <w:sz w:val="12"/>
        </w:rPr>
        <w:t xml:space="preserve">in favor of the other, </w:t>
      </w:r>
      <w:r w:rsidRPr="00D976E6">
        <w:rPr>
          <w:rStyle w:val="Heading3Char"/>
          <w:rFonts w:cs="Calibri"/>
          <w:sz w:val="12"/>
        </w:rPr>
        <w:t>both</w:t>
      </w:r>
      <w:r w:rsidRPr="00D976E6">
        <w:rPr>
          <w:rFonts w:cs="Calibri"/>
          <w:sz w:val="12"/>
        </w:rPr>
        <w:t xml:space="preserve"> these stances </w:t>
      </w:r>
      <w:r w:rsidRPr="00D976E6">
        <w:rPr>
          <w:rStyle w:val="Heading3Char"/>
          <w:rFonts w:cs="Calibri"/>
          <w:sz w:val="12"/>
        </w:rPr>
        <w:t>rely on the same logic that deems one incompatible with the other, since the humanist brand would erase particularities in favor of a universalist sweep and the particularistic variant insists on its irreducibility by excluding all nonmembers from the group's affliction.</w:t>
      </w:r>
      <w:r w:rsidRPr="00D976E6">
        <w:rPr>
          <w:rFonts w:cs="Calibri"/>
          <w:sz w:val="12"/>
        </w:rPr>
        <w:t xml:space="preserve"> </w:t>
      </w:r>
      <w:r w:rsidRPr="00D976E6">
        <w:rPr>
          <w:rStyle w:val="Heading3Char"/>
          <w:rFonts w:cs="Calibri"/>
          <w:sz w:val="12"/>
        </w:rPr>
        <w:t>Rather</w:t>
      </w:r>
      <w:r w:rsidRPr="00D976E6">
        <w:rPr>
          <w:rFonts w:cs="Calibri"/>
          <w:sz w:val="12"/>
        </w:rPr>
        <w:t xml:space="preserve"> than urging us to choose sides, Farah's juxtaposition of these viewpoints draws attention to the ways racialized and gendered suffering at the hands of political brutalization are always already imbricated in the construction of modern humanity. Suffering, especially when caused by political violence, has long functioned as the hallmark of both humane sentience and of inhuman brutality. Frequently,</w:t>
      </w:r>
      <w:r w:rsidRPr="00D976E6">
        <w:rPr>
          <w:rFonts w:cs="Calibri"/>
          <w:sz w:val="16"/>
        </w:rPr>
        <w:t xml:space="preserve"> </w:t>
      </w:r>
      <w:r w:rsidRPr="00D976E6">
        <w:rPr>
          <w:rStyle w:val="Heading3Char"/>
          <w:rFonts w:cs="Calibri"/>
        </w:rPr>
        <w:t xml:space="preserve">suffering becomes the defining feature of those subjects excluded </w:t>
      </w:r>
      <w:r w:rsidRPr="00D976E6">
        <w:rPr>
          <w:rStyle w:val="Heading3Char"/>
          <w:rFonts w:cs="Calibri"/>
          <w:sz w:val="12"/>
        </w:rPr>
        <w:t>from the law</w:t>
      </w:r>
      <w:r w:rsidRPr="00D976E6">
        <w:rPr>
          <w:rFonts w:cs="Calibri"/>
          <w:sz w:val="12"/>
        </w:rPr>
        <w:t>, the</w:t>
      </w:r>
      <w:r w:rsidRPr="00D976E6">
        <w:rPr>
          <w:rFonts w:cs="Calibri"/>
          <w:sz w:val="16"/>
        </w:rPr>
        <w:t xml:space="preserve"> national community, humanity, and so on </w:t>
      </w:r>
      <w:r w:rsidRPr="00D976E6">
        <w:rPr>
          <w:rStyle w:val="Heading3Char"/>
          <w:rFonts w:cs="Calibri"/>
        </w:rPr>
        <w:t>due to the political violence inflicted upon them even as it, paradoxically, grants them access to inclusion</w:t>
      </w:r>
      <w:r w:rsidRPr="00D976E6">
        <w:rPr>
          <w:rFonts w:cs="Calibri"/>
          <w:sz w:val="16"/>
        </w:rPr>
        <w:t xml:space="preserve"> and equality. In western human rights discourse, for instance, the physical and psychic residues of political violence enable victims to be recognized as belonging to the “brotherhood of Man.” Too often, </w:t>
      </w:r>
      <w:r w:rsidRPr="00D976E6">
        <w:rPr>
          <w:rStyle w:val="Heading3Char"/>
          <w:rFonts w:cs="Calibri"/>
        </w:rPr>
        <w:t>this tendency</w:t>
      </w:r>
      <w:r w:rsidRPr="00D976E6">
        <w:rPr>
          <w:rFonts w:cs="Calibri"/>
          <w:sz w:val="16"/>
        </w:rPr>
        <w:t xml:space="preserve"> not only </w:t>
      </w:r>
      <w:r w:rsidRPr="00D976E6">
        <w:rPr>
          <w:rStyle w:val="Heading3Char"/>
          <w:rFonts w:cs="Calibri"/>
        </w:rPr>
        <w:t>leaves intact hegemonic ideas</w:t>
      </w:r>
      <w:r w:rsidRPr="00D976E6">
        <w:rPr>
          <w:rFonts w:cs="Calibri"/>
          <w:sz w:val="16"/>
        </w:rPr>
        <w:t xml:space="preserve"> </w:t>
      </w:r>
      <w:r w:rsidRPr="00D976E6">
        <w:rPr>
          <w:rStyle w:val="Heading3Char"/>
          <w:rFonts w:cs="Calibri"/>
        </w:rPr>
        <w:t>of</w:t>
      </w:r>
      <w:r w:rsidRPr="00D976E6">
        <w:rPr>
          <w:rFonts w:cs="Calibri"/>
          <w:sz w:val="16"/>
        </w:rPr>
        <w:t xml:space="preserve"> humanity as indistinguishable from </w:t>
      </w:r>
      <w:r w:rsidRPr="00D976E6">
        <w:rPr>
          <w:rStyle w:val="Heading3Char"/>
          <w:rFonts w:cs="Calibri"/>
        </w:rPr>
        <w:t>western Man</w:t>
      </w:r>
      <w:r w:rsidRPr="00D976E6">
        <w:rPr>
          <w:rFonts w:cs="Calibri"/>
          <w:sz w:val="16"/>
        </w:rPr>
        <w:t xml:space="preserve"> </w:t>
      </w:r>
      <w:r w:rsidRPr="00D976E6">
        <w:rPr>
          <w:rStyle w:val="Heading3Char"/>
          <w:rFonts w:cs="Calibri"/>
        </w:rPr>
        <w:t xml:space="preserve">but demands comparing </w:t>
      </w:r>
      <w:r w:rsidRPr="00D976E6">
        <w:rPr>
          <w:rStyle w:val="Heading3Char"/>
          <w:rFonts w:cs="Calibri"/>
          <w:sz w:val="12"/>
        </w:rPr>
        <w:t>different forms of</w:t>
      </w:r>
      <w:r w:rsidRPr="00D976E6">
        <w:rPr>
          <w:rStyle w:val="Heading3Char"/>
          <w:rFonts w:cs="Calibri"/>
        </w:rPr>
        <w:t xml:space="preserve"> subjugation </w:t>
      </w:r>
      <w:r w:rsidRPr="00D976E6">
        <w:rPr>
          <w:rStyle w:val="Heading3Char"/>
          <w:rFonts w:cs="Calibri"/>
          <w:sz w:val="12"/>
        </w:rPr>
        <w:t>in order</w:t>
      </w:r>
      <w:r w:rsidRPr="00D976E6">
        <w:rPr>
          <w:rStyle w:val="Heading3Char"/>
          <w:rFonts w:cs="Calibri"/>
        </w:rPr>
        <w:t xml:space="preserve"> to adjudicate who warrants </w:t>
      </w:r>
      <w:r w:rsidRPr="00D976E6">
        <w:rPr>
          <w:rFonts w:cs="Calibri"/>
          <w:sz w:val="16"/>
        </w:rPr>
        <w:t xml:space="preserve">recognition and </w:t>
      </w:r>
      <w:r w:rsidRPr="00D976E6">
        <w:rPr>
          <w:rStyle w:val="Heading3Char"/>
          <w:rFonts w:cs="Calibri"/>
        </w:rPr>
        <w:t>belonging</w:t>
      </w:r>
      <w:r w:rsidRPr="00D976E6">
        <w:rPr>
          <w:rFonts w:cs="Calibri"/>
          <w:sz w:val="16"/>
        </w:rPr>
        <w:t xml:space="preserve">. As W. E. B. Du Bois asked in 1944, if the Universal Declaration of Human Rights did not offer provisions for ending world colonialism or legal segregation in the United States, “Why then call it the Declaration of Human Rights?”2 Wendy Brown maintains, </w:t>
      </w:r>
      <w:r w:rsidRPr="00D976E6">
        <w:rPr>
          <w:rStyle w:val="Heading3Char"/>
          <w:rFonts w:cs="Calibri"/>
        </w:rPr>
        <w:t xml:space="preserve">“politicized identity” operates “only by </w:t>
      </w:r>
      <w:r w:rsidRPr="00D976E6">
        <w:rPr>
          <w:rStyle w:val="Heading3Char"/>
          <w:rFonts w:cs="Calibri"/>
          <w:sz w:val="12"/>
        </w:rPr>
        <w:t>entrenching, restating,</w:t>
      </w:r>
      <w:r w:rsidRPr="00D976E6">
        <w:rPr>
          <w:rStyle w:val="Heading3Char"/>
          <w:rFonts w:cs="Calibri"/>
        </w:rPr>
        <w:t xml:space="preserve"> dramatizing</w:t>
      </w:r>
      <w:r w:rsidRPr="00D976E6">
        <w:rPr>
          <w:rStyle w:val="Heading3Char"/>
          <w:rFonts w:cs="Calibri"/>
          <w:sz w:val="12"/>
        </w:rPr>
        <w:t xml:space="preserve">, and inscribing its </w:t>
      </w:r>
      <w:r w:rsidRPr="00D976E6">
        <w:rPr>
          <w:rStyle w:val="Heading3Char"/>
          <w:rFonts w:cs="Calibri"/>
        </w:rPr>
        <w:t>pain in politics; it can hold out no future...that triumphs over this pain.”</w:t>
      </w:r>
      <w:r w:rsidRPr="00D976E6">
        <w:rPr>
          <w:rFonts w:cs="Calibri"/>
          <w:sz w:val="16"/>
        </w:rPr>
        <w:t xml:space="preserve">3 Brown suggests </w:t>
      </w:r>
      <w:r w:rsidRPr="00D976E6">
        <w:rPr>
          <w:rStyle w:val="Heading3Char"/>
        </w:rPr>
        <w:t>replacing</w:t>
      </w:r>
      <w:r w:rsidRPr="00D976E6">
        <w:rPr>
          <w:rFonts w:cs="Calibri"/>
          <w:sz w:val="16"/>
        </w:rPr>
        <w:t xml:space="preserve"> </w:t>
      </w:r>
      <w:r w:rsidRPr="00D976E6">
        <w:rPr>
          <w:rStyle w:val="Heading3Char"/>
        </w:rPr>
        <w:t xml:space="preserve">the </w:t>
      </w:r>
      <w:proofErr w:type="spellStart"/>
      <w:r w:rsidRPr="00D976E6">
        <w:rPr>
          <w:rStyle w:val="Heading3Char"/>
        </w:rPr>
        <w:t>identitarian</w:t>
      </w:r>
      <w:proofErr w:type="spellEnd"/>
      <w:r w:rsidRPr="00D976E6">
        <w:rPr>
          <w:rStyle w:val="Heading3Char"/>
        </w:rPr>
        <w:t xml:space="preserve"> </w:t>
      </w:r>
      <w:r w:rsidRPr="00D976E6">
        <w:rPr>
          <w:rStyle w:val="Heading3Char"/>
          <w:sz w:val="12"/>
        </w:rPr>
        <w:t>declaration</w:t>
      </w:r>
      <w:r w:rsidRPr="00D976E6">
        <w:rPr>
          <w:rStyle w:val="Heading3Char"/>
        </w:rPr>
        <w:t xml:space="preserve"> “I am,”</w:t>
      </w:r>
      <w:r w:rsidRPr="00D976E6">
        <w:rPr>
          <w:rFonts w:cs="Calibri"/>
          <w:sz w:val="16"/>
        </w:rPr>
        <w:t xml:space="preserve"> which merely confirms and solidifies what already exists, </w:t>
      </w:r>
      <w:r w:rsidRPr="00D976E6">
        <w:rPr>
          <w:rStyle w:val="Heading3Char"/>
        </w:rPr>
        <w:t xml:space="preserve">with the desiring </w:t>
      </w:r>
      <w:r w:rsidRPr="00D976E6">
        <w:rPr>
          <w:rStyle w:val="Heading3Char"/>
          <w:sz w:val="12"/>
        </w:rPr>
        <w:t>proclamation</w:t>
      </w:r>
      <w:r w:rsidRPr="00D976E6">
        <w:rPr>
          <w:rStyle w:val="Heading3Char"/>
        </w:rPr>
        <w:t xml:space="preserve"> “I want,”</w:t>
      </w:r>
      <w:r w:rsidRPr="00D976E6">
        <w:rPr>
          <w:rFonts w:cs="Calibri"/>
          <w:sz w:val="16"/>
        </w:rPr>
        <w:t xml:space="preserve"> </w:t>
      </w:r>
      <w:r w:rsidRPr="00D976E6">
        <w:rPr>
          <w:rStyle w:val="Heading3Char"/>
        </w:rPr>
        <w:t>which</w:t>
      </w:r>
      <w:r w:rsidRPr="00D976E6">
        <w:rPr>
          <w:rFonts w:cs="Calibri"/>
          <w:sz w:val="16"/>
        </w:rPr>
        <w:t xml:space="preserve"> </w:t>
      </w:r>
      <w:r w:rsidRPr="00D976E6">
        <w:rPr>
          <w:rStyle w:val="Heading3Char"/>
        </w:rPr>
        <w:t>offers</w:t>
      </w:r>
      <w:r w:rsidRPr="00D976E6">
        <w:rPr>
          <w:rFonts w:cs="Calibri"/>
          <w:sz w:val="16"/>
        </w:rPr>
        <w:t xml:space="preserve"> </w:t>
      </w:r>
      <w:r w:rsidRPr="00D976E6">
        <w:rPr>
          <w:rStyle w:val="Heading3Char"/>
        </w:rPr>
        <w:t>a</w:t>
      </w:r>
      <w:r w:rsidRPr="00D976E6">
        <w:rPr>
          <w:rFonts w:cs="Calibri"/>
          <w:sz w:val="16"/>
        </w:rPr>
        <w:t xml:space="preserve"> </w:t>
      </w:r>
      <w:proofErr w:type="spellStart"/>
      <w:r w:rsidRPr="00D976E6">
        <w:rPr>
          <w:rFonts w:cs="Calibri"/>
          <w:sz w:val="16"/>
        </w:rPr>
        <w:t>Nietzschean</w:t>
      </w:r>
      <w:proofErr w:type="spellEnd"/>
      <w:r w:rsidRPr="00D976E6">
        <w:rPr>
          <w:rFonts w:cs="Calibri"/>
          <w:sz w:val="16"/>
        </w:rPr>
        <w:t xml:space="preserve"> </w:t>
      </w:r>
      <w:r w:rsidRPr="00D976E6">
        <w:rPr>
          <w:rStyle w:val="Heading3Char"/>
        </w:rPr>
        <w:t>politics of overcoming pain instead of clinging to suffering as an immutable feature of identity politics</w:t>
      </w:r>
      <w:r w:rsidRPr="00D976E6">
        <w:rPr>
          <w:rFonts w:cs="Calibri"/>
          <w:sz w:val="16"/>
        </w:rPr>
        <w:t xml:space="preserve">. While I recognize Brown's effort to formulate a form of minority politics not beholden to the aura of wounded attachments and fixated almost </w:t>
      </w:r>
      <w:proofErr w:type="spellStart"/>
      <w:r w:rsidRPr="00D976E6">
        <w:rPr>
          <w:rFonts w:cs="Calibri"/>
          <w:sz w:val="16"/>
        </w:rPr>
        <w:t>fetishistically</w:t>
      </w:r>
      <w:proofErr w:type="spellEnd"/>
      <w:r w:rsidRPr="00D976E6">
        <w:rPr>
          <w:rFonts w:cs="Calibri"/>
          <w:sz w:val="16"/>
        </w:rPr>
        <w:t xml:space="preserve"> on the state as the site of change, we do well to recall that many of the </w:t>
      </w:r>
      <w:r w:rsidRPr="00D976E6">
        <w:rPr>
          <w:rStyle w:val="Heading3Char"/>
          <w:rFonts w:cs="Calibri"/>
          <w:sz w:val="12"/>
        </w:rPr>
        <w:t>political agendas based on identity</w:t>
      </w:r>
      <w:r w:rsidRPr="00D976E6">
        <w:rPr>
          <w:rFonts w:cs="Calibri"/>
          <w:sz w:val="16"/>
        </w:rPr>
        <w:t xml:space="preserve"> (the suffragette movement, the movement for the equality of same-sex marriages, or the various movements for the full civil rights of racialized minority subjects, for instance) are less concerned with claiming their suffering per se (I am) than they are with </w:t>
      </w:r>
      <w:r w:rsidRPr="00D976E6">
        <w:rPr>
          <w:rStyle w:val="Heading3Char"/>
          <w:rFonts w:cs="Calibri"/>
          <w:sz w:val="12"/>
        </w:rPr>
        <w:t>us[e]</w:t>
      </w:r>
      <w:proofErr w:type="spellStart"/>
      <w:r w:rsidRPr="00D976E6">
        <w:rPr>
          <w:rFonts w:cs="Calibri"/>
          <w:sz w:val="16"/>
        </w:rPr>
        <w:t>ing</w:t>
      </w:r>
      <w:proofErr w:type="spellEnd"/>
      <w:r w:rsidRPr="00D976E6">
        <w:rPr>
          <w:rFonts w:cs="Calibri"/>
          <w:sz w:val="16"/>
        </w:rPr>
        <w:t xml:space="preserve"> </w:t>
      </w:r>
      <w:r w:rsidRPr="00D976E6">
        <w:rPr>
          <w:rStyle w:val="Heading3Char"/>
          <w:rFonts w:cs="Calibri"/>
          <w:sz w:val="12"/>
        </w:rPr>
        <w:t>wounding as a stepping stone in the quest</w:t>
      </w:r>
      <w:r w:rsidRPr="00D976E6">
        <w:rPr>
          <w:rFonts w:cs="Calibri"/>
          <w:sz w:val="16"/>
        </w:rPr>
        <w:t xml:space="preserve"> (I want) </w:t>
      </w:r>
      <w:r w:rsidRPr="00D976E6">
        <w:rPr>
          <w:rStyle w:val="Heading3Char"/>
          <w:rFonts w:cs="Calibri"/>
          <w:sz w:val="12"/>
        </w:rPr>
        <w:t>for rights equal to those of full citizens</w:t>
      </w:r>
      <w:r w:rsidRPr="00D976E6">
        <w:rPr>
          <w:rFonts w:cs="Calibri"/>
          <w:sz w:val="16"/>
        </w:rPr>
        <w:t>. Liberal governing bodies, whether in the form of nation-states or supranational entities such as the United Nations or the International Criminal Court make particular forms of wounding the precondition for entry into the hallowed halls of full personhood,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personhood.4</w:t>
      </w:r>
    </w:p>
    <w:p w14:paraId="44F5C265" w14:textId="77777777" w:rsidR="00552172" w:rsidRPr="00D976E6" w:rsidRDefault="00552172" w:rsidP="00552172">
      <w:pPr>
        <w:rPr>
          <w:rFonts w:cs="Calibri"/>
        </w:rPr>
      </w:pPr>
    </w:p>
    <w:p w14:paraId="232F7EB3" w14:textId="77777777" w:rsidR="00552172" w:rsidRPr="00D976E6" w:rsidRDefault="00552172" w:rsidP="00552172">
      <w:pPr>
        <w:pStyle w:val="Heading4"/>
        <w:rPr>
          <w:rFonts w:cs="Calibri"/>
        </w:rPr>
      </w:pPr>
      <w:r w:rsidRPr="00D976E6">
        <w:rPr>
          <w:rFonts w:cs="Calibri"/>
        </w:rPr>
        <w:t xml:space="preserve">By emphasizing the distinctions between humans, not-quite humans, and non-humans, whiteness becomes viewed as Truth and the bar at which everyone is compared in the color line. The color line emphasizes phenotypical distinctions as the standard for which bodies enter spaces of liminality. </w:t>
      </w:r>
    </w:p>
    <w:p w14:paraId="701C62FB" w14:textId="77777777" w:rsidR="00552172" w:rsidRPr="00D976E6" w:rsidRDefault="00552172" w:rsidP="00552172">
      <w:pPr>
        <w:rPr>
          <w:rStyle w:val="StyleUnderline"/>
          <w:rFonts w:cs="Calibri"/>
        </w:rPr>
      </w:pPr>
      <w:proofErr w:type="spellStart"/>
      <w:r w:rsidRPr="00D976E6">
        <w:rPr>
          <w:rStyle w:val="Style13ptBold"/>
        </w:rPr>
        <w:t>Wynter</w:t>
      </w:r>
      <w:proofErr w:type="spellEnd"/>
      <w:r w:rsidRPr="00D976E6">
        <w:rPr>
          <w:rFonts w:cs="Calibri"/>
          <w:sz w:val="16"/>
        </w:rPr>
        <w:t xml:space="preserve"> </w:t>
      </w:r>
      <w:r w:rsidRPr="00D976E6">
        <w:rPr>
          <w:rFonts w:cs="Calibri"/>
          <w:sz w:val="24"/>
        </w:rPr>
        <w:t xml:space="preserve">[Sylvia; 2003; “Unsettling the </w:t>
      </w:r>
      <w:proofErr w:type="spellStart"/>
      <w:r w:rsidRPr="00D976E6">
        <w:rPr>
          <w:rFonts w:cs="Calibri"/>
          <w:sz w:val="24"/>
        </w:rPr>
        <w:t>Coloniality</w:t>
      </w:r>
      <w:proofErr w:type="spellEnd"/>
      <w:r w:rsidRPr="00D976E6">
        <w:rPr>
          <w:rFonts w:cs="Calibri"/>
          <w:sz w:val="24"/>
        </w:rPr>
        <w:t xml:space="preserve"> of Being/Power/Truth/Freedom: Towards the Human, After Man, Its Overrepresentation--An Argument,” CR: The New Centennial Review, Volume 3, Number 3,257-337]</w:t>
      </w:r>
      <w:r w:rsidRPr="00D976E6">
        <w:rPr>
          <w:rFonts w:cs="Calibri"/>
          <w:sz w:val="16"/>
        </w:rPr>
        <w:br/>
      </w:r>
      <w:r w:rsidRPr="00D976E6">
        <w:rPr>
          <w:rFonts w:cs="Calibri"/>
          <w:sz w:val="16"/>
          <w:shd w:val="clear" w:color="auto" w:fill="FFFFFF"/>
        </w:rPr>
        <w:t xml:space="preserve">The Argument proposes that </w:t>
      </w:r>
      <w:r w:rsidRPr="00D976E6">
        <w:rPr>
          <w:rStyle w:val="Heading3Char"/>
        </w:rPr>
        <w:t>the</w:t>
      </w:r>
      <w:r w:rsidRPr="00D976E6">
        <w:rPr>
          <w:rStyle w:val="StyleUnderline"/>
          <w:rFonts w:cs="Calibri"/>
        </w:rPr>
        <w:t xml:space="preserve"> </w:t>
      </w:r>
      <w:r w:rsidRPr="00D976E6">
        <w:rPr>
          <w:rStyle w:val="StyleUnderline"/>
          <w:rFonts w:cs="Calibri"/>
          <w:sz w:val="12"/>
        </w:rPr>
        <w:t xml:space="preserve">new master </w:t>
      </w:r>
      <w:r w:rsidRPr="00D976E6">
        <w:rPr>
          <w:rStyle w:val="Heading3Char"/>
          <w:sz w:val="12"/>
        </w:rPr>
        <w:t>code</w:t>
      </w:r>
      <w:r w:rsidRPr="00D976E6">
        <w:rPr>
          <w:rStyle w:val="StyleUnderline"/>
          <w:rFonts w:cs="Calibri"/>
          <w:sz w:val="12"/>
        </w:rPr>
        <w:t xml:space="preserve"> of the bourgeoisie </w:t>
      </w:r>
      <w:r w:rsidRPr="00D976E6">
        <w:rPr>
          <w:rStyle w:val="Heading3Char"/>
          <w:sz w:val="12"/>
        </w:rPr>
        <w:t>and</w:t>
      </w:r>
      <w:r w:rsidRPr="00D976E6">
        <w:rPr>
          <w:rStyle w:val="StyleUnderline"/>
          <w:rFonts w:cs="Calibri"/>
          <w:sz w:val="12"/>
        </w:rPr>
        <w:t xml:space="preserve"> of its </w:t>
      </w:r>
      <w:proofErr w:type="spellStart"/>
      <w:r w:rsidRPr="00D976E6">
        <w:rPr>
          <w:rStyle w:val="StyleUnderline"/>
          <w:rFonts w:cs="Calibri"/>
          <w:sz w:val="12"/>
        </w:rPr>
        <w:t>ethnoclass</w:t>
      </w:r>
      <w:proofErr w:type="spellEnd"/>
      <w:r w:rsidRPr="00D976E6">
        <w:rPr>
          <w:rStyle w:val="StyleUnderline"/>
          <w:rFonts w:cs="Calibri"/>
        </w:rPr>
        <w:t xml:space="preserve"> </w:t>
      </w:r>
      <w:r w:rsidRPr="00D976E6">
        <w:rPr>
          <w:rStyle w:val="Heading3Char"/>
        </w:rPr>
        <w:t>conception of the human</w:t>
      </w:r>
      <w:r w:rsidRPr="00D976E6">
        <w:rPr>
          <w:rFonts w:cs="Calibri"/>
          <w:sz w:val="16"/>
          <w:shd w:val="clear" w:color="auto" w:fill="FFFFFF"/>
        </w:rPr>
        <w:t xml:space="preserve"> - that </w:t>
      </w:r>
      <w:r w:rsidRPr="00D976E6">
        <w:rPr>
          <w:rStyle w:val="StyleUnderline"/>
          <w:rFonts w:cs="Calibri"/>
          <w:b/>
          <w:sz w:val="32"/>
        </w:rPr>
        <w:t>is</w:t>
      </w:r>
      <w:r w:rsidRPr="00D976E6">
        <w:rPr>
          <w:rFonts w:cs="Calibri"/>
          <w:b/>
          <w:sz w:val="32"/>
          <w:shd w:val="clear" w:color="auto" w:fill="FFFFFF"/>
        </w:rPr>
        <w:t>,</w:t>
      </w:r>
      <w:r w:rsidRPr="00D976E6">
        <w:rPr>
          <w:rFonts w:cs="Calibri"/>
          <w:sz w:val="16"/>
          <w:shd w:val="clear" w:color="auto" w:fill="FFFFFF"/>
        </w:rPr>
        <w:t xml:space="preserve"> the code of selected by Evolution/</w:t>
      </w:r>
      <w:proofErr w:type="spellStart"/>
      <w:r w:rsidRPr="00D976E6">
        <w:rPr>
          <w:rFonts w:cs="Calibri"/>
          <w:sz w:val="16"/>
          <w:shd w:val="clear" w:color="auto" w:fill="FFFFFF"/>
        </w:rPr>
        <w:t>dysselected</w:t>
      </w:r>
      <w:proofErr w:type="spellEnd"/>
      <w:r w:rsidRPr="00D976E6">
        <w:rPr>
          <w:rFonts w:cs="Calibri"/>
          <w:sz w:val="16"/>
          <w:shd w:val="clear" w:color="auto" w:fill="FFFFFF"/>
        </w:rPr>
        <w:t xml:space="preserve"> by Evolution- was </w:t>
      </w:r>
      <w:r w:rsidRPr="00D976E6">
        <w:rPr>
          <w:rStyle w:val="StyleUnderline"/>
          <w:rFonts w:cs="Calibri"/>
          <w:sz w:val="12"/>
        </w:rPr>
        <w:t>now to be</w:t>
      </w:r>
      <w:r w:rsidRPr="00D976E6">
        <w:rPr>
          <w:rStyle w:val="StyleUnderline"/>
          <w:rFonts w:cs="Calibri"/>
        </w:rPr>
        <w:t xml:space="preserve"> </w:t>
      </w:r>
      <w:r w:rsidRPr="00D976E6">
        <w:rPr>
          <w:rStyle w:val="Heading3Char"/>
        </w:rPr>
        <w:t>mapped</w:t>
      </w:r>
      <w:r w:rsidRPr="00D976E6">
        <w:rPr>
          <w:rStyle w:val="StyleUnderline"/>
          <w:rFonts w:cs="Calibri"/>
        </w:rPr>
        <w:t xml:space="preserve"> </w:t>
      </w:r>
      <w:r w:rsidRPr="00D976E6">
        <w:rPr>
          <w:rStyle w:val="StyleUnderline"/>
          <w:rFonts w:cs="Calibri"/>
          <w:sz w:val="12"/>
        </w:rPr>
        <w:t>and anchored</w:t>
      </w:r>
      <w:r w:rsidRPr="00D976E6">
        <w:rPr>
          <w:rStyle w:val="StyleUnderline"/>
          <w:rFonts w:cs="Calibri"/>
        </w:rPr>
        <w:t xml:space="preserve"> </w:t>
      </w:r>
      <w:r w:rsidRPr="00D976E6">
        <w:rPr>
          <w:rStyle w:val="StyleUnderline"/>
          <w:rFonts w:cs="Calibri"/>
          <w:b/>
          <w:sz w:val="32"/>
        </w:rPr>
        <w:t>on</w:t>
      </w:r>
      <w:r w:rsidRPr="00D976E6">
        <w:rPr>
          <w:rStyle w:val="StyleUnderline"/>
          <w:rFonts w:cs="Calibri"/>
        </w:rPr>
        <w:t xml:space="preserve"> </w:t>
      </w:r>
      <w:r w:rsidRPr="00D976E6">
        <w:rPr>
          <w:rStyle w:val="StyleUnderline"/>
          <w:rFonts w:cs="Calibri"/>
          <w:sz w:val="12"/>
        </w:rPr>
        <w:t>the only available "objective set of facts" that remained.</w:t>
      </w:r>
      <w:r w:rsidRPr="00D976E6">
        <w:rPr>
          <w:rFonts w:cs="Calibri"/>
          <w:sz w:val="12"/>
          <w:shd w:val="clear" w:color="auto" w:fill="FFFFFF"/>
        </w:rPr>
        <w:t xml:space="preserve"> </w:t>
      </w:r>
      <w:r w:rsidRPr="00D976E6">
        <w:rPr>
          <w:rStyle w:val="StyleUnderline"/>
          <w:rFonts w:cs="Calibri"/>
          <w:sz w:val="12"/>
        </w:rPr>
        <w:t xml:space="preserve">This was the set of </w:t>
      </w:r>
      <w:r w:rsidRPr="00D976E6">
        <w:rPr>
          <w:rStyle w:val="StyleUnderline"/>
          <w:rFonts w:cs="Calibri"/>
          <w:b/>
          <w:sz w:val="12"/>
        </w:rPr>
        <w:t>environmentally,</w:t>
      </w:r>
      <w:r w:rsidRPr="00D976E6">
        <w:rPr>
          <w:rStyle w:val="StyleUnderline"/>
          <w:rFonts w:cs="Calibri"/>
          <w:b/>
          <w:sz w:val="32"/>
        </w:rPr>
        <w:t xml:space="preserve"> </w:t>
      </w:r>
      <w:r w:rsidRPr="00D976E6">
        <w:rPr>
          <w:rStyle w:val="StyleUnderline"/>
          <w:rFonts w:cs="Calibri"/>
          <w:b/>
          <w:sz w:val="12"/>
        </w:rPr>
        <w:t>climatically</w:t>
      </w:r>
      <w:r w:rsidRPr="00D976E6">
        <w:rPr>
          <w:rStyle w:val="StyleUnderline"/>
          <w:rFonts w:cs="Calibri"/>
          <w:b/>
          <w:sz w:val="32"/>
        </w:rPr>
        <w:t xml:space="preserve"> </w:t>
      </w:r>
      <w:r w:rsidRPr="00D976E6">
        <w:rPr>
          <w:rStyle w:val="StyleUnderline"/>
          <w:rFonts w:cs="Calibri"/>
          <w:b/>
          <w:sz w:val="12"/>
        </w:rPr>
        <w:t>determined</w:t>
      </w:r>
      <w:r w:rsidRPr="00D976E6">
        <w:rPr>
          <w:rStyle w:val="StyleUnderline"/>
          <w:rFonts w:cs="Calibri"/>
          <w:b/>
          <w:sz w:val="32"/>
        </w:rPr>
        <w:t xml:space="preserve"> phenotypical differences between </w:t>
      </w:r>
      <w:r w:rsidRPr="00D976E6">
        <w:rPr>
          <w:rStyle w:val="StyleUnderline"/>
          <w:rFonts w:cs="Calibri"/>
          <w:b/>
          <w:sz w:val="12"/>
        </w:rPr>
        <w:t>human</w:t>
      </w:r>
      <w:r w:rsidRPr="00D976E6">
        <w:rPr>
          <w:rStyle w:val="StyleUnderline"/>
          <w:rFonts w:cs="Calibri"/>
          <w:b/>
          <w:sz w:val="32"/>
        </w:rPr>
        <w:t xml:space="preserve"> hereditary variations as</w:t>
      </w:r>
      <w:r w:rsidRPr="00D976E6">
        <w:rPr>
          <w:rStyle w:val="StyleUnderline"/>
          <w:rFonts w:cs="Calibri"/>
          <w:b/>
        </w:rPr>
        <w:t xml:space="preserve"> </w:t>
      </w:r>
      <w:r w:rsidRPr="00D976E6">
        <w:rPr>
          <w:rStyle w:val="StyleUnderline"/>
          <w:rFonts w:cs="Calibri"/>
          <w:b/>
          <w:sz w:val="12"/>
        </w:rPr>
        <w:t>these</w:t>
      </w:r>
      <w:r w:rsidRPr="00D976E6">
        <w:rPr>
          <w:rStyle w:val="StyleUnderline"/>
          <w:rFonts w:cs="Calibri"/>
          <w:b/>
        </w:rPr>
        <w:t xml:space="preserve"> </w:t>
      </w:r>
      <w:r w:rsidRPr="00D976E6">
        <w:rPr>
          <w:rStyle w:val="StyleUnderline"/>
          <w:rFonts w:cs="Calibri"/>
          <w:b/>
          <w:sz w:val="12"/>
        </w:rPr>
        <w:t>had</w:t>
      </w:r>
      <w:r w:rsidRPr="00D976E6">
        <w:rPr>
          <w:rStyle w:val="StyleUnderline"/>
          <w:rFonts w:cs="Calibri"/>
          <w:b/>
          <w:sz w:val="32"/>
        </w:rPr>
        <w:t xml:space="preserve"> developed in </w:t>
      </w:r>
      <w:r w:rsidRPr="00D976E6">
        <w:rPr>
          <w:rStyle w:val="StyleUnderline"/>
          <w:rFonts w:cs="Calibri"/>
          <w:b/>
          <w:sz w:val="12"/>
        </w:rPr>
        <w:t>the wake of the</w:t>
      </w:r>
      <w:r w:rsidRPr="00D976E6">
        <w:rPr>
          <w:rStyle w:val="StyleUnderline"/>
          <w:rFonts w:cs="Calibri"/>
          <w:b/>
          <w:sz w:val="32"/>
        </w:rPr>
        <w:t xml:space="preserve"> human diaspora </w:t>
      </w:r>
      <w:r w:rsidRPr="00D976E6">
        <w:rPr>
          <w:rStyle w:val="StyleUnderline"/>
          <w:rFonts w:cs="Calibri"/>
          <w:b/>
          <w:sz w:val="12"/>
        </w:rPr>
        <w:t>both across and out of the continent of Africa</w:t>
      </w:r>
      <w:r w:rsidRPr="00D976E6">
        <w:rPr>
          <w:rFonts w:cs="Calibri"/>
          <w:b/>
          <w:sz w:val="12"/>
          <w:shd w:val="clear" w:color="auto" w:fill="FFFFFF"/>
        </w:rPr>
        <w:t>;</w:t>
      </w:r>
      <w:r w:rsidRPr="00D976E6">
        <w:rPr>
          <w:rFonts w:cs="Calibri"/>
          <w:sz w:val="12"/>
          <w:shd w:val="clear" w:color="auto" w:fill="FFFFFF"/>
        </w:rPr>
        <w:t xml:space="preserve"> that is, </w:t>
      </w:r>
      <w:r w:rsidRPr="00D976E6">
        <w:rPr>
          <w:rStyle w:val="StyleUnderline"/>
          <w:rFonts w:cs="Calibri"/>
          <w:sz w:val="12"/>
        </w:rPr>
        <w:t>as a set of</w:t>
      </w:r>
      <w:r w:rsidRPr="00D976E6">
        <w:rPr>
          <w:rFonts w:cs="Calibri"/>
          <w:sz w:val="12"/>
          <w:shd w:val="clear" w:color="auto" w:fill="FFFFFF"/>
        </w:rPr>
        <w:t xml:space="preserve"> (so to speak) tot</w:t>
      </w:r>
      <w:r w:rsidRPr="00D976E6">
        <w:rPr>
          <w:rStyle w:val="StyleUnderline"/>
          <w:rFonts w:cs="Calibri"/>
          <w:sz w:val="12"/>
        </w:rPr>
        <w:t xml:space="preserve">emic </w:t>
      </w:r>
      <w:r w:rsidRPr="00D976E6">
        <w:rPr>
          <w:rStyle w:val="StyleUnderline"/>
          <w:rFonts w:cs="Calibri"/>
          <w:b/>
          <w:sz w:val="32"/>
        </w:rPr>
        <w:t>differences</w:t>
      </w:r>
      <w:r w:rsidRPr="00D976E6">
        <w:rPr>
          <w:rStyle w:val="StyleUnderline"/>
          <w:rFonts w:cs="Calibri"/>
        </w:rPr>
        <w:t xml:space="preserve">, </w:t>
      </w:r>
      <w:r w:rsidRPr="00D976E6">
        <w:rPr>
          <w:rStyle w:val="StyleUnderline"/>
          <w:rFonts w:cs="Calibri"/>
          <w:sz w:val="12"/>
        </w:rPr>
        <w:t>which</w:t>
      </w:r>
      <w:r w:rsidRPr="00D976E6">
        <w:rPr>
          <w:rStyle w:val="StyleUnderline"/>
          <w:rFonts w:cs="Calibri"/>
        </w:rPr>
        <w:t xml:space="preserve"> </w:t>
      </w:r>
      <w:r w:rsidRPr="00D976E6">
        <w:rPr>
          <w:rStyle w:val="StyleUnderline"/>
          <w:rFonts w:cs="Calibri"/>
          <w:b/>
          <w:sz w:val="32"/>
        </w:rPr>
        <w:t>were</w:t>
      </w:r>
      <w:r w:rsidRPr="00D976E6">
        <w:rPr>
          <w:rStyle w:val="StyleUnderline"/>
          <w:rFonts w:cs="Calibri"/>
        </w:rPr>
        <w:t xml:space="preserve"> </w:t>
      </w:r>
      <w:r w:rsidRPr="00D976E6">
        <w:rPr>
          <w:rStyle w:val="StyleUnderline"/>
          <w:rFonts w:cs="Calibri"/>
          <w:sz w:val="12"/>
        </w:rPr>
        <w:t>now</w:t>
      </w:r>
      <w:r w:rsidRPr="00D976E6">
        <w:rPr>
          <w:rStyle w:val="StyleUnderline"/>
          <w:rFonts w:cs="Calibri"/>
        </w:rPr>
        <w:t xml:space="preserve"> </w:t>
      </w:r>
      <w:r w:rsidRPr="00D976E6">
        <w:rPr>
          <w:rStyle w:val="StyleUnderline"/>
          <w:rFonts w:cs="Calibri"/>
          <w:b/>
          <w:sz w:val="32"/>
        </w:rPr>
        <w:t xml:space="preserve">harnessed to the task of projecting the Color Line drawn institutionally </w:t>
      </w:r>
      <w:r w:rsidRPr="00D976E6">
        <w:rPr>
          <w:rStyle w:val="StyleUnderline"/>
          <w:rFonts w:cs="Calibri"/>
          <w:b/>
          <w:sz w:val="12"/>
        </w:rPr>
        <w:t>and discursively between whites/nonwhites</w:t>
      </w:r>
      <w:r w:rsidRPr="00D976E6">
        <w:rPr>
          <w:rStyle w:val="StyleUnderline"/>
          <w:rFonts w:cs="Calibri"/>
          <w:sz w:val="12"/>
        </w:rPr>
        <w:t xml:space="preserve"> - and at its most extreme between the Caucasoid physiognomy (as symbolic life, the name of what is good, the idea that some humans can be selected by Evolution) and the Negroid </w:t>
      </w:r>
      <w:proofErr w:type="spellStart"/>
      <w:r w:rsidRPr="00D976E6">
        <w:rPr>
          <w:rStyle w:val="StyleUnderline"/>
          <w:rFonts w:cs="Calibri"/>
          <w:sz w:val="12"/>
        </w:rPr>
        <w:t>phys</w:t>
      </w:r>
      <w:proofErr w:type="spellEnd"/>
      <w:r w:rsidRPr="00D976E6">
        <w:rPr>
          <w:rStyle w:val="StyleUnderline"/>
          <w:rFonts w:cs="Calibri"/>
          <w:sz w:val="12"/>
        </w:rPr>
        <w:t xml:space="preserve">- </w:t>
      </w:r>
      <w:proofErr w:type="spellStart"/>
      <w:r w:rsidRPr="00D976E6">
        <w:rPr>
          <w:rStyle w:val="StyleUnderline"/>
          <w:rFonts w:cs="Calibri"/>
          <w:sz w:val="12"/>
        </w:rPr>
        <w:t>iognomy</w:t>
      </w:r>
      <w:proofErr w:type="spellEnd"/>
      <w:r w:rsidRPr="00D976E6">
        <w:rPr>
          <w:rStyle w:val="StyleUnderline"/>
          <w:rFonts w:cs="Calibri"/>
          <w:sz w:val="12"/>
        </w:rPr>
        <w:t xml:space="preserve"> (as symbolic death, the "name of what is evil," the idea that some humans can be </w:t>
      </w:r>
      <w:proofErr w:type="spellStart"/>
      <w:r w:rsidRPr="00D976E6">
        <w:rPr>
          <w:rStyle w:val="StyleUnderline"/>
          <w:rFonts w:cs="Calibri"/>
          <w:sz w:val="12"/>
        </w:rPr>
        <w:t>dysselected</w:t>
      </w:r>
      <w:proofErr w:type="spellEnd"/>
      <w:r w:rsidRPr="00D976E6">
        <w:rPr>
          <w:rStyle w:val="StyleUnderline"/>
          <w:rFonts w:cs="Calibri"/>
          <w:sz w:val="12"/>
        </w:rPr>
        <w:t xml:space="preserve"> by Evolution)- as </w:t>
      </w:r>
      <w:r w:rsidRPr="00D976E6">
        <w:rPr>
          <w:rStyle w:val="StyleUnderline"/>
          <w:rFonts w:cs="Calibri"/>
          <w:b/>
          <w:sz w:val="32"/>
        </w:rPr>
        <w:t xml:space="preserve">the new </w:t>
      </w:r>
      <w:proofErr w:type="spellStart"/>
      <w:r w:rsidRPr="00D976E6">
        <w:rPr>
          <w:rStyle w:val="StyleUnderline"/>
          <w:rFonts w:cs="Calibri"/>
          <w:b/>
          <w:sz w:val="32"/>
        </w:rPr>
        <w:t>extrahuman</w:t>
      </w:r>
      <w:proofErr w:type="spellEnd"/>
      <w:r w:rsidRPr="00D976E6">
        <w:rPr>
          <w:rStyle w:val="StyleUnderline"/>
          <w:rFonts w:cs="Calibri"/>
          <w:b/>
          <w:sz w:val="32"/>
        </w:rPr>
        <w:t xml:space="preserve"> line,</w:t>
      </w:r>
      <w:r w:rsidRPr="00D976E6">
        <w:rPr>
          <w:rStyle w:val="StyleUnderline"/>
          <w:rFonts w:cs="Calibri"/>
        </w:rPr>
        <w:t xml:space="preserve"> </w:t>
      </w:r>
      <w:r w:rsidRPr="00D976E6">
        <w:rPr>
          <w:rFonts w:cs="Calibri"/>
          <w:sz w:val="12"/>
        </w:rPr>
        <w:t>or</w:t>
      </w:r>
      <w:r w:rsidRPr="00D976E6">
        <w:rPr>
          <w:rFonts w:cs="Calibri"/>
          <w:sz w:val="12"/>
          <w:shd w:val="clear" w:color="auto" w:fill="FFFFFF"/>
        </w:rPr>
        <w:t xml:space="preserve"> projection of genetic </w:t>
      </w:r>
      <w:proofErr w:type="spellStart"/>
      <w:r w:rsidRPr="00D976E6">
        <w:rPr>
          <w:rFonts w:cs="Calibri"/>
          <w:sz w:val="12"/>
          <w:shd w:val="clear" w:color="auto" w:fill="FFFFFF"/>
        </w:rPr>
        <w:t>nonhomogeneity</w:t>
      </w:r>
      <w:proofErr w:type="spellEnd"/>
      <w:r w:rsidRPr="00D976E6">
        <w:rPr>
          <w:rFonts w:cs="Calibri"/>
          <w:sz w:val="12"/>
          <w:shd w:val="clear" w:color="auto" w:fill="FFFFFF"/>
        </w:rPr>
        <w:t xml:space="preserve"> </w:t>
      </w:r>
      <w:r w:rsidRPr="00D976E6">
        <w:rPr>
          <w:rStyle w:val="StyleUnderline"/>
          <w:rFonts w:cs="Calibri"/>
          <w:sz w:val="12"/>
        </w:rPr>
        <w:t>that</w:t>
      </w:r>
      <w:r w:rsidRPr="00D976E6">
        <w:rPr>
          <w:rStyle w:val="StyleUnderline"/>
          <w:rFonts w:cs="Calibri"/>
        </w:rPr>
        <w:t xml:space="preserve"> </w:t>
      </w:r>
      <w:r w:rsidRPr="00D976E6">
        <w:rPr>
          <w:rStyle w:val="StyleUnderline"/>
          <w:rFonts w:cs="Calibri"/>
          <w:b/>
          <w:sz w:val="32"/>
        </w:rPr>
        <w:t>would</w:t>
      </w:r>
      <w:r w:rsidRPr="00D976E6">
        <w:rPr>
          <w:rStyle w:val="StyleUnderline"/>
          <w:rFonts w:cs="Calibri"/>
          <w:b/>
        </w:rPr>
        <w:t xml:space="preserve"> </w:t>
      </w:r>
      <w:r w:rsidRPr="00D976E6">
        <w:rPr>
          <w:rStyle w:val="StyleUnderline"/>
          <w:rFonts w:cs="Calibri"/>
          <w:sz w:val="12"/>
        </w:rPr>
        <w:t>now</w:t>
      </w:r>
      <w:r w:rsidRPr="00D976E6">
        <w:rPr>
          <w:rStyle w:val="StyleUnderline"/>
          <w:rFonts w:cs="Calibri"/>
          <w:b/>
        </w:rPr>
        <w:t xml:space="preserve"> </w:t>
      </w:r>
      <w:r w:rsidRPr="00D976E6">
        <w:rPr>
          <w:rStyle w:val="StyleUnderline"/>
          <w:rFonts w:cs="Calibri"/>
          <w:b/>
          <w:sz w:val="32"/>
        </w:rPr>
        <w:t>be made to function</w:t>
      </w:r>
      <w:r w:rsidRPr="00D976E6">
        <w:rPr>
          <w:rFonts w:cs="Calibri"/>
          <w:sz w:val="16"/>
          <w:shd w:val="clear" w:color="auto" w:fill="FFFFFF"/>
        </w:rPr>
        <w:t xml:space="preserve">, analogically, </w:t>
      </w:r>
      <w:r w:rsidRPr="00D976E6">
        <w:rPr>
          <w:rStyle w:val="StyleUnderline"/>
          <w:rFonts w:cs="Calibri"/>
          <w:b/>
          <w:sz w:val="32"/>
        </w:rPr>
        <w:t>as the status-ordering principle based upon</w:t>
      </w:r>
      <w:r w:rsidRPr="00D976E6">
        <w:rPr>
          <w:rStyle w:val="StyleUnderline"/>
          <w:rFonts w:cs="Calibri"/>
          <w:b/>
        </w:rPr>
        <w:t xml:space="preserve"> </w:t>
      </w:r>
      <w:r w:rsidRPr="00D976E6">
        <w:rPr>
          <w:rStyle w:val="StyleUnderline"/>
          <w:rFonts w:cs="Calibri"/>
          <w:sz w:val="12"/>
        </w:rPr>
        <w:t xml:space="preserve">ostensibly differ- </w:t>
      </w:r>
      <w:proofErr w:type="spellStart"/>
      <w:r w:rsidRPr="00D976E6">
        <w:rPr>
          <w:rStyle w:val="StyleUnderline"/>
          <w:rFonts w:cs="Calibri"/>
          <w:sz w:val="12"/>
        </w:rPr>
        <w:t>ential</w:t>
      </w:r>
      <w:proofErr w:type="spellEnd"/>
      <w:r w:rsidRPr="00D976E6">
        <w:rPr>
          <w:rStyle w:val="StyleUnderline"/>
          <w:rFonts w:cs="Calibri"/>
          <w:sz w:val="12"/>
        </w:rPr>
        <w:t xml:space="preserve"> degrees</w:t>
      </w:r>
      <w:r w:rsidRPr="00D976E6">
        <w:rPr>
          <w:rFonts w:cs="Calibri"/>
          <w:sz w:val="12"/>
          <w:shd w:val="clear" w:color="auto" w:fill="FFFFFF"/>
        </w:rPr>
        <w:t xml:space="preserve"> of evolutionary </w:t>
      </w:r>
      <w:proofErr w:type="spellStart"/>
      <w:r w:rsidRPr="00D976E6">
        <w:rPr>
          <w:rFonts w:cs="Calibri"/>
          <w:sz w:val="12"/>
          <w:shd w:val="clear" w:color="auto" w:fill="FFFFFF"/>
        </w:rPr>
        <w:t>selectedness</w:t>
      </w:r>
      <w:proofErr w:type="spellEnd"/>
      <w:r w:rsidRPr="00D976E6">
        <w:rPr>
          <w:rFonts w:cs="Calibri"/>
          <w:sz w:val="12"/>
          <w:shd w:val="clear" w:color="auto" w:fill="FFFFFF"/>
        </w:rPr>
        <w:t>/</w:t>
      </w:r>
      <w:proofErr w:type="spellStart"/>
      <w:r w:rsidRPr="00D976E6">
        <w:rPr>
          <w:rFonts w:cs="Calibri"/>
          <w:sz w:val="12"/>
          <w:shd w:val="clear" w:color="auto" w:fill="FFFFFF"/>
        </w:rPr>
        <w:t>eugenicity</w:t>
      </w:r>
      <w:proofErr w:type="spellEnd"/>
      <w:r w:rsidRPr="00D976E6">
        <w:rPr>
          <w:rFonts w:cs="Calibri"/>
          <w:sz w:val="12"/>
          <w:shd w:val="clear" w:color="auto" w:fill="FFFFFF"/>
        </w:rPr>
        <w:t xml:space="preserve"> and/or </w:t>
      </w:r>
      <w:proofErr w:type="spellStart"/>
      <w:r w:rsidRPr="00D976E6">
        <w:rPr>
          <w:rFonts w:cs="Calibri"/>
          <w:sz w:val="12"/>
          <w:shd w:val="clear" w:color="auto" w:fill="FFFFFF"/>
        </w:rPr>
        <w:t>dysselected</w:t>
      </w:r>
      <w:proofErr w:type="spellEnd"/>
      <w:r w:rsidRPr="00D976E6">
        <w:rPr>
          <w:rFonts w:cs="Calibri"/>
          <w:sz w:val="12"/>
          <w:shd w:val="clear" w:color="auto" w:fill="FFFFFF"/>
        </w:rPr>
        <w:t>- ness/</w:t>
      </w:r>
      <w:proofErr w:type="spellStart"/>
      <w:r w:rsidRPr="00D976E6">
        <w:rPr>
          <w:rFonts w:cs="Calibri"/>
          <w:sz w:val="12"/>
          <w:shd w:val="clear" w:color="auto" w:fill="FFFFFF"/>
        </w:rPr>
        <w:t>dysgenicity</w:t>
      </w:r>
      <w:proofErr w:type="spellEnd"/>
      <w:r w:rsidRPr="00D976E6">
        <w:rPr>
          <w:rFonts w:cs="Calibri"/>
          <w:sz w:val="16"/>
          <w:shd w:val="clear" w:color="auto" w:fill="FFFFFF"/>
        </w:rPr>
        <w:t xml:space="preserve">. </w:t>
      </w:r>
      <w:r w:rsidRPr="00D976E6">
        <w:rPr>
          <w:rStyle w:val="StyleUnderline"/>
          <w:rFonts w:cs="Calibri"/>
          <w:b/>
          <w:sz w:val="32"/>
        </w:rPr>
        <w:t>Differential degrees</w:t>
      </w:r>
      <w:r w:rsidRPr="00D976E6">
        <w:rPr>
          <w:rStyle w:val="StyleUnderline"/>
          <w:rFonts w:cs="Calibri"/>
          <w:b/>
        </w:rPr>
        <w:t>,</w:t>
      </w:r>
      <w:r w:rsidRPr="00D976E6">
        <w:rPr>
          <w:rStyle w:val="StyleUnderline"/>
          <w:rFonts w:cs="Calibri"/>
        </w:rPr>
        <w:t xml:space="preserve"> </w:t>
      </w:r>
      <w:r w:rsidRPr="00D976E6">
        <w:rPr>
          <w:rStyle w:val="StyleUnderline"/>
          <w:rFonts w:cs="Calibri"/>
          <w:sz w:val="12"/>
        </w:rPr>
        <w:t>as</w:t>
      </w:r>
      <w:r w:rsidRPr="00D976E6">
        <w:rPr>
          <w:rStyle w:val="StyleUnderline"/>
          <w:rFonts w:cs="Calibri"/>
        </w:rPr>
        <w:t xml:space="preserve"> </w:t>
      </w:r>
      <w:r w:rsidRPr="00D976E6">
        <w:rPr>
          <w:rStyle w:val="StyleUnderline"/>
          <w:rFonts w:cs="Calibri"/>
          <w:b/>
          <w:sz w:val="32"/>
        </w:rPr>
        <w:t>between</w:t>
      </w:r>
      <w:r w:rsidRPr="00D976E6">
        <w:rPr>
          <w:rStyle w:val="StyleUnderline"/>
          <w:rFonts w:cs="Calibri"/>
        </w:rPr>
        <w:t xml:space="preserve"> </w:t>
      </w:r>
      <w:r w:rsidRPr="00D976E6">
        <w:rPr>
          <w:rStyle w:val="StyleUnderline"/>
          <w:rFonts w:cs="Calibri"/>
          <w:sz w:val="12"/>
        </w:rPr>
        <w:t>the</w:t>
      </w:r>
      <w:r w:rsidRPr="00D976E6">
        <w:rPr>
          <w:rStyle w:val="StyleUnderline"/>
          <w:rFonts w:cs="Calibri"/>
        </w:rPr>
        <w:t xml:space="preserve"> </w:t>
      </w:r>
      <w:r w:rsidRPr="00D976E6">
        <w:rPr>
          <w:rStyle w:val="StyleUnderline"/>
          <w:rFonts w:cs="Calibri"/>
          <w:b/>
          <w:sz w:val="32"/>
        </w:rPr>
        <w:t>classes</w:t>
      </w:r>
      <w:r w:rsidRPr="00D976E6">
        <w:rPr>
          <w:rFonts w:cs="Calibri"/>
          <w:sz w:val="16"/>
          <w:shd w:val="clear" w:color="auto" w:fill="FFFFFF"/>
        </w:rPr>
        <w:t xml:space="preserve"> </w:t>
      </w:r>
      <w:r w:rsidRPr="00D976E6">
        <w:rPr>
          <w:rFonts w:cs="Calibri"/>
          <w:sz w:val="12"/>
          <w:shd w:val="clear" w:color="auto" w:fill="FFFFFF"/>
        </w:rPr>
        <w:t xml:space="preserve">(middle and lower and, by extrapolation, between capital and labor) </w:t>
      </w:r>
      <w:r w:rsidRPr="00D976E6">
        <w:rPr>
          <w:rStyle w:val="StyleUnderline"/>
          <w:rFonts w:cs="Calibri"/>
          <w:sz w:val="12"/>
        </w:rPr>
        <w:t xml:space="preserve">as well as between </w:t>
      </w:r>
      <w:r w:rsidRPr="00D976E6">
        <w:rPr>
          <w:rStyle w:val="StyleUnderline"/>
          <w:rFonts w:cs="Calibri"/>
          <w:b/>
          <w:sz w:val="12"/>
        </w:rPr>
        <w:t>men and women</w:t>
      </w:r>
      <w:r w:rsidRPr="00D976E6">
        <w:rPr>
          <w:rStyle w:val="StyleUnderline"/>
          <w:rFonts w:cs="Calibri"/>
          <w:sz w:val="12"/>
        </w:rPr>
        <w:t xml:space="preserve">, </w:t>
      </w:r>
      <w:r w:rsidRPr="00D976E6">
        <w:rPr>
          <w:rStyle w:val="StyleUnderline"/>
          <w:rFonts w:cs="Calibri"/>
          <w:b/>
          <w:sz w:val="12"/>
        </w:rPr>
        <w:t>and</w:t>
      </w:r>
      <w:r w:rsidRPr="00D976E6">
        <w:rPr>
          <w:rStyle w:val="StyleUnderline"/>
          <w:rFonts w:cs="Calibri"/>
        </w:rPr>
        <w:t xml:space="preserve"> </w:t>
      </w:r>
      <w:r w:rsidRPr="00D976E6">
        <w:rPr>
          <w:rStyle w:val="StyleUnderline"/>
          <w:rFonts w:cs="Calibri"/>
          <w:sz w:val="12"/>
        </w:rPr>
        <w:t>between the</w:t>
      </w:r>
      <w:r w:rsidRPr="00D976E6">
        <w:rPr>
          <w:rStyle w:val="StyleUnderline"/>
          <w:rFonts w:cs="Calibri"/>
        </w:rPr>
        <w:t xml:space="preserve"> </w:t>
      </w:r>
      <w:r w:rsidRPr="00D976E6">
        <w:rPr>
          <w:rStyle w:val="StyleUnderline"/>
          <w:rFonts w:cs="Calibri"/>
          <w:b/>
          <w:sz w:val="32"/>
        </w:rPr>
        <w:t>hetero</w:t>
      </w:r>
      <w:r w:rsidRPr="00D976E6">
        <w:rPr>
          <w:rStyle w:val="StyleUnderline"/>
          <w:rFonts w:cs="Calibri"/>
          <w:sz w:val="12"/>
        </w:rPr>
        <w:t xml:space="preserve">sexual </w:t>
      </w:r>
      <w:r w:rsidRPr="00D976E6">
        <w:rPr>
          <w:rStyle w:val="StyleUnderline"/>
          <w:rFonts w:cs="Calibri"/>
          <w:b/>
          <w:sz w:val="32"/>
        </w:rPr>
        <w:t>and homosexual</w:t>
      </w:r>
      <w:r w:rsidRPr="00D976E6">
        <w:rPr>
          <w:rStyle w:val="StyleUnderline"/>
          <w:rFonts w:cs="Calibri"/>
        </w:rPr>
        <w:t xml:space="preserve"> </w:t>
      </w:r>
      <w:r w:rsidRPr="00D976E6">
        <w:rPr>
          <w:rStyle w:val="StyleUnderline"/>
          <w:rFonts w:cs="Calibri"/>
          <w:sz w:val="12"/>
        </w:rPr>
        <w:t xml:space="preserve">erotic preference - and, even more centrally, as between </w:t>
      </w:r>
      <w:r w:rsidRPr="00D976E6">
        <w:rPr>
          <w:rStyle w:val="Heading3Char"/>
        </w:rPr>
        <w:t>Breadwinner</w:t>
      </w:r>
      <w:r w:rsidRPr="00D976E6">
        <w:rPr>
          <w:rFonts w:cs="Calibri"/>
          <w:sz w:val="16"/>
          <w:shd w:val="clear" w:color="auto" w:fill="FFFFFF"/>
        </w:rPr>
        <w:t xml:space="preserve"> (job- holding middle and working classes) </w:t>
      </w:r>
      <w:r w:rsidRPr="00D976E6">
        <w:rPr>
          <w:rStyle w:val="Heading3Char"/>
        </w:rPr>
        <w:t>and</w:t>
      </w:r>
      <w:r w:rsidRPr="00D976E6">
        <w:rPr>
          <w:rStyle w:val="StyleUnderline"/>
          <w:rFonts w:cs="Calibri"/>
        </w:rPr>
        <w:t xml:space="preserve"> </w:t>
      </w:r>
      <w:r w:rsidRPr="00D976E6">
        <w:rPr>
          <w:rStyle w:val="StyleUnderline"/>
          <w:rFonts w:cs="Calibri"/>
          <w:sz w:val="12"/>
        </w:rPr>
        <w:t>the jobless and criminalized</w:t>
      </w:r>
      <w:r w:rsidRPr="00D976E6">
        <w:rPr>
          <w:rStyle w:val="StyleUnderline"/>
          <w:rFonts w:cs="Calibri"/>
        </w:rPr>
        <w:t xml:space="preserve"> </w:t>
      </w:r>
      <w:r w:rsidRPr="00D976E6">
        <w:rPr>
          <w:rStyle w:val="Heading3Char"/>
        </w:rPr>
        <w:t>Poor</w:t>
      </w:r>
      <w:r w:rsidRPr="00D976E6">
        <w:rPr>
          <w:rStyle w:val="StyleUnderline"/>
          <w:rFonts w:cs="Calibri"/>
        </w:rPr>
        <w:t xml:space="preserve">, </w:t>
      </w:r>
      <w:r w:rsidRPr="00D976E6">
        <w:rPr>
          <w:rStyle w:val="StyleUnderline"/>
          <w:rFonts w:cs="Calibri"/>
          <w:sz w:val="12"/>
        </w:rPr>
        <w:t>with this rearticulated at the global level as between Sartre's "Men" and Natives</w:t>
      </w:r>
      <w:r w:rsidRPr="00D976E6">
        <w:rPr>
          <w:rFonts w:cs="Calibri"/>
          <w:sz w:val="12"/>
          <w:shd w:val="clear" w:color="auto" w:fill="FFFFFF"/>
        </w:rPr>
        <w:t xml:space="preserve"> (see his guide-quote), </w:t>
      </w:r>
      <w:r w:rsidRPr="00D976E6">
        <w:rPr>
          <w:rStyle w:val="StyleUnderline"/>
          <w:rFonts w:cs="Calibri"/>
          <w:sz w:val="12"/>
        </w:rPr>
        <w:t xml:space="preserve">before the end of politico-military colonial- ism, then </w:t>
      </w:r>
      <w:proofErr w:type="spellStart"/>
      <w:r w:rsidRPr="00D976E6">
        <w:rPr>
          <w:rStyle w:val="StyleUnderline"/>
          <w:rFonts w:cs="Calibri"/>
          <w:sz w:val="12"/>
        </w:rPr>
        <w:t>postcolonially</w:t>
      </w:r>
      <w:proofErr w:type="spellEnd"/>
      <w:r w:rsidRPr="00D976E6">
        <w:rPr>
          <w:rStyle w:val="StyleUnderline"/>
          <w:rFonts w:cs="Calibri"/>
          <w:sz w:val="12"/>
        </w:rPr>
        <w:t xml:space="preserve"> as between the "developed" First World, on the one hand, and the "underdeveloped" Third and Fourth Worlds on the other</w:t>
      </w:r>
      <w:r w:rsidRPr="00D976E6">
        <w:rPr>
          <w:rStyle w:val="StyleUnderline"/>
          <w:rFonts w:cs="Calibri"/>
        </w:rPr>
        <w:t xml:space="preserve">. </w:t>
      </w:r>
      <w:r w:rsidRPr="00D976E6">
        <w:rPr>
          <w:rStyle w:val="StyleUnderline"/>
          <w:rFonts w:cs="Calibri"/>
          <w:b/>
          <w:sz w:val="32"/>
        </w:rPr>
        <w:t xml:space="preserve">The Color Line was now projected </w:t>
      </w:r>
      <w:r w:rsidRPr="00D976E6">
        <w:rPr>
          <w:rStyle w:val="StyleUnderline"/>
          <w:rFonts w:cs="Calibri"/>
          <w:b/>
          <w:sz w:val="12"/>
        </w:rPr>
        <w:t>as the new "space of Otherness</w:t>
      </w:r>
      <w:r w:rsidRPr="00D976E6">
        <w:rPr>
          <w:rFonts w:cs="Calibri"/>
          <w:sz w:val="12"/>
          <w:shd w:val="clear" w:color="auto" w:fill="FFFFFF"/>
        </w:rPr>
        <w:t xml:space="preserve">" principle of </w:t>
      </w:r>
      <w:proofErr w:type="spellStart"/>
      <w:r w:rsidRPr="00D976E6">
        <w:rPr>
          <w:rFonts w:cs="Calibri"/>
          <w:sz w:val="12"/>
          <w:shd w:val="clear" w:color="auto" w:fill="FFFFFF"/>
        </w:rPr>
        <w:t>nonhomogeneity</w:t>
      </w:r>
      <w:proofErr w:type="spellEnd"/>
      <w:r w:rsidRPr="00D976E6">
        <w:rPr>
          <w:rFonts w:cs="Calibri"/>
          <w:sz w:val="12"/>
          <w:shd w:val="clear" w:color="auto" w:fill="FFFFFF"/>
        </w:rPr>
        <w:t xml:space="preserve">, </w:t>
      </w:r>
      <w:r w:rsidRPr="00D976E6">
        <w:rPr>
          <w:rStyle w:val="StyleUnderline"/>
          <w:rFonts w:cs="Calibri"/>
          <w:b/>
          <w:sz w:val="12"/>
        </w:rPr>
        <w:t>made</w:t>
      </w:r>
      <w:r w:rsidRPr="00D976E6">
        <w:rPr>
          <w:rStyle w:val="StyleUnderline"/>
          <w:rFonts w:cs="Calibri"/>
          <w:b/>
          <w:sz w:val="32"/>
        </w:rPr>
        <w:t xml:space="preserve"> to reoccupy the</w:t>
      </w:r>
      <w:r w:rsidRPr="00D976E6">
        <w:rPr>
          <w:rStyle w:val="StyleUnderline"/>
          <w:rFonts w:cs="Calibri"/>
        </w:rPr>
        <w:t xml:space="preserve"> </w:t>
      </w:r>
      <w:r w:rsidRPr="00D976E6">
        <w:rPr>
          <w:rStyle w:val="StyleUnderline"/>
          <w:rFonts w:cs="Calibri"/>
          <w:sz w:val="12"/>
        </w:rPr>
        <w:t>earlier</w:t>
      </w:r>
      <w:r w:rsidRPr="00D976E6">
        <w:rPr>
          <w:rStyle w:val="StyleUnderline"/>
          <w:rFonts w:cs="Calibri"/>
        </w:rPr>
        <w:t xml:space="preserve"> </w:t>
      </w:r>
      <w:r w:rsidRPr="00D976E6">
        <w:rPr>
          <w:rStyle w:val="StyleUnderline"/>
          <w:rFonts w:cs="Calibri"/>
          <w:b/>
          <w:sz w:val="32"/>
        </w:rPr>
        <w:t xml:space="preserve">places of </w:t>
      </w:r>
      <w:r w:rsidRPr="00D976E6">
        <w:rPr>
          <w:rStyle w:val="StyleUnderline"/>
          <w:rFonts w:cs="Calibri"/>
          <w:sz w:val="12"/>
        </w:rPr>
        <w:t>the motion-filled heavens/non-moving Earth</w:t>
      </w:r>
      <w:r w:rsidRPr="00D976E6">
        <w:rPr>
          <w:rStyle w:val="StyleUnderline"/>
          <w:rFonts w:cs="Calibri"/>
        </w:rPr>
        <w:t xml:space="preserve">, </w:t>
      </w:r>
      <w:r w:rsidRPr="00D976E6">
        <w:rPr>
          <w:rStyle w:val="StyleUnderline"/>
          <w:rFonts w:cs="Calibri"/>
          <w:b/>
          <w:sz w:val="32"/>
        </w:rPr>
        <w:t xml:space="preserve">rational </w:t>
      </w:r>
      <w:r w:rsidRPr="00D976E6">
        <w:rPr>
          <w:rStyle w:val="StyleUnderline"/>
          <w:rFonts w:cs="Calibri"/>
          <w:b/>
          <w:sz w:val="12"/>
        </w:rPr>
        <w:t>humans</w:t>
      </w:r>
      <w:r w:rsidRPr="00D976E6">
        <w:rPr>
          <w:rStyle w:val="StyleUnderline"/>
          <w:rFonts w:cs="Calibri"/>
          <w:b/>
          <w:sz w:val="32"/>
        </w:rPr>
        <w:t xml:space="preserve">/irrational </w:t>
      </w:r>
      <w:r w:rsidRPr="00D976E6">
        <w:rPr>
          <w:rStyle w:val="StyleUnderline"/>
          <w:rFonts w:cs="Calibri"/>
          <w:b/>
          <w:sz w:val="12"/>
        </w:rPr>
        <w:t>animal lines,</w:t>
      </w:r>
      <w:r w:rsidRPr="00D976E6">
        <w:rPr>
          <w:rStyle w:val="StyleUnderline"/>
          <w:rFonts w:cs="Calibri"/>
          <w:b/>
          <w:sz w:val="32"/>
        </w:rPr>
        <w:t xml:space="preserve"> and to recode in </w:t>
      </w:r>
      <w:r w:rsidRPr="00D976E6">
        <w:rPr>
          <w:rStyle w:val="StyleUnderline"/>
          <w:rFonts w:cs="Calibri"/>
          <w:b/>
          <w:sz w:val="12"/>
        </w:rPr>
        <w:t>new terms their ostensible</w:t>
      </w:r>
      <w:r w:rsidRPr="00D976E6">
        <w:rPr>
          <w:rStyle w:val="StyleUnderline"/>
          <w:rFonts w:cs="Calibri"/>
          <w:b/>
          <w:sz w:val="32"/>
        </w:rPr>
        <w:t xml:space="preserve"> </w:t>
      </w:r>
      <w:proofErr w:type="spellStart"/>
      <w:r w:rsidRPr="00D976E6">
        <w:rPr>
          <w:rStyle w:val="StyleUnderline"/>
          <w:rFonts w:cs="Calibri"/>
          <w:b/>
          <w:sz w:val="32"/>
        </w:rPr>
        <w:t>extrahumanly</w:t>
      </w:r>
      <w:proofErr w:type="spellEnd"/>
      <w:r w:rsidRPr="00D976E6">
        <w:rPr>
          <w:rStyle w:val="StyleUnderline"/>
          <w:rFonts w:cs="Calibri"/>
          <w:b/>
          <w:sz w:val="32"/>
        </w:rPr>
        <w:t xml:space="preserve"> determined differences of ontological substance</w:t>
      </w:r>
      <w:r w:rsidRPr="00D976E6">
        <w:rPr>
          <w:rFonts w:cs="Calibri"/>
          <w:sz w:val="16"/>
          <w:shd w:val="clear" w:color="auto" w:fill="FFFFFF"/>
        </w:rPr>
        <w:t xml:space="preserve">. </w:t>
      </w:r>
      <w:r w:rsidRPr="00D976E6">
        <w:rPr>
          <w:rFonts w:cs="Calibri"/>
          <w:sz w:val="12"/>
          <w:shd w:val="clear" w:color="auto" w:fill="FFFFFF"/>
        </w:rPr>
        <w:t xml:space="preserve">While, if the earlier two had been </w:t>
      </w:r>
      <w:proofErr w:type="spellStart"/>
      <w:r w:rsidRPr="00D976E6">
        <w:rPr>
          <w:rFonts w:cs="Calibri"/>
          <w:sz w:val="12"/>
          <w:shd w:val="clear" w:color="auto" w:fill="FFFFFF"/>
        </w:rPr>
        <w:t>indispen</w:t>
      </w:r>
      <w:proofErr w:type="spellEnd"/>
      <w:r w:rsidRPr="00D976E6">
        <w:rPr>
          <w:rFonts w:cs="Calibri"/>
          <w:sz w:val="12"/>
          <w:shd w:val="clear" w:color="auto" w:fill="FFFFFF"/>
        </w:rPr>
        <w:t xml:space="preserve">-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w:t>
      </w:r>
      <w:proofErr w:type="spellStart"/>
      <w:r w:rsidRPr="00D976E6">
        <w:rPr>
          <w:rFonts w:cs="Calibri"/>
          <w:sz w:val="12"/>
          <w:shd w:val="clear" w:color="auto" w:fill="FFFFFF"/>
        </w:rPr>
        <w:t>ment</w:t>
      </w:r>
      <w:proofErr w:type="spellEnd"/>
      <w:r w:rsidRPr="00D976E6">
        <w:rPr>
          <w:rFonts w:cs="Calibri"/>
          <w:sz w:val="12"/>
          <w:shd w:val="clear" w:color="auto" w:fill="FFFFFF"/>
        </w:rPr>
        <w:t xml:space="preserve"> therefore being rigorously conserved by the "learning system" and order of knowledge as articulated in the institutional structure of each order - this was to be no less the case with respect to the projected "space of Otherness" of the Color Line. </w:t>
      </w:r>
      <w:r w:rsidRPr="00D976E6">
        <w:rPr>
          <w:rStyle w:val="StyleUnderline"/>
          <w:rFonts w:cs="Calibri"/>
          <w:sz w:val="12"/>
        </w:rPr>
        <w:t>With respec</w:t>
      </w:r>
      <w:r w:rsidRPr="00D976E6">
        <w:rPr>
          <w:rFonts w:cs="Calibri"/>
          <w:sz w:val="12"/>
          <w:shd w:val="clear" w:color="auto" w:fill="FFFFFF"/>
        </w:rPr>
        <w:t xml:space="preserve">t, that is, </w:t>
      </w:r>
      <w:r w:rsidRPr="00D976E6">
        <w:rPr>
          <w:rStyle w:val="StyleUnderline"/>
          <w:rFonts w:cs="Calibri"/>
          <w:sz w:val="12"/>
        </w:rPr>
        <w:t xml:space="preserve">to its indispensability to the production and reproduction of our present genre of the human Mam, together with the overall global/national bourgeois order of things and its specific mode of economic production, alone able to provide the material conditions of existence for the production and reproduction of the </w:t>
      </w:r>
      <w:proofErr w:type="spellStart"/>
      <w:r w:rsidRPr="00D976E6">
        <w:rPr>
          <w:rStyle w:val="StyleUnderline"/>
          <w:rFonts w:cs="Calibri"/>
          <w:sz w:val="12"/>
        </w:rPr>
        <w:t>ethnoclass</w:t>
      </w:r>
      <w:proofErr w:type="spellEnd"/>
      <w:r w:rsidRPr="00D976E6">
        <w:rPr>
          <w:rStyle w:val="StyleUnderline"/>
          <w:rFonts w:cs="Calibri"/>
          <w:sz w:val="12"/>
        </w:rPr>
        <w:t xml:space="preserve"> or Western-bourgeois answer that we now give to the question of the who and what we are.</w:t>
      </w:r>
    </w:p>
    <w:p w14:paraId="0C0E1BBE" w14:textId="77777777" w:rsidR="00552172" w:rsidRPr="00D976E6" w:rsidRDefault="00552172" w:rsidP="00552172">
      <w:pPr>
        <w:rPr>
          <w:rFonts w:cs="Calibri"/>
        </w:rPr>
      </w:pPr>
    </w:p>
    <w:p w14:paraId="144AF283" w14:textId="77777777" w:rsidR="00552172" w:rsidRPr="00D976E6" w:rsidRDefault="00552172" w:rsidP="00552172">
      <w:pPr>
        <w:rPr>
          <w:rFonts w:cs="Calibri"/>
        </w:rPr>
      </w:pPr>
    </w:p>
    <w:p w14:paraId="1A463EB2" w14:textId="77777777" w:rsidR="00552172" w:rsidRPr="00D976E6" w:rsidRDefault="00552172" w:rsidP="00552172">
      <w:pPr>
        <w:pStyle w:val="Heading4"/>
        <w:rPr>
          <w:rFonts w:cs="Calibri"/>
        </w:rPr>
      </w:pPr>
      <w:r w:rsidRPr="00D976E6">
        <w:rPr>
          <w:rFonts w:cs="Calibri"/>
        </w:rPr>
        <w:t xml:space="preserve">The alternative is habeas viscus. We reconfigure our view of the human to be framed by flesh (suffering, actualized, material) instead of the legal body (legible, coherent, perceived) to focus on </w:t>
      </w:r>
      <w:r w:rsidRPr="00D976E6">
        <w:rPr>
          <w:rFonts w:cs="Calibri"/>
          <w:u w:val="single"/>
        </w:rPr>
        <w:t>affective bonds</w:t>
      </w:r>
      <w:r w:rsidRPr="00D976E6">
        <w:rPr>
          <w:rFonts w:cs="Calibri"/>
        </w:rPr>
        <w:t xml:space="preserve">. By synthesizing our experiences and identities, we can embrace liminality to better </w:t>
      </w:r>
      <w:r w:rsidRPr="00D976E6">
        <w:rPr>
          <w:rFonts w:cs="Calibri"/>
          <w:u w:val="single"/>
        </w:rPr>
        <w:t>strategize</w:t>
      </w:r>
      <w:r w:rsidRPr="00D976E6">
        <w:rPr>
          <w:rFonts w:cs="Calibri"/>
        </w:rPr>
        <w:t xml:space="preserve"> and dismantle systems of oppression while emphasizing collective action and </w:t>
      </w:r>
      <w:r w:rsidRPr="00D976E6">
        <w:rPr>
          <w:rFonts w:cs="Calibri"/>
          <w:u w:val="single"/>
        </w:rPr>
        <w:t>collaboration</w:t>
      </w:r>
      <w:r w:rsidRPr="00D976E6">
        <w:rPr>
          <w:rFonts w:cs="Calibri"/>
        </w:rPr>
        <w:t>.</w:t>
      </w:r>
    </w:p>
    <w:p w14:paraId="13DFE17F" w14:textId="77777777" w:rsidR="00552172" w:rsidRPr="00D976E6" w:rsidRDefault="00552172" w:rsidP="00552172">
      <w:pPr>
        <w:rPr>
          <w:rFonts w:cs="Calibri"/>
        </w:rPr>
      </w:pPr>
      <w:proofErr w:type="spellStart"/>
      <w:r w:rsidRPr="00D976E6">
        <w:rPr>
          <w:rStyle w:val="Style13ptBold"/>
          <w:rFonts w:cs="Calibri"/>
        </w:rPr>
        <w:t>Weheliye</w:t>
      </w:r>
      <w:proofErr w:type="spellEnd"/>
      <w:r w:rsidRPr="00D976E6">
        <w:rPr>
          <w:rStyle w:val="Style13ptBold"/>
          <w:rFonts w:cs="Calibri"/>
        </w:rPr>
        <w:t xml:space="preserve"> 4</w:t>
      </w:r>
      <w:r w:rsidRPr="00D976E6">
        <w:rPr>
          <w:rFonts w:cs="Calibri"/>
        </w:rPr>
        <w:t xml:space="preserve"> [Alexander </w:t>
      </w:r>
      <w:proofErr w:type="spellStart"/>
      <w:r w:rsidRPr="00D976E6">
        <w:rPr>
          <w:rFonts w:cs="Calibri"/>
        </w:rPr>
        <w:t>Weheliye</w:t>
      </w:r>
      <w:proofErr w:type="spellEnd"/>
      <w:r w:rsidRPr="00D976E6">
        <w:rPr>
          <w:rFonts w:cs="Calibri"/>
        </w:rPr>
        <w:t xml:space="preserve">; Associate Professor of African American Studies at Northwestern University; 2014; “Habeas Viscus: Racializing Assemblages, </w:t>
      </w:r>
      <w:proofErr w:type="spellStart"/>
      <w:r w:rsidRPr="00D976E6">
        <w:rPr>
          <w:rFonts w:cs="Calibri"/>
        </w:rPr>
        <w:t>Biopolitics</w:t>
      </w:r>
      <w:proofErr w:type="spellEnd"/>
      <w:r w:rsidRPr="00D976E6">
        <w:rPr>
          <w:rFonts w:cs="Calibri"/>
        </w:rPr>
        <w:t>, and Black Feminist Theories of the Human”; LCA-BP]</w:t>
      </w:r>
    </w:p>
    <w:p w14:paraId="0EDA8CC6" w14:textId="77777777" w:rsidR="00552172" w:rsidRPr="00D976E6" w:rsidRDefault="00552172" w:rsidP="00552172">
      <w:pPr>
        <w:rPr>
          <w:rFonts w:cs="Calibri"/>
          <w:sz w:val="16"/>
        </w:rPr>
      </w:pPr>
      <w:r w:rsidRPr="00D976E6">
        <w:rPr>
          <w:rFonts w:cs="Calibri"/>
          <w:sz w:val="16"/>
        </w:rPr>
        <w:t xml:space="preserve">The poetics and politics that I have been discussing under the heading of </w:t>
      </w:r>
      <w:r w:rsidRPr="00D976E6">
        <w:rPr>
          <w:rStyle w:val="Heading3Char"/>
          <w:rFonts w:cs="Calibri"/>
        </w:rPr>
        <w:t>habeas viscus</w:t>
      </w:r>
      <w:r w:rsidRPr="00D976E6">
        <w:rPr>
          <w:rFonts w:cs="Calibri"/>
          <w:sz w:val="16"/>
        </w:rPr>
        <w:t xml:space="preserve"> or the flesh are </w:t>
      </w:r>
      <w:r w:rsidRPr="00D976E6">
        <w:rPr>
          <w:rStyle w:val="Heading3Char"/>
          <w:rFonts w:cs="Calibri"/>
        </w:rPr>
        <w:t>concerned not with inclusion</w:t>
      </w:r>
      <w:r w:rsidRPr="00D976E6">
        <w:rPr>
          <w:rFonts w:cs="Calibri"/>
          <w:sz w:val="16"/>
        </w:rPr>
        <w:t xml:space="preserve"> in reigning precincts of the status quo </w:t>
      </w:r>
      <w:r w:rsidRPr="00D976E6">
        <w:rPr>
          <w:rStyle w:val="Heading3Char"/>
          <w:rFonts w:cs="Calibri"/>
        </w:rPr>
        <w:t>but</w:t>
      </w:r>
      <w:r w:rsidRPr="00D976E6">
        <w:rPr>
          <w:rFonts w:cs="Calibri"/>
          <w:sz w:val="16"/>
        </w:rPr>
        <w:t xml:space="preserve">, in Cedric Robinson's apt phrasing, “the continuing development of </w:t>
      </w:r>
      <w:r w:rsidRPr="00D976E6">
        <w:rPr>
          <w:rStyle w:val="Heading3Char"/>
          <w:rFonts w:cs="Calibri"/>
        </w:rPr>
        <w:t xml:space="preserve">a collective consciousness </w:t>
      </w:r>
      <w:r w:rsidRPr="00D976E6">
        <w:rPr>
          <w:rFonts w:cs="Calibri"/>
          <w:sz w:val="16"/>
        </w:rPr>
        <w:t xml:space="preserve">informed by the historical struggles for liberation and </w:t>
      </w:r>
      <w:r w:rsidRPr="00D976E6">
        <w:rPr>
          <w:rStyle w:val="Heading3Char"/>
          <w:rFonts w:cs="Calibri"/>
        </w:rPr>
        <w:t xml:space="preserve">motivated by the shared sense of obligation </w:t>
      </w:r>
      <w:r w:rsidRPr="00D976E6">
        <w:rPr>
          <w:rStyle w:val="Heading3Char"/>
          <w:rFonts w:cs="Calibri"/>
          <w:sz w:val="12"/>
        </w:rPr>
        <w:t>to preserve</w:t>
      </w:r>
      <w:r w:rsidRPr="00D976E6">
        <w:rPr>
          <w:rFonts w:cs="Calibri"/>
          <w:sz w:val="12"/>
        </w:rPr>
        <w:t xml:space="preserve"> [and I would add also to reimagine] </w:t>
      </w:r>
      <w:r w:rsidRPr="00D976E6">
        <w:rPr>
          <w:rStyle w:val="Heading3Char"/>
          <w:rFonts w:cs="Calibri"/>
          <w:sz w:val="12"/>
        </w:rPr>
        <w:t>the collective being</w:t>
      </w:r>
      <w:r w:rsidRPr="00D976E6">
        <w:rPr>
          <w:rFonts w:cs="Calibri"/>
          <w:sz w:val="12"/>
        </w:rPr>
        <w:t>, the ontological totality.”31 Though the laws of Man place the flesh outside the ferocious and ravenous perimeters of the legal body</w:t>
      </w:r>
      <w:r w:rsidRPr="00D976E6">
        <w:rPr>
          <w:rFonts w:cs="Calibri"/>
          <w:sz w:val="16"/>
        </w:rPr>
        <w:t xml:space="preserve">, </w:t>
      </w:r>
      <w:r w:rsidRPr="00D976E6">
        <w:rPr>
          <w:rStyle w:val="Heading3Char"/>
          <w:rFonts w:cs="Calibri"/>
        </w:rPr>
        <w:t>habeas viscus defies domestication</w:t>
      </w:r>
      <w:r w:rsidRPr="00D976E6">
        <w:rPr>
          <w:rFonts w:cs="Calibri"/>
          <w:sz w:val="16"/>
        </w:rPr>
        <w:t xml:space="preserve"> both </w:t>
      </w:r>
      <w:r w:rsidRPr="00D976E6">
        <w:rPr>
          <w:rStyle w:val="Heading3Char"/>
          <w:rFonts w:cs="Calibri"/>
        </w:rPr>
        <w:t>on the basis of</w:t>
      </w:r>
      <w:r w:rsidRPr="00D976E6">
        <w:rPr>
          <w:rFonts w:cs="Calibri"/>
          <w:sz w:val="16"/>
        </w:rPr>
        <w:t xml:space="preserve"> particularized </w:t>
      </w:r>
      <w:r w:rsidRPr="00D976E6">
        <w:rPr>
          <w:rStyle w:val="Heading3Char"/>
          <w:rFonts w:cs="Calibri"/>
        </w:rPr>
        <w:t>personhood as a result of suffering</w:t>
      </w:r>
      <w:r w:rsidRPr="00D976E6">
        <w:rPr>
          <w:rFonts w:cs="Calibri"/>
          <w:sz w:val="16"/>
        </w:rPr>
        <w:t>, as in human rights discourse,</w:t>
      </w:r>
      <w:r w:rsidRPr="00D976E6">
        <w:rPr>
          <w:rStyle w:val="Heading3Char"/>
          <w:rFonts w:cs="Calibri"/>
        </w:rPr>
        <w:t xml:space="preserve"> and on the grounds of the</w:t>
      </w:r>
      <w:r w:rsidRPr="00D976E6">
        <w:rPr>
          <w:rFonts w:cs="Calibri"/>
          <w:sz w:val="16"/>
        </w:rPr>
        <w:t xml:space="preserve"> </w:t>
      </w:r>
      <w:r w:rsidRPr="00D976E6">
        <w:rPr>
          <w:rStyle w:val="Heading3Char"/>
          <w:rFonts w:cs="Calibri"/>
        </w:rPr>
        <w:t>universalized</w:t>
      </w:r>
      <w:r w:rsidRPr="00D976E6">
        <w:rPr>
          <w:rFonts w:cs="Calibri"/>
          <w:sz w:val="16"/>
        </w:rPr>
        <w:t xml:space="preserve"> version of </w:t>
      </w:r>
      <w:r w:rsidRPr="00D976E6">
        <w:rPr>
          <w:rStyle w:val="Heading3Char"/>
          <w:rFonts w:cs="Calibri"/>
        </w:rPr>
        <w:t xml:space="preserve">western Man. Rather, habeas viscus points to </w:t>
      </w:r>
      <w:r w:rsidRPr="00D976E6">
        <w:rPr>
          <w:rStyle w:val="Heading3Char"/>
          <w:rFonts w:cs="Calibri"/>
          <w:sz w:val="12"/>
        </w:rPr>
        <w:t>the terrain of</w:t>
      </w:r>
      <w:r w:rsidRPr="00D976E6">
        <w:rPr>
          <w:rStyle w:val="Heading3Char"/>
          <w:rFonts w:cs="Calibri"/>
        </w:rPr>
        <w:t xml:space="preserve"> humanity as a relational assemblage exterior to the</w:t>
      </w:r>
      <w:r w:rsidRPr="00D976E6">
        <w:rPr>
          <w:rFonts w:cs="Calibri"/>
          <w:sz w:val="16"/>
        </w:rPr>
        <w:t xml:space="preserve"> jurisdiction of </w:t>
      </w:r>
      <w:r w:rsidRPr="00D976E6">
        <w:rPr>
          <w:rStyle w:val="Heading3Char"/>
          <w:rFonts w:cs="Calibri"/>
        </w:rPr>
        <w:t>law</w:t>
      </w:r>
      <w:r w:rsidRPr="00D976E6">
        <w:rPr>
          <w:rFonts w:cs="Calibri"/>
          <w:sz w:val="16"/>
        </w:rPr>
        <w:t xml:space="preserve">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habeas viscus diverges from the discourses and institutions that yoke the flesh to political violence in the modus of deviance. Instead, </w:t>
      </w:r>
      <w:r w:rsidRPr="00D976E6">
        <w:rPr>
          <w:rStyle w:val="Heading3Char"/>
          <w:rFonts w:cs="Calibri"/>
        </w:rPr>
        <w:t>it translates the hieroglyphics of the flesh into a potentiality in any and all things</w:t>
      </w:r>
      <w:r w:rsidRPr="00D976E6">
        <w:rPr>
          <w:rFonts w:cs="Calibri"/>
          <w:sz w:val="16"/>
        </w:rPr>
        <w:t xml:space="preserve">, 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t>
      </w:r>
      <w:proofErr w:type="spellStart"/>
      <w:r w:rsidRPr="00D976E6">
        <w:rPr>
          <w:rFonts w:cs="Calibri"/>
          <w:sz w:val="16"/>
        </w:rPr>
        <w:t>Wynter</w:t>
      </w:r>
      <w:proofErr w:type="spellEnd"/>
      <w:r w:rsidRPr="00D976E6">
        <w:rPr>
          <w:rFonts w:cs="Calibri"/>
          <w:sz w:val="16"/>
        </w:rPr>
        <w:t xml:space="preserve">, “the struggle of our new millennium will be one between the ongoing imperative of securing the well-being of our present </w:t>
      </w:r>
      <w:proofErr w:type="spellStart"/>
      <w:r w:rsidRPr="00D976E6">
        <w:rPr>
          <w:rFonts w:cs="Calibri"/>
          <w:sz w:val="16"/>
        </w:rPr>
        <w:t>ethnoclass</w:t>
      </w:r>
      <w:proofErr w:type="spellEnd"/>
      <w:r w:rsidRPr="00D976E6">
        <w:rPr>
          <w:rFonts w:cs="Calibri"/>
          <w:sz w:val="16"/>
        </w:rPr>
        <w:t xml:space="preserve"> (i.e. western bourgeois) conception of the human, Man, which </w:t>
      </w:r>
      <w:proofErr w:type="spellStart"/>
      <w:r w:rsidRPr="00D976E6">
        <w:rPr>
          <w:rFonts w:cs="Calibri"/>
          <w:sz w:val="16"/>
        </w:rPr>
        <w:t>overrepresents</w:t>
      </w:r>
      <w:proofErr w:type="spellEnd"/>
      <w:r w:rsidRPr="00D976E6">
        <w:rPr>
          <w:rFonts w:cs="Calibri"/>
          <w:sz w:val="16"/>
        </w:rPr>
        <w:t xml:space="preserve"> itself as if it were the human itself, and that of securing the well-being, and therefore the full cognitive and behavioral autonomy of the human species itself/ourselves.”32 Claiming </w:t>
      </w:r>
      <w:r w:rsidRPr="00D976E6">
        <w:rPr>
          <w:rStyle w:val="Heading3Char"/>
          <w:rFonts w:cs="Calibri"/>
        </w:rPr>
        <w:t>and dwelling in the monstrosity of the flesh present some of the weapons in the guerrilla warfare</w:t>
      </w:r>
      <w:r w:rsidRPr="00D976E6">
        <w:rPr>
          <w:rFonts w:cs="Calibri"/>
          <w:sz w:val="16"/>
        </w:rPr>
        <w:t xml:space="preserve"> to “secure the full cognitive and behavioral autonomy of the human species,” </w:t>
      </w:r>
      <w:r w:rsidRPr="00D976E6">
        <w:rPr>
          <w:rStyle w:val="Heading3Char"/>
          <w:rFonts w:cs="Calibri"/>
        </w:rPr>
        <w:t xml:space="preserve">since these </w:t>
      </w:r>
      <w:r w:rsidRPr="00D976E6">
        <w:rPr>
          <w:rStyle w:val="Heading3Char"/>
          <w:rFonts w:cs="Calibri"/>
          <w:sz w:val="12"/>
        </w:rPr>
        <w:t>liberate</w:t>
      </w:r>
      <w:r w:rsidRPr="00D976E6">
        <w:rPr>
          <w:rFonts w:cs="Calibri"/>
          <w:sz w:val="16"/>
        </w:rPr>
        <w:t xml:space="preserve"> from captivity </w:t>
      </w:r>
      <w:r w:rsidRPr="00D976E6">
        <w:rPr>
          <w:rStyle w:val="Heading3Char"/>
          <w:rFonts w:cs="Calibri"/>
          <w:sz w:val="12"/>
        </w:rPr>
        <w:t>assemblages</w:t>
      </w:r>
      <w:r w:rsidRPr="00D976E6">
        <w:rPr>
          <w:rFonts w:cs="Calibri"/>
          <w:sz w:val="16"/>
        </w:rPr>
        <w:t xml:space="preserve"> of life, thought, and politics from the tradition of the oppressed and, as a result, </w:t>
      </w:r>
      <w:r w:rsidRPr="00D976E6">
        <w:rPr>
          <w:rStyle w:val="Heading3Char"/>
          <w:rFonts w:cs="Calibri"/>
        </w:rPr>
        <w:t xml:space="preserve">disfigure the centrality of Man as the sign for </w:t>
      </w:r>
      <w:r w:rsidRPr="00D976E6">
        <w:rPr>
          <w:rFonts w:cs="Calibri"/>
          <w:sz w:val="16"/>
        </w:rPr>
        <w:t xml:space="preserve">the </w:t>
      </w:r>
      <w:r w:rsidRPr="00D976E6">
        <w:rPr>
          <w:rStyle w:val="Heading3Char"/>
          <w:rFonts w:cs="Calibri"/>
        </w:rPr>
        <w:t>human</w:t>
      </w:r>
      <w:r w:rsidRPr="00D976E6">
        <w:rPr>
          <w:rFonts w:cs="Calibri"/>
          <w:sz w:val="16"/>
        </w:rPr>
        <w:t xml:space="preserve">. As an assemblage of humanity, </w:t>
      </w:r>
      <w:r w:rsidRPr="00D976E6">
        <w:rPr>
          <w:rStyle w:val="Heading3Char"/>
          <w:rFonts w:cs="Calibri"/>
        </w:rPr>
        <w:t xml:space="preserve">habeas viscus animates the </w:t>
      </w:r>
      <w:proofErr w:type="spellStart"/>
      <w:r w:rsidRPr="00D976E6">
        <w:rPr>
          <w:rStyle w:val="Heading3Char"/>
          <w:rFonts w:cs="Calibri"/>
        </w:rPr>
        <w:t>elsewheres</w:t>
      </w:r>
      <w:proofErr w:type="spellEnd"/>
      <w:r w:rsidRPr="00D976E6">
        <w:rPr>
          <w:rStyle w:val="Heading3Char"/>
          <w:rFonts w:cs="Calibri"/>
        </w:rPr>
        <w:t xml:space="preserve"> of Man and emancipates the true potentiality that rests in those subjects who live behind the veil of the permanent state of exception</w:t>
      </w:r>
      <w:r w:rsidRPr="00D976E6">
        <w:rPr>
          <w:rFonts w:cs="Calibri"/>
          <w:sz w:val="16"/>
        </w:rPr>
        <w:t>: freedom; assemblages of freedom that sway to the temporality of new syncopated beginnings for the human beyond the world and continent of Man.</w:t>
      </w:r>
    </w:p>
    <w:p w14:paraId="2C287D69" w14:textId="77777777" w:rsidR="00552172" w:rsidRPr="00552172" w:rsidRDefault="00552172" w:rsidP="00552172"/>
    <w:p w14:paraId="512DC014" w14:textId="77777777" w:rsidR="00C45332" w:rsidRDefault="00552172" w:rsidP="00552172">
      <w:pPr>
        <w:pStyle w:val="Heading2"/>
      </w:pPr>
      <w:r>
        <w:t>Case</w:t>
      </w:r>
    </w:p>
    <w:p w14:paraId="0CF8C0D5" w14:textId="77777777" w:rsidR="00383041" w:rsidRPr="00383041" w:rsidRDefault="00383041" w:rsidP="00383041"/>
    <w:p w14:paraId="3EB5AAEF" w14:textId="77777777" w:rsidR="00552172" w:rsidRPr="00552172" w:rsidRDefault="00552172" w:rsidP="00552172"/>
    <w:sectPr w:rsidR="00552172" w:rsidRPr="005521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1"/>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C33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41"/>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C67"/>
    <w:rsid w:val="00436E2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160F"/>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17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404"/>
    <w:rsid w:val="005D3B4D"/>
    <w:rsid w:val="005D615C"/>
    <w:rsid w:val="005D77A8"/>
    <w:rsid w:val="005E1860"/>
    <w:rsid w:val="005F063B"/>
    <w:rsid w:val="005F192D"/>
    <w:rsid w:val="005F24C8"/>
    <w:rsid w:val="005F26AF"/>
    <w:rsid w:val="00607D6C"/>
    <w:rsid w:val="0061211A"/>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3957"/>
    <w:rsid w:val="006F5693"/>
    <w:rsid w:val="006F5D4C"/>
    <w:rsid w:val="00717B01"/>
    <w:rsid w:val="007227D9"/>
    <w:rsid w:val="0072491F"/>
    <w:rsid w:val="00725598"/>
    <w:rsid w:val="007374A1"/>
    <w:rsid w:val="00752712"/>
    <w:rsid w:val="00753A84"/>
    <w:rsid w:val="00755889"/>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02DD"/>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6D7C"/>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332"/>
    <w:rsid w:val="00C56DCC"/>
    <w:rsid w:val="00C57075"/>
    <w:rsid w:val="00C72AFE"/>
    <w:rsid w:val="00C81619"/>
    <w:rsid w:val="00CA013C"/>
    <w:rsid w:val="00CA6D6D"/>
    <w:rsid w:val="00CC7A4E"/>
    <w:rsid w:val="00CD1359"/>
    <w:rsid w:val="00CD4C83"/>
    <w:rsid w:val="00D01EDC"/>
    <w:rsid w:val="00D02825"/>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4CF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367"/>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3DD"/>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E4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E8993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16D7C"/>
    <w:pPr>
      <w:spacing w:after="160" w:line="259" w:lineRule="auto"/>
    </w:pPr>
  </w:style>
  <w:style w:type="paragraph" w:styleId="Heading1">
    <w:name w:val="heading 1"/>
    <w:aliases w:val="Pocket"/>
    <w:basedOn w:val="Normal"/>
    <w:next w:val="Normal"/>
    <w:link w:val="Heading1Char"/>
    <w:uiPriority w:val="9"/>
    <w:qFormat/>
    <w:rsid w:val="00B16D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6D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B16D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B16D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6D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6D7C"/>
  </w:style>
  <w:style w:type="character" w:customStyle="1" w:styleId="Heading1Char">
    <w:name w:val="Heading 1 Char"/>
    <w:aliases w:val="Pocket Char"/>
    <w:basedOn w:val="DefaultParagraphFont"/>
    <w:link w:val="Heading1"/>
    <w:uiPriority w:val="9"/>
    <w:rsid w:val="00B16D7C"/>
    <w:rPr>
      <w:rFonts w:eastAsiaTheme="majorEastAsia" w:cstheme="majorBidi"/>
      <w:b/>
      <w:bCs/>
      <w:sz w:val="52"/>
      <w:szCs w:val="32"/>
    </w:rPr>
  </w:style>
  <w:style w:type="character" w:customStyle="1" w:styleId="Heading2Char">
    <w:name w:val="Heading 2 Char"/>
    <w:aliases w:val="Hat Char"/>
    <w:basedOn w:val="DefaultParagraphFont"/>
    <w:link w:val="Heading2"/>
    <w:uiPriority w:val="9"/>
    <w:rsid w:val="00B16D7C"/>
    <w:rPr>
      <w:rFonts w:eastAsiaTheme="majorEastAsia"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B16D7C"/>
    <w:rPr>
      <w:rFonts w:eastAsiaTheme="majorEastAs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B16D7C"/>
    <w:rPr>
      <w:rFonts w:eastAsiaTheme="majorEastAs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6D7C"/>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Bold Cite Char,Citation Char Char Char,ci,c"/>
    <w:basedOn w:val="DefaultParagraphFont"/>
    <w:uiPriority w:val="1"/>
    <w:qFormat/>
    <w:rsid w:val="00B16D7C"/>
    <w:rPr>
      <w:b w:val="0"/>
      <w:sz w:val="22"/>
      <w:u w:val="single"/>
    </w:rPr>
  </w:style>
  <w:style w:type="character" w:styleId="Emphasis">
    <w:name w:val="Emphasis"/>
    <w:basedOn w:val="DefaultParagraphFont"/>
    <w:uiPriority w:val="20"/>
    <w:qFormat/>
    <w:rsid w:val="00B16D7C"/>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B16D7C"/>
    <w:rPr>
      <w:color w:val="auto"/>
      <w:u w:val="none"/>
    </w:rPr>
  </w:style>
  <w:style w:type="character" w:styleId="Hyperlink">
    <w:name w:val="Hyperlink"/>
    <w:basedOn w:val="DefaultParagraphFont"/>
    <w:uiPriority w:val="99"/>
    <w:semiHidden/>
    <w:unhideWhenUsed/>
    <w:rsid w:val="00B16D7C"/>
    <w:rPr>
      <w:color w:val="auto"/>
      <w:u w:val="none"/>
    </w:rPr>
  </w:style>
  <w:style w:type="paragraph" w:styleId="DocumentMap">
    <w:name w:val="Document Map"/>
    <w:basedOn w:val="Normal"/>
    <w:link w:val="DocumentMapChar"/>
    <w:uiPriority w:val="99"/>
    <w:semiHidden/>
    <w:unhideWhenUsed/>
    <w:rsid w:val="00B16D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6D7C"/>
    <w:rPr>
      <w:rFonts w:ascii="Lucida Grande" w:hAnsi="Lucida Grande" w:cs="Lucida Gran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herinesh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FAD674-AC0D-D949-87B0-45BA256A1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3401</Words>
  <Characters>19392</Characters>
  <Application>Microsoft Macintosh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22748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Shi</dc:creator>
  <cp:keywords>5.2</cp:keywords>
  <dc:description/>
  <cp:lastModifiedBy>Katherine Shi</cp:lastModifiedBy>
  <cp:revision>4</cp:revision>
  <dcterms:created xsi:type="dcterms:W3CDTF">2021-11-06T18:35:00Z</dcterms:created>
  <dcterms:modified xsi:type="dcterms:W3CDTF">2021-11-06T19:56:00Z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