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48FBA" w14:textId="77777777" w:rsidR="00173295" w:rsidRPr="00CB5A7F" w:rsidRDefault="00173295" w:rsidP="00CB5A7F"/>
    <w:p w14:paraId="03926418" w14:textId="07341FE1" w:rsidR="00E42E4C" w:rsidRDefault="00761FBD" w:rsidP="00761FBD">
      <w:pPr>
        <w:pStyle w:val="Heading1"/>
      </w:pPr>
      <w:r>
        <w:t>1AC</w:t>
      </w:r>
    </w:p>
    <w:p w14:paraId="64A99A61" w14:textId="599462CA" w:rsidR="005C585B" w:rsidRPr="005C585B" w:rsidRDefault="005C585B" w:rsidP="005C585B">
      <w:pPr>
        <w:pStyle w:val="Heading2"/>
      </w:pPr>
      <w:bookmarkStart w:id="0" w:name="_GoBack"/>
      <w:bookmarkEnd w:id="0"/>
      <w:r>
        <w:t xml:space="preserve">framing </w:t>
      </w:r>
    </w:p>
    <w:p w14:paraId="76912919" w14:textId="77777777" w:rsidR="00761FBD" w:rsidRPr="00292DE7" w:rsidRDefault="00761FBD" w:rsidP="00761FBD">
      <w:pPr>
        <w:pStyle w:val="Heading4"/>
      </w:pPr>
      <w:r w:rsidRPr="00292DE7">
        <w:t xml:space="preserve">Subjectivity is the basis of ethics because asking what we ought to do begs the question of what constitutes the subject in the first place  </w:t>
      </w:r>
    </w:p>
    <w:p w14:paraId="39E29BAB" w14:textId="77777777" w:rsidR="00761FBD" w:rsidRPr="00292DE7" w:rsidRDefault="00761FBD" w:rsidP="00761FBD">
      <w:pPr>
        <w:pStyle w:val="Heading4"/>
        <w:rPr>
          <w:rFonts w:cs="Times New Roman"/>
        </w:rPr>
      </w:pPr>
      <w:r w:rsidRPr="00292DE7">
        <w:rPr>
          <w:rFonts w:cs="Times New Roman"/>
        </w:rPr>
        <w:t>Thinking is only a feature of me and doesn’t determine the subject. Subjectivity is fluid— The subject is always fractured through time, each fracture being constantly filled and reopened, meaning stable subjecthood fails.</w:t>
      </w:r>
    </w:p>
    <w:p w14:paraId="457AC510" w14:textId="77777777" w:rsidR="00761FBD" w:rsidRPr="00292DE7" w:rsidRDefault="00761FBD" w:rsidP="00761FBD">
      <w:r w:rsidRPr="00292DE7">
        <w:rPr>
          <w:rStyle w:val="Style13ptBold"/>
        </w:rPr>
        <w:t>Deleuze</w:t>
      </w:r>
      <w:r w:rsidRPr="00292DE7">
        <w:rPr>
          <w:sz w:val="12"/>
          <w:szCs w:val="12"/>
        </w:rPr>
        <w:t>, Gilles. Difference and Repitition. Translated by Paul Patton. 19</w:t>
      </w:r>
      <w:r w:rsidRPr="00292DE7">
        <w:rPr>
          <w:rStyle w:val="Style13ptBold"/>
        </w:rPr>
        <w:t>68</w:t>
      </w:r>
      <w:r w:rsidRPr="00292DE7">
        <w:rPr>
          <w:sz w:val="12"/>
          <w:szCs w:val="12"/>
        </w:rPr>
        <w:t>. SHS KS</w:t>
      </w:r>
      <w:r w:rsidRPr="00292DE7">
        <w:t xml:space="preserve"> </w:t>
      </w:r>
    </w:p>
    <w:p w14:paraId="11E6DDC4" w14:textId="77777777" w:rsidR="00761FBD" w:rsidRPr="00292DE7" w:rsidRDefault="00761FBD" w:rsidP="00761FBD">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mination).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is an other</w:t>
      </w:r>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an Other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a matter of establishing the difference and interiorising it within being and thought. It is as though the I were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form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it.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ontraction).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60D671B5" w14:textId="77777777" w:rsidR="00761FBD" w:rsidRPr="00292DE7" w:rsidRDefault="00761FBD" w:rsidP="00761FBD">
      <w:pPr>
        <w:rPr>
          <w:sz w:val="14"/>
        </w:rPr>
      </w:pPr>
    </w:p>
    <w:p w14:paraId="1DD50DDD" w14:textId="77777777" w:rsidR="00761FBD" w:rsidRDefault="00761FBD" w:rsidP="00761FBD">
      <w:pPr>
        <w:pStyle w:val="Heading4"/>
      </w:pPr>
      <w:r w:rsidRPr="00E528ED">
        <w:t xml:space="preserve">Our instability means that we’re temporally bound and connected by affect – Our encounters with the world change the way we form relations with everything else. </w:t>
      </w:r>
    </w:p>
    <w:p w14:paraId="11819A59" w14:textId="77777777" w:rsidR="00761FBD" w:rsidRPr="00292DE7" w:rsidRDefault="00761FBD" w:rsidP="00761FBD">
      <w:r w:rsidRPr="00292DE7">
        <w:rPr>
          <w:sz w:val="12"/>
          <w:szCs w:val="12"/>
        </w:rPr>
        <w:t xml:space="preserve">The Power to be Affected Michael </w:t>
      </w:r>
      <w:r w:rsidRPr="00292DE7">
        <w:rPr>
          <w:rStyle w:val="Style13ptBold"/>
        </w:rPr>
        <w:t>Hardt</w:t>
      </w:r>
      <w:r w:rsidRPr="00292DE7">
        <w:rPr>
          <w:sz w:val="12"/>
          <w:szCs w:val="12"/>
        </w:rPr>
        <w:t xml:space="preserve"> Published online: 12 December 20</w:t>
      </w:r>
      <w:r w:rsidRPr="00292DE7">
        <w:rPr>
          <w:rStyle w:val="Style13ptBold"/>
        </w:rPr>
        <w:t>14</w:t>
      </w:r>
      <w:r w:rsidRPr="00292DE7">
        <w:rPr>
          <w:sz w:val="12"/>
          <w:szCs w:val="12"/>
        </w:rPr>
        <w:t xml:space="preserve"> # Springer Science+Business Media New York 2014 Int J Polit Cult Soc (2015) 28:215–222 DOI 10.1007/s10767-014-9191-x SHS KS</w:t>
      </w:r>
    </w:p>
    <w:p w14:paraId="340B119D" w14:textId="77777777" w:rsidR="00761FBD" w:rsidRPr="00292DE7" w:rsidRDefault="00761FBD" w:rsidP="00761FBD">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Indeed one advantage of using “</w:t>
      </w:r>
      <w:r w:rsidRPr="00292DE7">
        <w:rPr>
          <w:rStyle w:val="Emphasis"/>
          <w:highlight w:val="cyan"/>
        </w:rPr>
        <w:t>affect</w:t>
      </w:r>
      <w:r w:rsidRPr="00292DE7">
        <w:rPr>
          <w:sz w:val="16"/>
        </w:rPr>
        <w:t xml:space="preserve">” instead of the more colloquial “emotion” or “feeling” to translate Spinoza’s Latin term “affectus”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Deleuze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 xml:space="preserve">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“L’affect et l’idée”).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dem</w:t>
      </w:r>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Deleuze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“composable” with those of another.</w:t>
      </w:r>
      <w:r w:rsidRPr="00292DE7">
        <w:rPr>
          <w:sz w:val="16"/>
        </w:rPr>
        <w:t xml:space="preserve"> And a joyful encounter always indicates that there is something in common to discover. “We must, then,” Deleuze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Berlant’s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Berlant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Berlant meet: in a political project for nonsovereign subjects.</w:t>
      </w:r>
    </w:p>
    <w:p w14:paraId="27AF803D" w14:textId="77777777" w:rsidR="00761FBD" w:rsidRPr="00E528ED" w:rsidRDefault="00761FBD" w:rsidP="00761FBD">
      <w:pPr>
        <w:pStyle w:val="Heading4"/>
      </w:pPr>
      <w:r w:rsidRPr="00E528ED">
        <w:t xml:space="preserve">Affect is divided into two groups – Active and reactive. Active affect embraces the constitution of difference and fluidity, while reactive affect embraces transcendence and stability. </w:t>
      </w:r>
    </w:p>
    <w:p w14:paraId="12D77396" w14:textId="77777777" w:rsidR="00761FBD" w:rsidRPr="00292DE7" w:rsidRDefault="00761FBD" w:rsidP="00761FBD">
      <w:pPr>
        <w:rPr>
          <w:sz w:val="16"/>
        </w:rPr>
      </w:pPr>
    </w:p>
    <w:p w14:paraId="6E7A09A5" w14:textId="77777777" w:rsidR="00761FBD" w:rsidRPr="00292DE7" w:rsidRDefault="00761FBD" w:rsidP="00761FBD">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5AD0FC12" w14:textId="77777777" w:rsidR="00761FBD" w:rsidRPr="00292DE7" w:rsidRDefault="00761FBD" w:rsidP="00761FBD">
      <w:pPr>
        <w:rPr>
          <w:sz w:val="12"/>
          <w:szCs w:val="12"/>
        </w:rPr>
      </w:pPr>
      <w:r w:rsidRPr="00292DE7">
        <w:t>Karatzogianni, Athina and Robinson, Andy. “Schizorevolutions vs. Microfascisms: A Deleuzo-Nietzchean Perspective on State, Security, and Active/Reactive Networks.” University of Leicester, . 2013. SHS KS</w:t>
      </w:r>
      <w:r w:rsidRPr="00292DE7">
        <w:rPr>
          <w:sz w:val="12"/>
          <w:szCs w:val="12"/>
        </w:rPr>
        <w:t xml:space="preserve"> </w:t>
      </w:r>
    </w:p>
    <w:p w14:paraId="1E632591" w14:textId="77777777" w:rsidR="00761FBD" w:rsidRPr="00292DE7" w:rsidRDefault="00761FBD" w:rsidP="00761FBD">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recognise that the source is the state and the weak point is in the movements.</w:t>
      </w:r>
      <w:r w:rsidRPr="00292DE7">
        <w:rPr>
          <w:sz w:val="16"/>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more humble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valorise what they are </w:t>
      </w:r>
      <w:r w:rsidRPr="00292DE7">
        <w:rPr>
          <w:rStyle w:val="Emphasis"/>
        </w:rPr>
        <w:t xml:space="preserve">-- autonomous affinity-networks -- </w:t>
      </w:r>
      <w:r w:rsidRPr="00292DE7">
        <w:rPr>
          <w:rStyle w:val="Emphasis"/>
          <w:highlight w:val="cyan"/>
        </w:rPr>
        <w:t>rather than internalising majoritarian norms</w:t>
      </w:r>
      <w:r w:rsidRPr="00292DE7">
        <w:rPr>
          <w:rStyle w:val="StyleUnderline"/>
        </w:rPr>
        <w:t>.</w:t>
      </w:r>
      <w:r w:rsidRPr="00292DE7">
        <w:rPr>
          <w:sz w:val="16"/>
        </w:rPr>
        <w:t xml:space="preserve"> For instance, in terms of the impact of technosocial transformations on agency, the negotiation of ideology, order of dissent in relation to capitalism as a social code</w:t>
      </w:r>
      <w:r w:rsidRPr="00292DE7">
        <w:rPr>
          <w:rStyle w:val="StyleUnderline"/>
        </w:rPr>
        <w:t>, remains hostage to labor processes and to thick identities of local/regional or national interests, which fail to move contemporary movements to an active affinity to a common humanity and a pragmatic solution for an ethical, non exploitative form of production</w:t>
      </w:r>
      <w:r w:rsidRPr="00292DE7">
        <w:rPr>
          <w:sz w:val="16"/>
        </w:rPr>
        <w:t xml:space="preserve"> (Karatzogianni and Schandorf, 2012). Here the exception may like in the global justice movements and Occupy, although still here the discourse remains often in reactive mode, due to state crackdowns experienced by the movements</w:t>
      </w:r>
      <w:r w:rsidRPr="00292DE7">
        <w:rPr>
          <w:rStyle w:val="Emphasis"/>
        </w:rPr>
        <w:t>. There is a great need to find ways to energise hope against fear.</w:t>
      </w:r>
      <w:r w:rsidRPr="00292DE7">
        <w:rPr>
          <w:rStyle w:val="StyleUnderline"/>
        </w:rPr>
        <w:t xml:space="preserve"> </w:t>
      </w:r>
      <w:r w:rsidRPr="00292DE7">
        <w:rPr>
          <w:rStyle w:val="Emphasis"/>
          <w:highlight w:val="cyan"/>
        </w:rPr>
        <w:t>Hope as an active force can be counterposed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An emotional shift can thus be enough to revolutionise subjectivities.</w:t>
      </w:r>
      <w:r w:rsidRPr="00292DE7">
        <w:rPr>
          <w:sz w:val="16"/>
        </w:rPr>
        <w:t xml:space="preserve">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r w:rsidRPr="00292DE7">
        <w:rPr>
          <w:rStyle w:val="StyleUnderline"/>
        </w:rPr>
        <w:t xml:space="preserve">Deleuze and Guattari use the term ‘absolute deterritorialisation’ for this possibility. </w:t>
      </w:r>
      <w:r w:rsidRPr="00292DE7">
        <w:rPr>
          <w:sz w:val="16"/>
        </w:rPr>
        <w:t xml:space="preserve">In his work on conflict transformation, John Paul Lederach emphasises </w:t>
      </w:r>
      <w:r w:rsidRPr="00292DE7">
        <w:rPr>
          <w:rStyle w:val="StyleUnderline"/>
        </w:rPr>
        <w:t>the need to turn negative energies into creative energies and mobilising hope against fear</w:t>
      </w:r>
      <w:r w:rsidRPr="00292DE7">
        <w:rPr>
          <w:sz w:val="16"/>
        </w:rPr>
        <w:t xml:space="preserve"> (Lederach and Maiese, n.d.: 2-3; Lederach, 2005). How is this change in vital energies to be accomplished? </w:t>
      </w:r>
      <w:r w:rsidRPr="00292DE7">
        <w:rPr>
          <w:rStyle w:val="StyleUnderline"/>
        </w:rPr>
        <w:t>Deleuze and Guattari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Ruta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counterposed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r w:rsidRPr="00292DE7">
        <w:rPr>
          <w:rStyle w:val="Emphasis"/>
        </w:rPr>
        <w:t>counterpose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5CA4FC26" w14:textId="77777777" w:rsidR="00761FBD" w:rsidRPr="00292DE7" w:rsidRDefault="00761FBD" w:rsidP="00761FBD"/>
    <w:p w14:paraId="406A1ACA" w14:textId="6CE549DF" w:rsidR="00761FBD" w:rsidRPr="00292DE7" w:rsidRDefault="00761FBD" w:rsidP="00761FBD">
      <w:pPr>
        <w:pStyle w:val="Heading4"/>
        <w:rPr>
          <w:rStyle w:val="StyleUnderline"/>
        </w:rPr>
      </w:pPr>
      <w:r w:rsidRPr="00292DE7">
        <w:rPr>
          <w:rFonts w:cs="Times New Roman"/>
        </w:rPr>
        <w:t>Thus, the standard</w:t>
      </w:r>
      <w:r w:rsidR="00215079">
        <w:rPr>
          <w:rFonts w:cs="Times New Roman"/>
        </w:rPr>
        <w:t xml:space="preserve"> </w:t>
      </w:r>
      <w:r w:rsidRPr="00292DE7">
        <w:rPr>
          <w:rFonts w:cs="Times New Roman"/>
        </w:rPr>
        <w:t xml:space="preserve">is to embrace a politics of active affect. To clarify, we reject things that reinforce stability or the majoritarian subject. </w:t>
      </w:r>
    </w:p>
    <w:p w14:paraId="4192A12F" w14:textId="77777777" w:rsidR="00761FBD" w:rsidRPr="00292DE7" w:rsidRDefault="00761FBD" w:rsidP="00761FBD">
      <w:pPr>
        <w:pStyle w:val="Heading4"/>
        <w:rPr>
          <w:rFonts w:cs="Times New Roman"/>
        </w:rPr>
      </w:pPr>
      <w:r w:rsidRPr="00292DE7">
        <w:rPr>
          <w:rFonts w:cs="Times New Roman"/>
        </w:rPr>
        <w:t xml:space="preserve">Prefer additionally: </w:t>
      </w:r>
    </w:p>
    <w:p w14:paraId="313E4DD5" w14:textId="77777777" w:rsidR="00761FBD" w:rsidRDefault="00761FBD" w:rsidP="00761FBD">
      <w:pPr>
        <w:pStyle w:val="Heading4"/>
      </w:pPr>
      <w:r>
        <w:t>[1] The law is dissumlated within our atmospheres, while it is ever creeping, it also provides the potential for its own deconstruction and re-energization of affect</w:t>
      </w:r>
    </w:p>
    <w:p w14:paraId="3E3CC257" w14:textId="77777777" w:rsidR="00761FBD" w:rsidRPr="006C362A" w:rsidRDefault="00761FBD" w:rsidP="00761FBD">
      <w:pPr>
        <w:pStyle w:val="Heading4"/>
      </w:pPr>
      <w:r w:rsidRPr="006F0521">
        <w:t>[P-M 13]</w:t>
      </w:r>
      <w:r>
        <w:rPr>
          <w:rStyle w:val="Style13ptBold"/>
        </w:rPr>
        <w:t xml:space="preserve"> </w:t>
      </w:r>
      <w:r w:rsidRPr="006F0521">
        <w:rPr>
          <w:rStyle w:val="Style13ptBold"/>
        </w:rPr>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6A5FBD44" w14:textId="2E0DDF14" w:rsidR="00E920CE" w:rsidRPr="0017445F" w:rsidRDefault="00761FBD" w:rsidP="00E920CE">
      <w:pPr>
        <w:rPr>
          <w:rStyle w:val="StyleUnderline"/>
          <w:u w:val="none"/>
        </w:rPr>
      </w:pPr>
      <w:r w:rsidRPr="00BB2876">
        <w:rPr>
          <w:sz w:val="14"/>
        </w:rPr>
        <w:t xml:space="preserve">To conclude, I would like to offer one final word on dissimulation. </w:t>
      </w:r>
      <w:r w:rsidRPr="00917A5A">
        <w:rPr>
          <w:rStyle w:val="Emphasis"/>
          <w:highlight w:val="cyan"/>
        </w:rPr>
        <w:t>The fact that the lawscape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Lyotard writes: “Christ dissimulates the Antichrist in the sense that he conceals his fearsome mission from the latter in his speeches.and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are indissociable, both working</w:t>
      </w:r>
      <w:r w:rsidRPr="000A65F4">
        <w:rPr>
          <w:rStyle w:val="StyleUnderline"/>
        </w:rPr>
        <w:t xml:space="preserve"> fromwithin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dematerialisation is “in the same space and time, the cartography of a material voyage” </w:t>
      </w:r>
      <w:r w:rsidRPr="00BB2876">
        <w:rPr>
          <w:sz w:val="14"/>
        </w:rPr>
        <w:t>(Lyotard and Francois, 1993: 44</w:t>
      </w:r>
      <w:r w:rsidRPr="000A65F4">
        <w:rPr>
          <w:rStyle w:val="StyleUnderline"/>
        </w:rPr>
        <w:t xml:space="preserve">), that </w:t>
      </w:r>
      <w:r w:rsidRPr="00B06E20">
        <w:rPr>
          <w:rStyle w:val="Emphasis"/>
          <w:highlight w:val="cyan"/>
        </w:rPr>
        <w:t>provides material for its simultaneous dematerialisation.</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Big Brother television programmes rely precisely on such a common immersion of players, organisers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coloured furniture, and affects emanating from bodies of law, sets, humans, furniture, plants, frenzied voices from outside or divine-like instructions from the tannoy, </w:t>
      </w:r>
      <w:r w:rsidRPr="00BB2876">
        <w:rPr>
          <w:rStyle w:val="Emphasis"/>
          <w:highlight w:val="cyan"/>
        </w:rPr>
        <w:t>keep the multiplicity together in a precarious yet totalising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r w:rsidRPr="0087607E">
        <w:t xml:space="preserve"> </w:t>
      </w:r>
    </w:p>
    <w:p w14:paraId="63470631" w14:textId="77777777" w:rsidR="00E920CE" w:rsidRPr="00B700C3" w:rsidRDefault="00E920CE" w:rsidP="00B700C3">
      <w:pPr>
        <w:rPr>
          <w:b/>
          <w:iCs/>
          <w:u w:val="single"/>
        </w:rPr>
      </w:pPr>
    </w:p>
    <w:p w14:paraId="595145FE" w14:textId="77777777" w:rsidR="00761FBD" w:rsidRPr="00DC2F4A" w:rsidRDefault="00761FBD" w:rsidP="00761FBD">
      <w:pPr>
        <w:pStyle w:val="Heading2"/>
      </w:pPr>
      <w:r w:rsidRPr="00DC2F4A">
        <w:t>Offense</w:t>
      </w:r>
    </w:p>
    <w:p w14:paraId="1DF6FF50" w14:textId="77777777" w:rsidR="00761FBD" w:rsidRDefault="00761FBD" w:rsidP="00761FBD">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27AD51F7" w14:textId="77777777" w:rsidR="00761FBD" w:rsidRPr="00DC2F4A" w:rsidRDefault="00761FBD" w:rsidP="00761FBD">
      <w:pPr>
        <w:pStyle w:val="Heading3"/>
      </w:pPr>
      <w:r w:rsidRPr="00DC2F4A">
        <w:t>Contention 1: The Lawscape</w:t>
      </w:r>
    </w:p>
    <w:p w14:paraId="3F2E4985" w14:textId="77777777" w:rsidR="00761FBD" w:rsidRDefault="00761FBD" w:rsidP="00761FBD">
      <w:pPr>
        <w:pStyle w:val="Heading4"/>
      </w:pPr>
      <w:r>
        <w:t xml:space="preserve">Property protections are a manifestation of the creeping shadow in our comfortable lawscape. Every object has a distinct and undeniable patent, trademark or copyright symbol, each serving as a daunting reminder of the ever-present state and commodifying our affect  </w:t>
      </w:r>
    </w:p>
    <w:p w14:paraId="6DC75685" w14:textId="77777777" w:rsidR="00761FBD" w:rsidRPr="00166132" w:rsidRDefault="00761FBD" w:rsidP="00761FBD">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134F190A" w14:textId="77777777" w:rsidR="00761FBD" w:rsidRPr="00391C0F" w:rsidRDefault="00761FBD" w:rsidP="00761FBD">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lawscape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5C805DB0" w14:textId="77777777" w:rsidR="00761FBD" w:rsidRDefault="00761FBD" w:rsidP="00761FBD">
      <w:pPr>
        <w:pStyle w:val="Heading3"/>
      </w:pPr>
      <w:r>
        <w:t xml:space="preserve">Contention 2: Ownership </w:t>
      </w:r>
    </w:p>
    <w:p w14:paraId="43970699" w14:textId="77777777" w:rsidR="00761FBD" w:rsidRDefault="00761FBD" w:rsidP="00761FBD">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13E4F75F" w14:textId="77777777" w:rsidR="00761FBD" w:rsidRPr="000B0672" w:rsidRDefault="00761FBD" w:rsidP="00761FBD">
      <w:r w:rsidRPr="007D1D1C">
        <w:rPr>
          <w:rStyle w:val="Style13ptBold"/>
        </w:rPr>
        <w:t>Wolodzko 18</w:t>
      </w:r>
      <w:r w:rsidRPr="00FA0D5F">
        <w:rPr>
          <w:sz w:val="12"/>
          <w:szCs w:val="12"/>
        </w:rPr>
        <w:t xml:space="preserve"> [Agnieszka Anna, Bodies within affect. : on practicing contaminating matters through bioart,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51F2BE8B" w14:textId="77777777" w:rsidR="00761FBD" w:rsidRPr="00A50657" w:rsidRDefault="00761FBD" w:rsidP="00761FBD">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CE22D0">
        <w:rPr>
          <w:rStyle w:val="Emphasis"/>
        </w:rPr>
        <w:t>positions</w:t>
      </w:r>
      <w:r w:rsidRPr="007E5138">
        <w:rPr>
          <w:rStyle w:val="Emphasis"/>
        </w:rPr>
        <w:t xml:space="preserve"> itself against we medicine, </w:t>
      </w:r>
      <w:r w:rsidRPr="00CE22D0">
        <w:rPr>
          <w:rStyle w:val="Emphasis"/>
          <w:highlight w:val="cyan"/>
        </w:rPr>
        <w:t>emphasis</w:t>
      </w:r>
      <w:r w:rsidRPr="007E5138">
        <w:rPr>
          <w:rStyle w:val="Emphasis"/>
        </w:rPr>
        <w:t xml:space="preserve">ing </w:t>
      </w:r>
      <w:r w:rsidRPr="00CE22D0">
        <w:rPr>
          <w:rStyle w:val="Emphasis"/>
          <w:highlight w:val="cyan"/>
        </w:rPr>
        <w:t>individual</w:t>
      </w:r>
      <w:r w:rsidRPr="007E5138">
        <w:rPr>
          <w:rStyle w:val="Emphasis"/>
        </w:rPr>
        <w:t xml:space="preserve"> responsibility and care, </w:t>
      </w:r>
      <w:r w:rsidRPr="00CE22D0">
        <w:rPr>
          <w:rStyle w:val="Emphasis"/>
          <w:highlight w:val="cyan"/>
        </w:rPr>
        <w:t>rather than a</w:t>
      </w:r>
      <w:r w:rsidRPr="007E5138">
        <w:rPr>
          <w:rStyle w:val="Emphasis"/>
        </w:rPr>
        <w:t xml:space="preserve"> collective and </w:t>
      </w:r>
      <w:r w:rsidRPr="00CE22D0">
        <w:rPr>
          <w:rStyle w:val="Emphasis"/>
          <w:highlight w:val="cyan"/>
        </w:rPr>
        <w:t>relational</w:t>
      </w:r>
      <w:r w:rsidRPr="007E5138">
        <w:rPr>
          <w:rStyle w:val="Emphasis"/>
        </w:rPr>
        <w:t xml:space="preserve"> </w:t>
      </w:r>
      <w:r w:rsidRPr="00CE22D0">
        <w:rPr>
          <w:rStyle w:val="Emphasis"/>
          <w:highlight w:val="cyan"/>
        </w:rPr>
        <w:t>understanding</w:t>
      </w:r>
      <w:r w:rsidRPr="007E5138">
        <w:rPr>
          <w:rStyle w:val="Emphasis"/>
        </w:rPr>
        <w:t xml:space="preserve"> </w:t>
      </w:r>
      <w:r w:rsidRPr="00CE22D0">
        <w:rPr>
          <w:rStyle w:val="Emphasis"/>
          <w:highlight w:val="cyan"/>
        </w:rPr>
        <w:t>of</w:t>
      </w:r>
      <w:r w:rsidRPr="007E5138">
        <w:rPr>
          <w:rStyle w:val="Emphasis"/>
        </w:rPr>
        <w:t xml:space="preserve"> the way </w:t>
      </w:r>
      <w:r w:rsidRPr="00CE22D0">
        <w:rPr>
          <w:rStyle w:val="Emphasis"/>
          <w:highlight w:val="cyan"/>
        </w:rPr>
        <w:t>our bodies</w:t>
      </w:r>
      <w:r w:rsidRPr="007E5138">
        <w:rPr>
          <w:rStyle w:val="Emphasis"/>
        </w:rPr>
        <w:t xml:space="preserve">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accurate</w:t>
      </w:r>
      <w:r w:rsidRPr="00CE22D0">
        <w:rPr>
          <w:rStyle w:val="StyleUnderline"/>
        </w:rPr>
        <w:t xml:space="preserve">, </w:t>
      </w:r>
      <w:r w:rsidRPr="00CE22D0">
        <w:rPr>
          <w:rStyle w:val="Emphasis"/>
        </w:rPr>
        <w:t xml:space="preserve">any medicine depends on a range of relational practices and multiple bodies from various social, political and biological states. Any distinction, therefore, between “me” and “we” medicine is an artificial one. </w:t>
      </w:r>
      <w:r w:rsidRPr="00CE22D0">
        <w:rPr>
          <w:rStyle w:val="StyleUnderline"/>
        </w:rPr>
        <w:t xml:space="preserve">Medical practice has exposed how “me” medicine has already been “we” medicine. </w:t>
      </w:r>
      <w:r w:rsidRPr="00CE22D0">
        <w:rPr>
          <w:rStyle w:val="Emphasis"/>
        </w:rPr>
        <w:t>The tangible danger, however, is that these</w:t>
      </w:r>
      <w:r w:rsidRPr="00792EBE">
        <w:rPr>
          <w:rStyle w:val="Emphasis"/>
          <w:highlight w:val="cyan"/>
        </w:rPr>
        <w:t xml:space="preserv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publicising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 xml:space="preserve">Patents </w:t>
      </w:r>
      <w:r w:rsidRPr="00CE22D0">
        <w:rPr>
          <w:rStyle w:val="Emphasis"/>
        </w:rPr>
        <w:t>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457A7DAD" w14:textId="2CD4FF77" w:rsidR="00761FBD" w:rsidRDefault="00761FBD" w:rsidP="00761FBD">
      <w:pPr>
        <w:pStyle w:val="Heading2"/>
      </w:pPr>
      <w:r>
        <w:t xml:space="preserve">Underview </w:t>
      </w:r>
    </w:p>
    <w:p w14:paraId="1E7E3CF0" w14:textId="4595AA83" w:rsidR="00933A22" w:rsidRPr="003D61A7" w:rsidRDefault="00933A22" w:rsidP="00933A22">
      <w:pPr>
        <w:pStyle w:val="Heading4"/>
        <w:rPr>
          <w:rFonts w:cs="Times New Roman"/>
        </w:rPr>
      </w:pPr>
      <w:r w:rsidRPr="003D61A7">
        <w:rPr>
          <w:rFonts w:cs="Times New Roman"/>
        </w:rPr>
        <w:t>[1]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w:t>
      </w:r>
      <w:r w:rsidR="00A22242">
        <w:rPr>
          <w:rFonts w:cs="Times New Roman"/>
        </w:rPr>
        <w:t xml:space="preserve">rm since they have more time. </w:t>
      </w:r>
    </w:p>
    <w:p w14:paraId="64EE213E" w14:textId="041DBB91" w:rsidR="00933A22" w:rsidRDefault="00933A22" w:rsidP="00933A22">
      <w:pPr>
        <w:pStyle w:val="Heading4"/>
      </w:pPr>
      <w:r>
        <w:t>[2] permissibility affirms</w:t>
      </w:r>
    </w:p>
    <w:p w14:paraId="1EB58FE3" w14:textId="028C233E" w:rsidR="00933A22" w:rsidRPr="00836444" w:rsidRDefault="00933A22" w:rsidP="00933A22">
      <w:pPr>
        <w:pStyle w:val="Heading4"/>
      </w:pPr>
      <w:r>
        <w:t xml:space="preserve">[a] Strat skew – there are an infinite number of NIBs the neg can read to trigger </w:t>
      </w:r>
      <w:r w:rsidRPr="00836444">
        <w:t>permissibility that aren’t grounded in the topic which explodes limits</w:t>
      </w:r>
    </w:p>
    <w:p w14:paraId="420C35E1" w14:textId="56E74D45" w:rsidR="00933A22" w:rsidRDefault="00933A22" w:rsidP="00933A22">
      <w:pPr>
        <w:pStyle w:val="Heading4"/>
      </w:pPr>
      <w:r>
        <w:t>[b</w:t>
      </w:r>
      <w:r w:rsidRPr="00836444">
        <w:t>] Negation by contradiction – Both P and not P cannot be true simultaneously, which means proving not P is false proves P true, meaning lack of sufficient reason for not P justifies P.</w:t>
      </w:r>
    </w:p>
    <w:p w14:paraId="5530A676" w14:textId="5C5212C0" w:rsidR="00933A22" w:rsidRDefault="00933A22" w:rsidP="00933A22">
      <w:pPr>
        <w:pStyle w:val="Heading4"/>
      </w:pPr>
      <w:r>
        <w:t xml:space="preserve">[c] otherwise we would have to justify morally neutral things like drinking water </w:t>
      </w:r>
    </w:p>
    <w:p w14:paraId="6DD58AE9" w14:textId="37C4A74F" w:rsidR="00B700C3" w:rsidRPr="00B700C3" w:rsidRDefault="00B700C3" w:rsidP="00B700C3">
      <w:pPr>
        <w:pStyle w:val="Heading4"/>
      </w:pPr>
      <w:r>
        <w:t xml:space="preserve">[d] probability – in a world where anything is permissible, people don’t sit around doing nothing, they still take action – so that means there is a greater probability to do the aff </w:t>
      </w:r>
    </w:p>
    <w:p w14:paraId="404E8BF9" w14:textId="77777777" w:rsidR="009247EC" w:rsidRPr="009247EC" w:rsidRDefault="009247EC" w:rsidP="009247EC"/>
    <w:p w14:paraId="02594590" w14:textId="77777777" w:rsidR="00761FBD" w:rsidRPr="00761FBD" w:rsidRDefault="00761FBD" w:rsidP="00761FBD"/>
    <w:sectPr w:rsidR="00761FBD" w:rsidRPr="00761F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D6800"/>
    <w:rsid w:val="000029E3"/>
    <w:rsid w:val="000029E8"/>
    <w:rsid w:val="00004225"/>
    <w:rsid w:val="00004ABE"/>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295"/>
    <w:rsid w:val="0017445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079"/>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B54"/>
    <w:rsid w:val="003D5EA8"/>
    <w:rsid w:val="003D62D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37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17E"/>
    <w:rsid w:val="005B6EE8"/>
    <w:rsid w:val="005B7731"/>
    <w:rsid w:val="005C4515"/>
    <w:rsid w:val="005C5602"/>
    <w:rsid w:val="005C585B"/>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A72"/>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1FB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5D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7EC"/>
    <w:rsid w:val="00931816"/>
    <w:rsid w:val="00932C71"/>
    <w:rsid w:val="00933A22"/>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A6E21"/>
    <w:rsid w:val="009B69F5"/>
    <w:rsid w:val="009C5FF7"/>
    <w:rsid w:val="009C6292"/>
    <w:rsid w:val="009D15DB"/>
    <w:rsid w:val="009D3133"/>
    <w:rsid w:val="009E160D"/>
    <w:rsid w:val="009F1CBB"/>
    <w:rsid w:val="009F3305"/>
    <w:rsid w:val="009F6FB2"/>
    <w:rsid w:val="00A071C0"/>
    <w:rsid w:val="00A2224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0C3"/>
    <w:rsid w:val="00B71625"/>
    <w:rsid w:val="00B75C54"/>
    <w:rsid w:val="00B8013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86F"/>
    <w:rsid w:val="00CB5A7F"/>
    <w:rsid w:val="00CC7A4E"/>
    <w:rsid w:val="00CD1359"/>
    <w:rsid w:val="00CD4C83"/>
    <w:rsid w:val="00CF50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A124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84868"/>
    <w:rsid w:val="00E903E0"/>
    <w:rsid w:val="00E920C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D680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F243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84868"/>
    <w:pPr>
      <w:spacing w:after="160" w:line="259" w:lineRule="auto"/>
    </w:pPr>
  </w:style>
  <w:style w:type="paragraph" w:styleId="Heading1">
    <w:name w:val="heading 1"/>
    <w:aliases w:val="Pocket"/>
    <w:basedOn w:val="Normal"/>
    <w:next w:val="Normal"/>
    <w:link w:val="Heading1Char"/>
    <w:uiPriority w:val="9"/>
    <w:qFormat/>
    <w:rsid w:val="00E848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8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848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848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48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868"/>
  </w:style>
  <w:style w:type="character" w:customStyle="1" w:styleId="Heading1Char">
    <w:name w:val="Heading 1 Char"/>
    <w:aliases w:val="Pocket Char"/>
    <w:basedOn w:val="DefaultParagraphFont"/>
    <w:link w:val="Heading1"/>
    <w:uiPriority w:val="9"/>
    <w:rsid w:val="00E84868"/>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84868"/>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84868"/>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84868"/>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E8486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E84868"/>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84868"/>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8486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E84868"/>
    <w:rPr>
      <w:color w:val="auto"/>
      <w:u w:val="none"/>
    </w:rPr>
  </w:style>
  <w:style w:type="paragraph" w:styleId="DocumentMap">
    <w:name w:val="Document Map"/>
    <w:basedOn w:val="Normal"/>
    <w:link w:val="DocumentMapChar"/>
    <w:uiPriority w:val="99"/>
    <w:semiHidden/>
    <w:unhideWhenUsed/>
    <w:rsid w:val="00E848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868"/>
    <w:rPr>
      <w:rFonts w:ascii="Lucida Grande" w:hAnsi="Lucida Grande" w:cs="Lucida Grande"/>
      <w:sz w:val="24"/>
    </w:rPr>
  </w:style>
  <w:style w:type="paragraph" w:customStyle="1" w:styleId="Emphasis1">
    <w:name w:val="Emphasis1"/>
    <w:basedOn w:val="Normal"/>
    <w:link w:val="Emphasis"/>
    <w:autoRedefine/>
    <w:uiPriority w:val="20"/>
    <w:qFormat/>
    <w:rsid w:val="00761FB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761F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EE16ED1-A511-D746-B2F0-215DF726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7050</Words>
  <Characters>40187</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13</cp:revision>
  <dcterms:created xsi:type="dcterms:W3CDTF">2021-09-25T20:30:00Z</dcterms:created>
  <dcterms:modified xsi:type="dcterms:W3CDTF">2021-09-28T13:07:00Z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