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15789" w14:textId="77777777" w:rsidR="00353197" w:rsidRDefault="00AE0E0C" w:rsidP="00987EE3">
      <w:pPr>
        <w:jc w:val="center"/>
        <w:rPr>
          <w:b/>
          <w:bCs/>
          <w:sz w:val="80"/>
          <w:szCs w:val="80"/>
          <w:u w:val="single"/>
        </w:rPr>
      </w:pPr>
      <w:r>
        <w:rPr>
          <w:b/>
          <w:bCs/>
          <w:sz w:val="80"/>
          <w:szCs w:val="80"/>
          <w:u w:val="single"/>
        </w:rPr>
        <w:t>Constitutivism</w:t>
      </w:r>
    </w:p>
    <w:p w14:paraId="7007CE27" w14:textId="77777777" w:rsidR="00A205B5" w:rsidRPr="002D7B4F" w:rsidRDefault="00A205B5" w:rsidP="00A205B5">
      <w:pPr>
        <w:pStyle w:val="Heading4"/>
        <w:rPr>
          <w:b w:val="0"/>
          <w:bCs/>
        </w:rPr>
      </w:pPr>
      <w:r>
        <w:t xml:space="preserve">The metaethic is constitutivism – </w:t>
      </w:r>
      <w:r w:rsidRPr="002D7B4F">
        <w:rPr>
          <w:b w:val="0"/>
          <w:bCs/>
        </w:rPr>
        <w:t>ethics must be derived from immutable features of agency</w:t>
      </w:r>
    </w:p>
    <w:p w14:paraId="767CA587" w14:textId="77777777" w:rsidR="00A205B5" w:rsidRDefault="00A205B5" w:rsidP="00A205B5">
      <w:pPr>
        <w:pStyle w:val="Heading4"/>
      </w:pPr>
      <w:r>
        <w:t>Ethics motivated internally fail since they don’t generate universal obligations. Ethics motivated externally fail since they generate nonbinding obligations and beg the question of why these obligations exist and why we care. Constitutivism solves because agency is definitionally universal and binding – it’s inescapable.</w:t>
      </w:r>
    </w:p>
    <w:p w14:paraId="26E71385" w14:textId="77777777" w:rsidR="00A205B5" w:rsidRPr="002D7B4F" w:rsidRDefault="00A205B5" w:rsidP="00A205B5">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09E4A951" w14:textId="77777777" w:rsidR="00A205B5" w:rsidRDefault="00DA009D" w:rsidP="00A205B5">
      <w:pPr>
        <w:pStyle w:val="Heading4"/>
        <w:rPr>
          <w:b w:val="0"/>
          <w:bCs/>
        </w:rPr>
      </w:pPr>
      <w:r>
        <w:t xml:space="preserve">Violating freedom is non universalizable </w:t>
      </w:r>
      <w:r w:rsidR="005206E7">
        <w:t xml:space="preserve">and thus </w:t>
      </w:r>
      <w:r>
        <w:t>causes a contradiction in conception.</w:t>
      </w:r>
    </w:p>
    <w:p w14:paraId="24402D4B" w14:textId="77777777" w:rsidR="00DA009D" w:rsidRDefault="00DA009D" w:rsidP="00DA009D">
      <w:pPr>
        <w:spacing w:line="256" w:lineRule="auto"/>
        <w:rPr>
          <w:rFonts w:ascii="Calibri" w:eastAsia="Calibri" w:hAnsi="Calibri" w:cs="Calibri"/>
        </w:rPr>
      </w:pPr>
      <w:r>
        <w:rPr>
          <w:rFonts w:ascii="Calibri" w:eastAsia="Calibri" w:hAnsi="Calibri" w:cs="Calibri"/>
          <w:b/>
          <w:sz w:val="26"/>
          <w:szCs w:val="26"/>
        </w:rPr>
        <w:t>Engstrom</w:t>
      </w:r>
      <w:r>
        <w:rPr>
          <w:rFonts w:ascii="Calibri" w:eastAsia="Calibri" w:hAnsi="Calibri" w:cs="Calibri"/>
        </w:rPr>
        <w:t xml:space="preserve"> [Stephen Engstrom, (Professor of Philosophy @ the University of Pittsburgh) "Universal Legislation as the Form of Practical Knowledge" http://www.academia.edu/4512762/Universal_Legislation_As_the_Form_of_Practical_Knowledge, DOA:5-5-2018 // recut]</w:t>
      </w:r>
    </w:p>
    <w:p w14:paraId="4D1657CF" w14:textId="77777777" w:rsidR="00DA009D" w:rsidRDefault="00DA009D" w:rsidP="00DA009D">
      <w:pPr>
        <w:spacing w:line="256" w:lineRule="auto"/>
        <w:rPr>
          <w:rFonts w:ascii="Calibri" w:eastAsia="Calibri" w:hAnsi="Calibri" w:cs="Calibri"/>
        </w:rPr>
      </w:pPr>
      <w:r>
        <w:rPr>
          <w:rFonts w:ascii="Calibri" w:eastAsia="Calibri" w:hAnsi="Calibri" w:cs="Calibri"/>
        </w:rPr>
        <w:t>Given the preceding considerations</w:t>
      </w:r>
      <w:r>
        <w:rPr>
          <w:rFonts w:ascii="Calibri" w:eastAsia="Calibri" w:hAnsi="Calibri" w:cs="Calibri"/>
          <w:b/>
          <w:sz w:val="28"/>
          <w:szCs w:val="28"/>
        </w:rPr>
        <w:t xml:space="preserve">, it’s a straightforward matter to see how </w:t>
      </w:r>
      <w:r>
        <w:rPr>
          <w:rFonts w:ascii="Calibri" w:eastAsia="Calibri" w:hAnsi="Calibri" w:cs="Calibri"/>
          <w:b/>
          <w:sz w:val="28"/>
          <w:szCs w:val="28"/>
          <w:highlight w:val="cyan"/>
        </w:rPr>
        <w:t xml:space="preserve">a maxim </w:t>
      </w:r>
      <w:r>
        <w:rPr>
          <w:rFonts w:ascii="Calibri" w:eastAsia="Calibri" w:hAnsi="Calibri" w:cs="Calibri"/>
          <w:b/>
          <w:sz w:val="28"/>
          <w:szCs w:val="28"/>
        </w:rPr>
        <w:t xml:space="preserve">of action </w:t>
      </w:r>
      <w:r>
        <w:rPr>
          <w:rFonts w:ascii="Calibri" w:eastAsia="Calibri" w:hAnsi="Calibri" w:cs="Calibri"/>
          <w:b/>
          <w:sz w:val="28"/>
          <w:szCs w:val="28"/>
          <w:highlight w:val="cyan"/>
        </w:rPr>
        <w:t>that assaults</w:t>
      </w:r>
      <w:r>
        <w:rPr>
          <w:rFonts w:ascii="Calibri" w:eastAsia="Calibri" w:hAnsi="Calibri" w:cs="Calibri"/>
          <w:b/>
          <w:sz w:val="28"/>
          <w:szCs w:val="28"/>
        </w:rPr>
        <w:t xml:space="preserve"> the </w:t>
      </w:r>
      <w:r>
        <w:rPr>
          <w:rFonts w:ascii="Calibri" w:eastAsia="Calibri" w:hAnsi="Calibri" w:cs="Calibri"/>
          <w:b/>
          <w:sz w:val="28"/>
          <w:szCs w:val="28"/>
          <w:highlight w:val="cyan"/>
        </w:rPr>
        <w:t>freedom</w:t>
      </w:r>
      <w:r>
        <w:rPr>
          <w:rFonts w:ascii="Calibri" w:eastAsia="Calibri" w:hAnsi="Calibri" w:cs="Calibri"/>
          <w:b/>
          <w:sz w:val="28"/>
          <w:szCs w:val="28"/>
        </w:rPr>
        <w:t xml:space="preserve"> </w:t>
      </w:r>
      <w:r>
        <w:rPr>
          <w:rFonts w:ascii="Calibri" w:eastAsia="Calibri" w:hAnsi="Calibri" w:cs="Calibri"/>
        </w:rPr>
        <w:t xml:space="preserve">of others with a view to furthering one’s own ends </w:t>
      </w:r>
      <w:r>
        <w:rPr>
          <w:rFonts w:ascii="Calibri" w:eastAsia="Calibri" w:hAnsi="Calibri" w:cs="Calibri"/>
          <w:b/>
          <w:sz w:val="28"/>
          <w:szCs w:val="28"/>
          <w:highlight w:val="cyan"/>
        </w:rPr>
        <w:t>results in a contradiction when we</w:t>
      </w:r>
      <w:r>
        <w:rPr>
          <w:rFonts w:ascii="Calibri" w:eastAsia="Calibri" w:hAnsi="Calibri" w:cs="Calibri"/>
          <w:b/>
          <w:sz w:val="28"/>
          <w:szCs w:val="28"/>
        </w:rPr>
        <w:t xml:space="preserve"> attempt to </w:t>
      </w:r>
      <w:r>
        <w:rPr>
          <w:rFonts w:ascii="Calibri" w:eastAsia="Calibri" w:hAnsi="Calibri" w:cs="Calibri"/>
          <w:b/>
          <w:sz w:val="28"/>
          <w:szCs w:val="28"/>
          <w:highlight w:val="cyan"/>
        </w:rPr>
        <w:t>will it as</w:t>
      </w:r>
      <w:r>
        <w:rPr>
          <w:rFonts w:ascii="Calibri" w:eastAsia="Calibri" w:hAnsi="Calibri" w:cs="Calibri"/>
          <w:b/>
          <w:sz w:val="28"/>
          <w:szCs w:val="28"/>
        </w:rPr>
        <w:t xml:space="preserve"> a </w:t>
      </w:r>
      <w:r>
        <w:rPr>
          <w:rFonts w:ascii="Calibri" w:eastAsia="Calibri" w:hAnsi="Calibri" w:cs="Calibri"/>
          <w:b/>
          <w:sz w:val="28"/>
          <w:szCs w:val="28"/>
          <w:highlight w:val="cyan"/>
        </w:rPr>
        <w:t>universal law</w:t>
      </w:r>
      <w:r>
        <w:rPr>
          <w:rFonts w:ascii="Calibri" w:eastAsia="Calibri" w:hAnsi="Calibri" w:cs="Calibri"/>
          <w:b/>
          <w:sz w:val="28"/>
          <w:szCs w:val="28"/>
        </w:rPr>
        <w:t xml:space="preserve"> in accordance with the foregoing account of the formula of universal law. </w:t>
      </w:r>
      <w:r>
        <w:rPr>
          <w:rFonts w:ascii="Calibri" w:eastAsia="Calibri" w:hAnsi="Calibri" w:cs="Calibri"/>
          <w:b/>
          <w:sz w:val="28"/>
          <w:szCs w:val="28"/>
          <w:highlight w:val="cyan"/>
        </w:rPr>
        <w:t>Such</w:t>
      </w:r>
      <w:r>
        <w:rPr>
          <w:rFonts w:ascii="Calibri" w:eastAsia="Calibri" w:hAnsi="Calibri" w:cs="Calibri"/>
          <w:b/>
          <w:sz w:val="28"/>
          <w:szCs w:val="28"/>
        </w:rPr>
        <w:t xml:space="preserve"> a </w:t>
      </w:r>
      <w:r>
        <w:rPr>
          <w:rFonts w:ascii="Calibri" w:eastAsia="Calibri" w:hAnsi="Calibri" w:cs="Calibri"/>
          <w:b/>
          <w:sz w:val="28"/>
          <w:szCs w:val="28"/>
          <w:highlight w:val="cyan"/>
        </w:rPr>
        <w:t>maxim would</w:t>
      </w:r>
      <w:r>
        <w:rPr>
          <w:rFonts w:ascii="Calibri" w:eastAsia="Calibri" w:hAnsi="Calibri" w:cs="Calibri"/>
          <w:b/>
          <w:sz w:val="28"/>
          <w:szCs w:val="28"/>
        </w:rPr>
        <w:t xml:space="preserve"> lie in a practical judgment that </w:t>
      </w:r>
      <w:r>
        <w:rPr>
          <w:rFonts w:ascii="Calibri" w:eastAsia="Calibri" w:hAnsi="Calibri" w:cs="Calibri"/>
          <w:b/>
          <w:sz w:val="28"/>
          <w:szCs w:val="28"/>
          <w:highlight w:val="cyan"/>
        </w:rPr>
        <w:t>deem</w:t>
      </w:r>
      <w:r>
        <w:rPr>
          <w:rFonts w:ascii="Calibri" w:eastAsia="Calibri" w:hAnsi="Calibri" w:cs="Calibri"/>
          <w:b/>
          <w:sz w:val="28"/>
          <w:szCs w:val="28"/>
        </w:rPr>
        <w:t xml:space="preserve">s it </w:t>
      </w:r>
      <w:r>
        <w:rPr>
          <w:rFonts w:ascii="Calibri" w:eastAsia="Calibri" w:hAnsi="Calibri" w:cs="Calibri"/>
          <w:b/>
          <w:sz w:val="28"/>
          <w:szCs w:val="28"/>
          <w:highlight w:val="cyan"/>
        </w:rPr>
        <w:t>good</w:t>
      </w:r>
      <w:r>
        <w:rPr>
          <w:rFonts w:ascii="Calibri" w:eastAsia="Calibri" w:hAnsi="Calibri" w:cs="Calibri"/>
          <w:b/>
          <w:sz w:val="28"/>
          <w:szCs w:val="28"/>
        </w:rPr>
        <w:t xml:space="preserve"> </w:t>
      </w:r>
      <w:r>
        <w:rPr>
          <w:rFonts w:ascii="Calibri" w:eastAsia="Calibri" w:hAnsi="Calibri" w:cs="Calibri"/>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Pr>
          <w:rFonts w:ascii="Calibri" w:eastAsia="Calibri" w:hAnsi="Calibri" w:cs="Calibri"/>
          <w:b/>
          <w:sz w:val="28"/>
          <w:szCs w:val="28"/>
          <w:highlight w:val="cyan"/>
        </w:rPr>
        <w:t>both</w:t>
      </w:r>
      <w:r>
        <w:rPr>
          <w:rFonts w:ascii="Calibri" w:eastAsia="Calibri" w:hAnsi="Calibri" w:cs="Calibri"/>
          <w:b/>
          <w:sz w:val="28"/>
          <w:szCs w:val="28"/>
        </w:rPr>
        <w:t xml:space="preserve"> the </w:t>
      </w:r>
      <w:r>
        <w:rPr>
          <w:rFonts w:ascii="Calibri" w:eastAsia="Calibri" w:hAnsi="Calibri" w:cs="Calibri"/>
          <w:b/>
          <w:sz w:val="28"/>
          <w:szCs w:val="28"/>
          <w:highlight w:val="cyan"/>
        </w:rPr>
        <w:t>limitation of others’ freedom and</w:t>
      </w:r>
      <w:r>
        <w:rPr>
          <w:rFonts w:ascii="Calibri" w:eastAsia="Calibri" w:hAnsi="Calibri" w:cs="Calibri"/>
          <w:b/>
          <w:sz w:val="28"/>
          <w:szCs w:val="28"/>
        </w:rPr>
        <w:t xml:space="preserve"> the extension of their own freedom, while on the other hand, </w:t>
      </w:r>
      <w:r>
        <w:rPr>
          <w:rFonts w:ascii="Calibri" w:eastAsia="Calibri" w:hAnsi="Calibri" w:cs="Calibri"/>
          <w:b/>
          <w:sz w:val="28"/>
          <w:szCs w:val="28"/>
          <w:highlight w:val="cyan"/>
        </w:rPr>
        <w:t>insofar as they agree with</w:t>
      </w:r>
      <w:r>
        <w:rPr>
          <w:rFonts w:ascii="Calibri" w:eastAsia="Calibri" w:hAnsi="Calibri" w:cs="Calibri"/>
          <w:b/>
          <w:sz w:val="28"/>
          <w:szCs w:val="28"/>
        </w:rPr>
        <w:t xml:space="preserve"> the similar </w:t>
      </w:r>
      <w:r>
        <w:rPr>
          <w:rFonts w:ascii="Calibri" w:eastAsia="Calibri" w:hAnsi="Calibri" w:cs="Calibri"/>
          <w:b/>
          <w:sz w:val="28"/>
          <w:szCs w:val="28"/>
          <w:highlight w:val="cyan"/>
        </w:rPr>
        <w:t>judgments of others, also deeming good the limitation of their own freedom</w:t>
      </w:r>
      <w:r>
        <w:rPr>
          <w:rFonts w:ascii="Calibri" w:eastAsia="Calibri" w:hAnsi="Calibri" w:cs="Calibri"/>
          <w:b/>
          <w:sz w:val="28"/>
          <w:szCs w:val="28"/>
        </w:rPr>
        <w:t xml:space="preserve"> and the extension of others’ freedom, they are all deeming good both the extension and the limitation of both their own and others’ freedom. </w:t>
      </w:r>
      <w:r>
        <w:rPr>
          <w:rFonts w:ascii="Calibri" w:eastAsia="Calibri" w:hAnsi="Calibri" w:cs="Calibri"/>
          <w:b/>
          <w:sz w:val="28"/>
          <w:szCs w:val="28"/>
          <w:highlight w:val="cyan"/>
        </w:rPr>
        <w:t>These judgments are inconsistent</w:t>
      </w:r>
      <w:r>
        <w:rPr>
          <w:rFonts w:ascii="Calibri" w:eastAsia="Calibri" w:hAnsi="Calibri" w:cs="Calibri"/>
          <w:b/>
          <w:sz w:val="28"/>
          <w:szCs w:val="28"/>
        </w:rPr>
        <w:t xml:space="preserve"> insofar as the </w:t>
      </w:r>
      <w:r>
        <w:rPr>
          <w:rFonts w:ascii="Calibri" w:eastAsia="Calibri" w:hAnsi="Calibri" w:cs="Calibri"/>
          <w:b/>
          <w:sz w:val="28"/>
          <w:szCs w:val="28"/>
        </w:rPr>
        <w:lastRenderedPageBreak/>
        <w:t>extension of a person’s outer freedom is incompatible with the limitation of that same freedom.</w:t>
      </w:r>
      <w:r>
        <w:rPr>
          <w:rFonts w:ascii="Calibri" w:eastAsia="Calibri" w:hAnsi="Calibri" w:cs="Calibri"/>
        </w:rPr>
        <w:t xml:space="preserve"> </w:t>
      </w:r>
    </w:p>
    <w:p w14:paraId="6D337790" w14:textId="77777777" w:rsidR="005206E7" w:rsidRPr="005206E7" w:rsidRDefault="005206E7" w:rsidP="005206E7">
      <w:pPr>
        <w:pStyle w:val="Heading4"/>
        <w:spacing w:line="256" w:lineRule="auto"/>
        <w:rPr>
          <w:rFonts w:eastAsia="Calibri" w:cs="Calibri"/>
          <w:bCs/>
          <w:color w:val="000000"/>
          <w:szCs w:val="26"/>
        </w:rPr>
      </w:pPr>
      <w:r w:rsidRPr="005206E7">
        <w:rPr>
          <w:rFonts w:eastAsia="Calibri" w:cs="Calibri"/>
          <w:bCs/>
          <w:color w:val="000000"/>
          <w:szCs w:val="26"/>
        </w:rPr>
        <w:t>And, All agents must accept the state as necessary to enforce rights claims.</w:t>
      </w:r>
    </w:p>
    <w:p w14:paraId="6A7EC792" w14:textId="77777777" w:rsidR="005206E7" w:rsidRDefault="005206E7" w:rsidP="005206E7">
      <w:pPr>
        <w:spacing w:before="240" w:after="240" w:line="240" w:lineRule="auto"/>
        <w:rPr>
          <w:rFonts w:ascii="Calibri" w:eastAsia="Calibri" w:hAnsi="Calibri" w:cs="Calibri"/>
          <w:sz w:val="24"/>
          <w:szCs w:val="24"/>
        </w:rPr>
      </w:pPr>
      <w:r>
        <w:rPr>
          <w:rFonts w:ascii="Calibri" w:eastAsia="Calibri" w:hAnsi="Calibri" w:cs="Calibri"/>
          <w:b/>
          <w:sz w:val="26"/>
          <w:szCs w:val="26"/>
        </w:rPr>
        <w:t>Ripstein 04</w:t>
      </w:r>
      <w:r>
        <w:rPr>
          <w:rFonts w:ascii="Calibri" w:eastAsia="Calibri" w:hAnsi="Calibri" w:cs="Calibri"/>
          <w:sz w:val="26"/>
          <w:szCs w:val="26"/>
        </w:rPr>
        <w:t xml:space="preserve"> </w:t>
      </w:r>
      <w:r>
        <w:rPr>
          <w:rFonts w:ascii="Calibri" w:eastAsia="Calibri" w:hAnsi="Calibri" w:cs="Calibri"/>
        </w:rPr>
        <w:t xml:space="preserve">[Arthur Ripstein, (University Professor of Law and Philosophy, </w:t>
      </w:r>
      <w:hyperlink r:id="rId4" w:history="1">
        <w:r>
          <w:rPr>
            <w:rStyle w:val="Hyperlink"/>
            <w:rFonts w:eastAsia="Calibri" w:cs="Calibri"/>
            <w:color w:val="1155CC"/>
            <w:sz w:val="24"/>
            <w:szCs w:val="24"/>
          </w:rPr>
          <w:t>University of Toronto</w:t>
        </w:r>
      </w:hyperlink>
      <w:r>
        <w:rPr>
          <w:rFonts w:ascii="Calibri" w:eastAsia="Calibri" w:hAnsi="Calibri" w:cs="Calibri"/>
        </w:rPr>
        <w:t>) "Authority and Coercion" Philosophy &amp; Public Affairs, 32: 2–35, 2004, http://onlinelibrary.wiley.com/doi/10.1111/j.1467-6486.2004.00003.x/abstract, DOA:12-16-2017 // WWBW//recut]</w:t>
      </w:r>
    </w:p>
    <w:p w14:paraId="1CBB1A69" w14:textId="77777777" w:rsidR="005206E7" w:rsidRDefault="005206E7" w:rsidP="005206E7">
      <w:pPr>
        <w:spacing w:line="256" w:lineRule="auto"/>
        <w:rPr>
          <w:rFonts w:ascii="Calibri" w:eastAsia="Calibri" w:hAnsi="Calibri" w:cs="Calibri"/>
          <w:sz w:val="16"/>
          <w:szCs w:val="16"/>
        </w:rPr>
      </w:pPr>
      <w:r>
        <w:rPr>
          <w:rFonts w:ascii="Calibri" w:eastAsia="Calibri" w:hAnsi="Calibri" w:cs="Calibri"/>
          <w:sz w:val="16"/>
          <w:szCs w:val="16"/>
        </w:rPr>
        <w:t xml:space="preserve">Kant explains </w:t>
      </w:r>
      <w:r>
        <w:rPr>
          <w:rFonts w:ascii="Calibri" w:eastAsia="Calibri" w:hAnsi="Calibri" w:cs="Calibri"/>
          <w:b/>
          <w:sz w:val="24"/>
          <w:szCs w:val="24"/>
          <w:highlight w:val="cyan"/>
          <w:u w:val="single"/>
        </w:rPr>
        <w:t>the need for</w:t>
      </w:r>
      <w:r>
        <w:rPr>
          <w:rFonts w:ascii="Calibri" w:eastAsia="Calibri" w:hAnsi="Calibri" w:cs="Calibri"/>
          <w:sz w:val="16"/>
          <w:szCs w:val="16"/>
        </w:rPr>
        <w:t xml:space="preserve"> the three branches of </w:t>
      </w:r>
      <w:r>
        <w:rPr>
          <w:rFonts w:ascii="Calibri" w:eastAsia="Calibri" w:hAnsi="Calibri" w:cs="Calibri"/>
          <w:b/>
          <w:sz w:val="24"/>
          <w:szCs w:val="24"/>
          <w:highlight w:val="cyan"/>
          <w:u w:val="single"/>
        </w:rPr>
        <w:t>government</w:t>
      </w:r>
      <w:r>
        <w:rPr>
          <w:rFonts w:ascii="Calibri" w:eastAsia="Calibri" w:hAnsi="Calibri" w:cs="Calibri"/>
          <w:sz w:val="16"/>
          <w:szCs w:val="16"/>
        </w:rPr>
        <w:t xml:space="preserve"> in Rousseau’s vocabulary </w:t>
      </w:r>
      <w:r>
        <w:rPr>
          <w:rFonts w:ascii="Calibri" w:eastAsia="Calibri" w:hAnsi="Calibri" w:cs="Calibri"/>
          <w:b/>
          <w:sz w:val="24"/>
          <w:szCs w:val="24"/>
          <w:highlight w:val="cyan"/>
          <w:u w:val="single"/>
        </w:rPr>
        <w:t xml:space="preserve">of the </w:t>
      </w:r>
      <w:r>
        <w:rPr>
          <w:rFonts w:ascii="Calibri" w:eastAsia="Calibri" w:hAnsi="Calibri" w:cs="Calibri"/>
          <w:b/>
          <w:sz w:val="28"/>
          <w:szCs w:val="28"/>
          <w:highlight w:val="cyan"/>
          <w:u w:val="single"/>
        </w:rPr>
        <w:t>“</w:t>
      </w:r>
      <w:r>
        <w:rPr>
          <w:rFonts w:ascii="Calibri" w:eastAsia="Calibri" w:hAnsi="Calibri" w:cs="Calibri"/>
          <w:b/>
          <w:sz w:val="24"/>
          <w:szCs w:val="24"/>
          <w:highlight w:val="cyan"/>
          <w:u w:val="single"/>
        </w:rPr>
        <w:t>general will</w:t>
      </w:r>
      <w:r>
        <w:rPr>
          <w:rFonts w:ascii="Calibri" w:eastAsia="Calibri" w:hAnsi="Calibri" w:cs="Calibri"/>
          <w:b/>
          <w:sz w:val="24"/>
          <w:szCs w:val="24"/>
          <w:u w:val="single"/>
        </w:rPr>
        <w:t xml:space="preserve">.” Kant finds this concept helpful, since it </w:t>
      </w:r>
      <w:r>
        <w:rPr>
          <w:rFonts w:ascii="Calibri" w:eastAsia="Calibri" w:hAnsi="Calibri" w:cs="Calibri"/>
          <w:b/>
          <w:sz w:val="24"/>
          <w:szCs w:val="24"/>
          <w:highlight w:val="cyan"/>
          <w:u w:val="single"/>
        </w:rPr>
        <w:t>manages to capture the way in which</w:t>
      </w:r>
      <w:r>
        <w:rPr>
          <w:rFonts w:ascii="Calibri" w:eastAsia="Calibri" w:hAnsi="Calibri" w:cs="Calibri"/>
          <w:b/>
          <w:sz w:val="24"/>
          <w:szCs w:val="24"/>
          <w:u w:val="single"/>
        </w:rPr>
        <w:t xml:space="preserve"> the specificity of the law and </w:t>
      </w:r>
      <w:r>
        <w:rPr>
          <w:rFonts w:ascii="Calibri" w:eastAsia="Calibri" w:hAnsi="Calibri" w:cs="Calibri"/>
          <w:b/>
          <w:sz w:val="24"/>
          <w:szCs w:val="24"/>
          <w:highlight w:val="cyan"/>
          <w:u w:val="single"/>
        </w:rPr>
        <w:t>the monopoly on [the law’s]</w:t>
      </w:r>
      <w:r>
        <w:rPr>
          <w:rFonts w:ascii="Calibri" w:eastAsia="Calibri" w:hAnsi="Calibri" w:cs="Calibri"/>
          <w:b/>
          <w:sz w:val="24"/>
          <w:szCs w:val="24"/>
          <w:u w:val="single"/>
        </w:rPr>
        <w:t xml:space="preserve"> its </w:t>
      </w:r>
      <w:r>
        <w:rPr>
          <w:rFonts w:ascii="Calibri" w:eastAsia="Calibri" w:hAnsi="Calibri" w:cs="Calibri"/>
          <w:b/>
          <w:sz w:val="24"/>
          <w:szCs w:val="24"/>
          <w:highlight w:val="cyan"/>
          <w:u w:val="single"/>
        </w:rPr>
        <w:t>enforcement do not</w:t>
      </w:r>
      <w:r>
        <w:rPr>
          <w:rFonts w:ascii="Calibri" w:eastAsia="Calibri" w:hAnsi="Calibri" w:cs="Calibri"/>
          <w:b/>
          <w:sz w:val="24"/>
          <w:szCs w:val="24"/>
          <w:u w:val="single"/>
        </w:rPr>
        <w:t xml:space="preserve"> thereby </w:t>
      </w:r>
      <w:r>
        <w:rPr>
          <w:rFonts w:ascii="Calibri" w:eastAsia="Calibri" w:hAnsi="Calibri" w:cs="Calibri"/>
          <w:b/>
          <w:sz w:val="24"/>
          <w:szCs w:val="24"/>
          <w:highlight w:val="cyan"/>
          <w:u w:val="single"/>
        </w:rPr>
        <w:t>make it the unilateral</w:t>
      </w:r>
      <w:r>
        <w:rPr>
          <w:rFonts w:ascii="Calibri" w:eastAsia="Calibri" w:hAnsi="Calibri" w:cs="Calibri"/>
          <w:b/>
          <w:sz w:val="24"/>
          <w:szCs w:val="24"/>
          <w:u w:val="single"/>
        </w:rPr>
        <w:t xml:space="preserve"> imposition of one person’s </w:t>
      </w:r>
      <w:r>
        <w:rPr>
          <w:rFonts w:ascii="Calibri" w:eastAsia="Calibri" w:hAnsi="Calibri" w:cs="Calibri"/>
          <w:b/>
          <w:sz w:val="24"/>
          <w:szCs w:val="24"/>
          <w:highlight w:val="cyan"/>
          <w:u w:val="single"/>
        </w:rPr>
        <w:t>will</w:t>
      </w:r>
      <w:r>
        <w:rPr>
          <w:rFonts w:ascii="Calibri" w:eastAsia="Calibri" w:hAnsi="Calibri" w:cs="Calibri"/>
          <w:b/>
          <w:sz w:val="24"/>
          <w:szCs w:val="24"/>
          <w:u w:val="single"/>
        </w:rPr>
        <w:t xml:space="preserve"> upon another. </w:t>
      </w:r>
      <w:r>
        <w:rPr>
          <w:rFonts w:ascii="Calibri" w:eastAsia="Calibri" w:hAnsi="Calibri" w:cs="Calibri"/>
          <w:b/>
          <w:sz w:val="24"/>
          <w:szCs w:val="24"/>
          <w:highlight w:val="cyan"/>
          <w:u w:val="single"/>
        </w:rPr>
        <w:t xml:space="preserve">Instead, it is </w:t>
      </w:r>
      <w:r>
        <w:rPr>
          <w:rFonts w:ascii="Calibri" w:eastAsia="Calibri" w:hAnsi="Calibri" w:cs="Calibri"/>
          <w:b/>
          <w:sz w:val="24"/>
          <w:szCs w:val="24"/>
          <w:u w:val="single"/>
        </w:rPr>
        <w:t xml:space="preserve">what Kant calls </w:t>
      </w:r>
      <w:r>
        <w:rPr>
          <w:rFonts w:ascii="Calibri" w:eastAsia="Calibri" w:hAnsi="Calibri" w:cs="Calibri"/>
          <w:b/>
          <w:sz w:val="24"/>
          <w:szCs w:val="24"/>
          <w:highlight w:val="cyan"/>
          <w:u w:val="single"/>
        </w:rPr>
        <w:t>an “omnilateral” will, since all must agree to</w:t>
      </w:r>
      <w:r>
        <w:rPr>
          <w:rFonts w:ascii="Calibri" w:eastAsia="Calibri" w:hAnsi="Calibri" w:cs="Calibri"/>
          <w:b/>
          <w:sz w:val="24"/>
          <w:szCs w:val="24"/>
          <w:u w:val="single"/>
        </w:rPr>
        <w:t xml:space="preserve"> set up procedures that will </w:t>
      </w:r>
      <w:r>
        <w:rPr>
          <w:rFonts w:ascii="Calibri" w:eastAsia="Calibri" w:hAnsi="Calibri" w:cs="Calibri"/>
          <w:b/>
          <w:sz w:val="24"/>
          <w:szCs w:val="24"/>
          <w:highlight w:val="cyan"/>
          <w:u w:val="single"/>
        </w:rPr>
        <w:t>make right possible</w:t>
      </w:r>
      <w:r>
        <w:rPr>
          <w:rFonts w:ascii="Calibri" w:eastAsia="Calibri" w:hAnsi="Calibri" w:cs="Calibri"/>
          <w:sz w:val="16"/>
          <w:szCs w:val="16"/>
        </w:rPr>
        <w:t xml:space="preserve">. All must agree, because </w:t>
      </w:r>
      <w:r>
        <w:rPr>
          <w:rFonts w:ascii="Calibri" w:eastAsia="Calibri" w:hAnsi="Calibri" w:cs="Calibri"/>
          <w:b/>
          <w:sz w:val="24"/>
          <w:szCs w:val="24"/>
          <w:highlight w:val="cyan"/>
          <w:u w:val="single"/>
        </w:rPr>
        <w:t>without such procedures, equal freedom is impossible</w:t>
      </w:r>
      <w:r>
        <w:rPr>
          <w:rFonts w:ascii="Calibri" w:eastAsia="Calibri" w:hAnsi="Calibri" w:cs="Calibri"/>
          <w:sz w:val="16"/>
          <w:szCs w:val="16"/>
          <w:highlight w:val="cyan"/>
        </w:rPr>
        <w:t>, and</w:t>
      </w:r>
      <w:r>
        <w:rPr>
          <w:rFonts w:ascii="Calibri" w:eastAsia="Calibri" w:hAnsi="Calibri" w:cs="Calibri"/>
          <w:sz w:val="16"/>
          <w:szCs w:val="16"/>
        </w:rPr>
        <w:t xml:space="preserve"> so the external freedom of each is impossible. But the sense in which they must agree is not just that they should agree</w:t>
      </w:r>
      <w:r>
        <w:rPr>
          <w:rFonts w:ascii="Calibri" w:eastAsia="Calibri" w:hAnsi="Calibri" w:cs="Calibri"/>
          <w:b/>
          <w:sz w:val="24"/>
          <w:szCs w:val="24"/>
          <w:u w:val="single"/>
        </w:rPr>
        <w:t xml:space="preserve">; it is that </w:t>
      </w:r>
      <w:r>
        <w:rPr>
          <w:rFonts w:ascii="Calibri" w:eastAsia="Calibri" w:hAnsi="Calibri" w:cs="Calibri"/>
          <w:b/>
          <w:sz w:val="24"/>
          <w:szCs w:val="24"/>
          <w:highlight w:val="cyan"/>
          <w:u w:val="single"/>
        </w:rPr>
        <w:t>they cannot object to being forced to accept those procedures, because any objection would be nothing more than an assertion of the right to use force against others unilaterally.</w:t>
      </w:r>
      <w:r>
        <w:rPr>
          <w:rFonts w:ascii="Calibri" w:eastAsia="Calibri" w:hAnsi="Calibri" w:cs="Calibri"/>
          <w:sz w:val="16"/>
          <w:szCs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50F0F6F9" w14:textId="77777777" w:rsidR="005206E7" w:rsidRPr="00DA009D" w:rsidRDefault="005206E7" w:rsidP="00DA009D"/>
    <w:p w14:paraId="473F9D93" w14:textId="77777777" w:rsidR="00A205B5" w:rsidRDefault="00A205B5" w:rsidP="00A205B5">
      <w:pPr>
        <w:pStyle w:val="Heading4"/>
      </w:pPr>
      <w:r>
        <w:t xml:space="preserve">Thus the standard is consistency with </w:t>
      </w:r>
      <w:r w:rsidR="00202807">
        <w:t>the system of equal and outer freedom</w:t>
      </w:r>
      <w:r>
        <w:t xml:space="preserve">. </w:t>
      </w:r>
    </w:p>
    <w:p w14:paraId="6E8CF88D" w14:textId="77777777" w:rsidR="00A205B5" w:rsidRDefault="00A205B5" w:rsidP="00A205B5">
      <w:pPr>
        <w:pStyle w:val="Heading4"/>
      </w:pPr>
      <w:r>
        <w:t>Prefer additionally:</w:t>
      </w:r>
    </w:p>
    <w:p w14:paraId="3128257F" w14:textId="77777777" w:rsidR="00A205B5" w:rsidRDefault="00A205B5" w:rsidP="00A205B5">
      <w:pPr>
        <w:pStyle w:val="Heading4"/>
      </w:pPr>
      <w:bookmarkStart w:id="0" w:name="_Hlk83480726"/>
      <w:r>
        <w:t>[1] Solves oppression because it is caused by arbitrary exclusion of others – only universalizability makes sure that we include everyone equally. Farr 02</w:t>
      </w:r>
    </w:p>
    <w:p w14:paraId="6C333EBE" w14:textId="77777777" w:rsidR="00A205B5" w:rsidRDefault="00A205B5" w:rsidP="00A205B5">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04FAF56A" w14:textId="77777777" w:rsidR="00A205B5" w:rsidRPr="002E06CB" w:rsidRDefault="00A205B5" w:rsidP="00A205B5">
      <w:pPr>
        <w:rPr>
          <w:sz w:val="12"/>
          <w:szCs w:val="12"/>
        </w:rPr>
      </w:pPr>
    </w:p>
    <w:p w14:paraId="2AA596AF" w14:textId="77777777" w:rsidR="00A205B5" w:rsidRDefault="00A205B5" w:rsidP="00A205B5">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w:t>
      </w:r>
      <w:r w:rsidRPr="00925C9A">
        <w:rPr>
          <w:sz w:val="12"/>
        </w:rPr>
        <w:lastRenderedPageBreak/>
        <w:t xml:space="preserve">explained in the following passage by Onora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universilizability criterion is morally significant is that it makes our own case no special exception </w:t>
      </w:r>
      <w:r w:rsidRPr="00925C9A">
        <w:rPr>
          <w:sz w:val="12"/>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particular </w:t>
      </w:r>
      <w:r w:rsidRPr="00EF49A2">
        <w:rPr>
          <w:b/>
          <w:highlight w:val="cyan"/>
          <w:u w:val="single"/>
        </w:rPr>
        <w:t>desires.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in a given situation</w:t>
      </w:r>
      <w:r w:rsidRPr="00925C9A">
        <w:rPr>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2D9293BD" w14:textId="77777777" w:rsidR="00A205B5" w:rsidRPr="005479A3" w:rsidRDefault="00A205B5" w:rsidP="00A205B5">
      <w:pPr>
        <w:pStyle w:val="Heading4"/>
        <w:rPr>
          <w:b w:val="0"/>
          <w:bCs/>
        </w:rPr>
      </w:pPr>
      <w:r w:rsidRPr="001B1B98">
        <w:lastRenderedPageBreak/>
        <w:t>[</w:t>
      </w:r>
      <w:r>
        <w:t>2</w:t>
      </w:r>
      <w:r w:rsidRPr="001B1B98">
        <w:t xml:space="preserve">] Consequentialism fails – A] Induction fails </w:t>
      </w:r>
      <w:r w:rsidRPr="00D43D1C">
        <w:rPr>
          <w:b w:val="0"/>
          <w:bCs/>
        </w:rPr>
        <w:t>– 1. saying</w:t>
      </w:r>
      <w:r w:rsidRPr="005479A3">
        <w:rPr>
          <w:b w:val="0"/>
          <w:bCs/>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rPr>
        <w:t>pleasure and pain are subjective – we have no idea how many headaches equal a migraine</w:t>
      </w:r>
      <w:r>
        <w:t xml:space="preserve"> D] Infinite obligations – </w:t>
      </w:r>
      <w:r w:rsidRPr="005479A3">
        <w:rPr>
          <w:b w:val="0"/>
          <w:bCs/>
        </w:rPr>
        <w:t>I have infinite obligations to maximize pleasure with no way to order them which freezes action.</w:t>
      </w:r>
    </w:p>
    <w:p w14:paraId="6B3A7D2B" w14:textId="77777777" w:rsidR="00A205B5" w:rsidRDefault="00A205B5" w:rsidP="00A205B5">
      <w:pPr>
        <w:pStyle w:val="Heading4"/>
      </w:pPr>
      <w:r>
        <w:t xml:space="preserve">[3] A priori ethics are the only stable epistemology – </w:t>
      </w:r>
    </w:p>
    <w:p w14:paraId="3DE0CDB6" w14:textId="77777777" w:rsidR="00A205B5" w:rsidRDefault="00A205B5" w:rsidP="00A205B5">
      <w:pPr>
        <w:pStyle w:val="Heading4"/>
        <w:rPr>
          <w:b w:val="0"/>
          <w:bCs/>
        </w:rPr>
      </w:pPr>
      <w:r>
        <w:t xml:space="preserve">a] Cartesian Skep – </w:t>
      </w:r>
      <w:r>
        <w:rPr>
          <w:b w:val="0"/>
          <w:bCs/>
        </w:rPr>
        <w:t>there’s no way of verifying the truth of our experience since we could be getting tricked by an evil demon. Only a priori ethics avoid this because they are not derived empirically</w:t>
      </w:r>
    </w:p>
    <w:p w14:paraId="744098F4" w14:textId="77777777" w:rsidR="00A205B5" w:rsidRDefault="00A205B5" w:rsidP="00A205B5">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6D38C0AC" w14:textId="77777777" w:rsidR="00A205B5" w:rsidRDefault="00A205B5" w:rsidP="00A205B5">
      <w:pPr>
        <w:pStyle w:val="Heading4"/>
        <w:rPr>
          <w:b w:val="0"/>
          <w:bCs/>
        </w:rPr>
      </w:pPr>
      <w:r>
        <w:t>c] Prerequisite –</w:t>
      </w:r>
      <w:r>
        <w:rPr>
          <w:b w:val="0"/>
          <w:bCs/>
        </w:rPr>
        <w:t xml:space="preserve"> in order to interpret space around us we need to represent it in the a priori.</w:t>
      </w:r>
    </w:p>
    <w:p w14:paraId="35448663" w14:textId="77777777" w:rsidR="00A205B5" w:rsidRDefault="00A205B5" w:rsidP="00A205B5">
      <w:pPr>
        <w:pStyle w:val="Heading4"/>
        <w:rPr>
          <w:b w:val="0"/>
          <w:bCs/>
        </w:rPr>
      </w:pPr>
      <w:r>
        <w:t xml:space="preserve">[4] Practical reason hijacks – </w:t>
      </w:r>
    </w:p>
    <w:p w14:paraId="20E46034" w14:textId="77777777" w:rsidR="00A205B5" w:rsidRDefault="00A205B5" w:rsidP="00A205B5">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744B755E" w14:textId="77777777" w:rsidR="00A205B5" w:rsidRDefault="00A205B5" w:rsidP="00A205B5">
      <w:pPr>
        <w:pStyle w:val="Heading4"/>
        <w:rPr>
          <w:b w:val="0"/>
          <w:bCs/>
        </w:rPr>
      </w:pPr>
      <w:r>
        <w:t xml:space="preserve">b] Action theory – </w:t>
      </w:r>
      <w:r>
        <w:rPr>
          <w:b w:val="0"/>
          <w:bCs/>
        </w:rPr>
        <w:t>any action can be split into infinite smaller actions. When I am moving my arm it is infinitely small connected movements. Only the intentionality of the action can solves meaning intentions outweigh.</w:t>
      </w:r>
    </w:p>
    <w:p w14:paraId="0DE2861F" w14:textId="77777777" w:rsidR="00A205B5" w:rsidRDefault="00A205B5" w:rsidP="00A205B5">
      <w:pPr>
        <w:pStyle w:val="Heading4"/>
        <w:rPr>
          <w:b w:val="0"/>
          <w:bCs/>
        </w:rPr>
      </w:pPr>
      <w:r>
        <w:t xml:space="preserve">c] Hijacks – </w:t>
      </w:r>
      <w:r>
        <w:rPr>
          <w:b w:val="0"/>
          <w:bCs/>
        </w:rPr>
        <w:t xml:space="preserve">when we set ends we attempt to achieve what is good, so we must regard the capacity to set and pursue ends as intrinsically valuable. </w:t>
      </w:r>
    </w:p>
    <w:p w14:paraId="46400730" w14:textId="77777777" w:rsidR="00A205B5" w:rsidRDefault="00A205B5" w:rsidP="00A205B5">
      <w:pPr>
        <w:pStyle w:val="Heading3"/>
      </w:pPr>
      <w:r>
        <w:t>Offense</w:t>
      </w:r>
    </w:p>
    <w:p w14:paraId="2160918F" w14:textId="77777777" w:rsidR="00A205B5" w:rsidRDefault="00A205B5" w:rsidP="00A205B5">
      <w:pPr>
        <w:pStyle w:val="Heading4"/>
      </w:pPr>
      <w:r>
        <w:t>I’ll defend whole res.</w:t>
      </w:r>
    </w:p>
    <w:p w14:paraId="10BCDB9E" w14:textId="77777777" w:rsidR="00A205B5" w:rsidRDefault="00A205B5" w:rsidP="00A205B5"/>
    <w:p w14:paraId="3841E682" w14:textId="77777777" w:rsidR="00A205B5" w:rsidRDefault="00A205B5" w:rsidP="00A205B5">
      <w:pPr>
        <w:pStyle w:val="Heading4"/>
      </w:pPr>
      <w:r>
        <w:t>Affirm:</w:t>
      </w:r>
    </w:p>
    <w:p w14:paraId="5334E636" w14:textId="77777777" w:rsidR="00A205B5" w:rsidRPr="005F04F4" w:rsidRDefault="00A205B5" w:rsidP="00A205B5">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2F708F6B" w14:textId="77777777" w:rsidR="00A205B5" w:rsidRPr="005F04F4" w:rsidRDefault="00A205B5" w:rsidP="00A205B5">
      <w:pPr>
        <w:shd w:val="clear" w:color="auto" w:fill="FFFFFF"/>
      </w:pPr>
      <w:r w:rsidRPr="005F04F4">
        <w:rPr>
          <w:rStyle w:val="Style13ptBold"/>
        </w:rPr>
        <w:t xml:space="preserve">Gourevitch </w:t>
      </w:r>
      <w:r w:rsidRPr="005F04F4">
        <w:rPr>
          <w:color w:val="000000"/>
        </w:rPr>
        <w:t xml:space="preserve">(Alex Gourevitch, Norman E. Bowie is professor emeritus at the University of Minnesota. Until his retirement in 2009 he was Elmer L Andersen Chair of Corporate Responsibility and served in the departments of strategic management and of philosophy., June 2016, accessed on 10-4-2021, American </w:t>
      </w:r>
      <w:r w:rsidRPr="005F04F4">
        <w:rPr>
          <w:color w:val="000000"/>
        </w:rPr>
        <w:lastRenderedPageBreak/>
        <w:t>Political Science Association, "Quitting Work but Not the Job: Liberty and the Right to Strike", doi:10.1017/S1537592716000049)//st *brackets for grammar*</w:t>
      </w:r>
    </w:p>
    <w:p w14:paraId="0C3AC1A2" w14:textId="77777777" w:rsidR="00A205B5" w:rsidRPr="005F04F4" w:rsidRDefault="00A205B5" w:rsidP="00A205B5">
      <w:pPr>
        <w:shd w:val="clear" w:color="auto" w:fill="FFFFFF"/>
        <w:rPr>
          <w:color w:val="000000"/>
          <w:sz w:val="16"/>
        </w:rPr>
      </w:pPr>
      <w:r w:rsidRPr="005F04F4">
        <w:rPr>
          <w:color w:val="000000"/>
          <w:sz w:val="16"/>
        </w:rPr>
        <w:t xml:space="preserve">On top of which, as Smith noted, “masters are always and every where in a sort of tacit, but constant anduniform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is able </w:t>
      </w:r>
      <w:r w:rsidRPr="005F04F4">
        <w:rPr>
          <w:b/>
          <w:bCs/>
          <w:color w:val="000000"/>
          <w:u w:val="single"/>
          <w:shd w:val="clear" w:color="auto" w:fill="00FBFF"/>
        </w:rPr>
        <w:t>to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[and] must accept unfavourable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45231B73" w14:textId="77777777" w:rsidR="00A205B5" w:rsidRPr="005F04F4" w:rsidRDefault="00A205B5" w:rsidP="00A205B5">
      <w:pPr>
        <w:shd w:val="clear" w:color="auto" w:fill="FFFFFF"/>
      </w:pPr>
    </w:p>
    <w:p w14:paraId="6EE0DC12" w14:textId="77777777" w:rsidR="00A205B5" w:rsidRPr="005F04F4" w:rsidRDefault="00A205B5" w:rsidP="00A205B5">
      <w:pPr>
        <w:pStyle w:val="Heading4"/>
        <w:rPr>
          <w:rFonts w:cs="Calibri"/>
        </w:rPr>
      </w:pPr>
      <w:r w:rsidRPr="005F04F4">
        <w:rPr>
          <w:rFonts w:cs="Calibri"/>
        </w:rPr>
        <w:t>[2] Coercion – coercion in the workplace treats agents as a means to an ends by overriding suitable working conditions. </w:t>
      </w:r>
    </w:p>
    <w:p w14:paraId="4367A1D0" w14:textId="77777777" w:rsidR="00A205B5" w:rsidRPr="005F04F4" w:rsidRDefault="00A205B5" w:rsidP="00A205B5">
      <w:pPr>
        <w:shd w:val="clear" w:color="auto" w:fill="FFFFFF"/>
      </w:pPr>
      <w:r w:rsidRPr="005F04F4">
        <w:rPr>
          <w:rStyle w:val="Style13ptBold"/>
        </w:rPr>
        <w:t>Chima</w:t>
      </w:r>
      <w:r w:rsidRPr="005F04F4">
        <w:rPr>
          <w:b/>
          <w:bCs/>
          <w:color w:val="000000"/>
          <w:u w:val="single"/>
        </w:rPr>
        <w:t xml:space="preserve"> </w:t>
      </w:r>
      <w:r w:rsidRPr="005F04F4">
        <w:rPr>
          <w:color w:val="000000"/>
        </w:rPr>
        <w:t>(Sylvester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79B78B64" w14:textId="77777777" w:rsidR="00A205B5" w:rsidRPr="005F04F4" w:rsidRDefault="00A205B5" w:rsidP="00A205B5">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5" w:anchor="B10" w:history="1">
        <w:r w:rsidRPr="005F04F4">
          <w:rPr>
            <w:color w:val="2F4A8B"/>
            <w:u w:val="single"/>
          </w:rPr>
          <w:t>10</w:t>
        </w:r>
      </w:hyperlink>
      <w:r w:rsidRPr="005F04F4">
        <w:rPr>
          <w:color w:val="000000"/>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6"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7" w:anchor="B64" w:history="1">
        <w:r w:rsidRPr="005F04F4">
          <w:rPr>
            <w:color w:val="2F4A8B"/>
            <w:u w:val="single"/>
          </w:rPr>
          <w:t>64</w:t>
        </w:r>
      </w:hyperlink>
      <w:r w:rsidRPr="005F04F4">
        <w:rPr>
          <w:color w:val="000000"/>
          <w:sz w:val="16"/>
        </w:rPr>
        <w:t xml:space="preserve">]. One can argue that the decision by any HCW to go on strike may not be universalisable.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8"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9" w:anchor="B10" w:history="1">
        <w:r w:rsidRPr="005F04F4">
          <w:rPr>
            <w:color w:val="2F4A8B"/>
            <w:u w:val="single"/>
          </w:rPr>
          <w:t>10</w:t>
        </w:r>
      </w:hyperlink>
      <w:r w:rsidRPr="005F04F4">
        <w:rPr>
          <w:color w:val="000000"/>
          <w:sz w:val="16"/>
        </w:rPr>
        <w:t>,</w:t>
      </w:r>
      <w:hyperlink r:id="rId10"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1" w:anchor="B4" w:history="1">
        <w:r w:rsidRPr="005F04F4">
          <w:rPr>
            <w:color w:val="2F4A8B"/>
            <w:u w:val="single"/>
          </w:rPr>
          <w:t>4</w:t>
        </w:r>
      </w:hyperlink>
      <w:r w:rsidRPr="005F04F4">
        <w:rPr>
          <w:color w:val="000000"/>
          <w:sz w:val="16"/>
        </w:rPr>
        <w:t>,</w:t>
      </w:r>
      <w:hyperlink r:id="rId12" w:anchor="B10" w:history="1">
        <w:r w:rsidRPr="005F04F4">
          <w:rPr>
            <w:color w:val="2F4A8B"/>
            <w:u w:val="single"/>
          </w:rPr>
          <w:t>10</w:t>
        </w:r>
      </w:hyperlink>
      <w:r w:rsidRPr="005F04F4">
        <w:rPr>
          <w:color w:val="000000"/>
          <w:sz w:val="16"/>
        </w:rPr>
        <w:t>,</w:t>
      </w:r>
      <w:hyperlink r:id="rId13" w:anchor="B12" w:history="1">
        <w:r w:rsidRPr="005F04F4">
          <w:rPr>
            <w:color w:val="2F4A8B"/>
            <w:u w:val="single"/>
          </w:rPr>
          <w:t>12</w:t>
        </w:r>
      </w:hyperlink>
      <w:r w:rsidRPr="005F04F4">
        <w:rPr>
          <w:color w:val="000000"/>
          <w:sz w:val="16"/>
        </w:rPr>
        <w:t>,</w:t>
      </w:r>
      <w:hyperlink r:id="rId14"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15" w:anchor="B65" w:history="1">
        <w:r w:rsidRPr="005F04F4">
          <w:rPr>
            <w:color w:val="2F4A8B"/>
            <w:u w:val="single"/>
          </w:rPr>
          <w:t>65</w:t>
        </w:r>
      </w:hyperlink>
      <w:r w:rsidRPr="005F04F4">
        <w:rPr>
          <w:color w:val="000000"/>
          <w:sz w:val="16"/>
        </w:rPr>
        <w:t xml:space="preserve">]: </w:t>
      </w:r>
      <w:r w:rsidRPr="005F04F4">
        <w:rPr>
          <w:i/>
          <w:iCs/>
          <w:color w:val="000000"/>
          <w:sz w:val="16"/>
        </w:rPr>
        <w:t xml:space="preserve">The </w:t>
      </w:r>
      <w:r w:rsidRPr="005F04F4">
        <w:rPr>
          <w:i/>
          <w:iCs/>
          <w:color w:val="000000"/>
          <w:sz w:val="16"/>
        </w:rPr>
        <w:lastRenderedPageBreak/>
        <w:t>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16" w:anchor="B2" w:history="1">
        <w:r w:rsidRPr="005F04F4">
          <w:rPr>
            <w:color w:val="2F4A8B"/>
            <w:u w:val="single"/>
          </w:rPr>
          <w:t>2</w:t>
        </w:r>
      </w:hyperlink>
      <w:r w:rsidRPr="005F04F4">
        <w:rPr>
          <w:color w:val="000000"/>
          <w:sz w:val="16"/>
        </w:rPr>
        <w:t>].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116B6B93" w14:textId="77777777" w:rsidR="00A205B5" w:rsidRPr="005F04F4" w:rsidRDefault="00A205B5" w:rsidP="00A205B5">
      <w:pPr>
        <w:shd w:val="clear" w:color="auto" w:fill="FFFFFF"/>
        <w:rPr>
          <w:sz w:val="16"/>
        </w:rPr>
      </w:pPr>
    </w:p>
    <w:p w14:paraId="610A9DC6" w14:textId="77777777" w:rsidR="00A205B5" w:rsidRPr="005F04F4" w:rsidRDefault="00A205B5" w:rsidP="00A205B5">
      <w:pPr>
        <w:pStyle w:val="Heading4"/>
        <w:rPr>
          <w:rFonts w:cs="Calibri"/>
        </w:rPr>
      </w:pPr>
      <w:r w:rsidRPr="005F04F4">
        <w:rPr>
          <w:rFonts w:cs="Calibri"/>
        </w:rPr>
        <w:t xml:space="preserve">Strikes allow workers to protest against unfair working conditions. </w:t>
      </w:r>
    </w:p>
    <w:p w14:paraId="6F5397AF" w14:textId="77777777" w:rsidR="00A205B5" w:rsidRPr="005F04F4" w:rsidRDefault="00A205B5" w:rsidP="00A205B5">
      <w:pPr>
        <w:shd w:val="clear" w:color="auto" w:fill="FFFFFF"/>
        <w:rPr>
          <w:color w:val="000000"/>
        </w:rPr>
      </w:pPr>
      <w:r w:rsidRPr="005F04F4">
        <w:rPr>
          <w:rStyle w:val="Style13ptBold"/>
        </w:rPr>
        <w:t>Chima</w:t>
      </w:r>
      <w:r>
        <w:rPr>
          <w:rStyle w:val="Style13ptBold"/>
        </w:rPr>
        <w:t xml:space="preserve"> </w:t>
      </w:r>
      <w:r w:rsidRPr="005F04F4">
        <w:rPr>
          <w:color w:val="000000"/>
        </w:rPr>
        <w:t xml:space="preserve">(Sylvester C Chima,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w:t>
      </w:r>
      <w:hyperlink r:id="rId17" w:anchor="B64" w:history="1">
        <w:r w:rsidRPr="005F04F4">
          <w:rPr>
            <w:rStyle w:val="Hyperlink"/>
          </w:rPr>
          <w:t>https://www.ncbi.nlm.nih.gov/pmc/articles/PMC3878318/#B64</w:t>
        </w:r>
      </w:hyperlink>
      <w:r w:rsidRPr="005F04F4">
        <w:rPr>
          <w:color w:val="000000"/>
        </w:rPr>
        <w:t>)</w:t>
      </w:r>
    </w:p>
    <w:p w14:paraId="74EEFDD8" w14:textId="77777777" w:rsidR="00A205B5" w:rsidRPr="005F04F4" w:rsidRDefault="00A205B5" w:rsidP="00A205B5">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18" w:anchor="B2" w:history="1">
        <w:r w:rsidRPr="005F04F4">
          <w:rPr>
            <w:color w:val="2F4A8B"/>
            <w:u w:val="single"/>
            <w:shd w:val="clear" w:color="auto" w:fill="FFFFFF"/>
          </w:rPr>
          <w:t>2</w:t>
        </w:r>
      </w:hyperlink>
      <w:r w:rsidRPr="005F04F4">
        <w:rPr>
          <w:color w:val="000000"/>
          <w:sz w:val="16"/>
          <w:shd w:val="clear" w:color="auto" w:fill="FFFFFF"/>
        </w:rPr>
        <w:t>,</w:t>
      </w:r>
      <w:hyperlink r:id="rId19"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0" w:anchor="B4" w:history="1">
        <w:r w:rsidRPr="005F04F4">
          <w:rPr>
            <w:color w:val="2F4A8B"/>
            <w:u w:val="single"/>
            <w:shd w:val="clear" w:color="auto" w:fill="FFFFFF"/>
          </w:rPr>
          <w:t>4</w:t>
        </w:r>
      </w:hyperlink>
      <w:r w:rsidRPr="005F04F4">
        <w:rPr>
          <w:color w:val="000000"/>
          <w:sz w:val="16"/>
          <w:shd w:val="clear" w:color="auto" w:fill="FFFFFF"/>
        </w:rPr>
        <w:t>,</w:t>
      </w:r>
      <w:hyperlink r:id="rId21"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labour negotiations </w:t>
      </w:r>
      <w:r w:rsidRPr="005F04F4">
        <w:rPr>
          <w:b/>
          <w:bCs/>
          <w:color w:val="000000"/>
          <w:u w:val="single"/>
          <w:shd w:val="clear" w:color="auto" w:fill="FFFFFF"/>
        </w:rPr>
        <w:t>[</w:t>
      </w:r>
      <w:hyperlink r:id="rId22"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3"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4"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25" w:anchor="B2" w:history="1">
        <w:r w:rsidRPr="005F04F4">
          <w:rPr>
            <w:color w:val="2F4A8B"/>
            <w:u w:val="single"/>
            <w:shd w:val="clear" w:color="auto" w:fill="FFFFFF"/>
          </w:rPr>
          <w:t>2</w:t>
        </w:r>
      </w:hyperlink>
      <w:r w:rsidRPr="005F04F4">
        <w:rPr>
          <w:color w:val="000000"/>
          <w:sz w:val="16"/>
          <w:shd w:val="clear" w:color="auto" w:fill="FFFFFF"/>
        </w:rPr>
        <w:t>,</w:t>
      </w:r>
      <w:hyperlink r:id="rId26" w:anchor="B34" w:history="1">
        <w:r w:rsidRPr="005F04F4">
          <w:rPr>
            <w:color w:val="2F4A8B"/>
            <w:u w:val="single"/>
            <w:shd w:val="clear" w:color="auto" w:fill="FFFFFF"/>
          </w:rPr>
          <w:t>34</w:t>
        </w:r>
      </w:hyperlink>
      <w:r w:rsidRPr="005F04F4">
        <w:rPr>
          <w:color w:val="000000"/>
          <w:sz w:val="16"/>
          <w:shd w:val="clear" w:color="auto" w:fill="FFFFFF"/>
        </w:rPr>
        <w:t>-</w:t>
      </w:r>
      <w:hyperlink r:id="rId27" w:anchor="B36" w:history="1">
        <w:r w:rsidRPr="005F04F4">
          <w:rPr>
            <w:color w:val="2F4A8B"/>
            <w:u w:val="single"/>
            <w:shd w:val="clear" w:color="auto" w:fill="FFFFFF"/>
          </w:rPr>
          <w:t>36</w:t>
        </w:r>
      </w:hyperlink>
      <w:r w:rsidRPr="005F04F4">
        <w:rPr>
          <w:color w:val="000000"/>
          <w:sz w:val="16"/>
          <w:shd w:val="clear" w:color="auto" w:fill="FFFFFF"/>
        </w:rPr>
        <w:t>]. </w:t>
      </w:r>
    </w:p>
    <w:p w14:paraId="0F8D4F9E" w14:textId="77777777" w:rsidR="00A205B5" w:rsidRPr="001D75DA" w:rsidRDefault="00A205B5" w:rsidP="00A205B5">
      <w:pPr>
        <w:pStyle w:val="Heading4"/>
      </w:pPr>
      <w:r>
        <w:t xml:space="preserve">[3] Act-omission distinction </w:t>
      </w:r>
    </w:p>
    <w:p w14:paraId="3B341586" w14:textId="77777777" w:rsidR="00A205B5" w:rsidRDefault="00A205B5" w:rsidP="00A205B5"/>
    <w:p w14:paraId="582A8733" w14:textId="77777777" w:rsidR="00A205B5" w:rsidRPr="00E842B1" w:rsidRDefault="00A205B5" w:rsidP="00A205B5">
      <w:r>
        <w:rPr>
          <w:rStyle w:val="Style13ptBold"/>
        </w:rPr>
        <w:t xml:space="preserve">Strikes are defined by </w:t>
      </w:r>
      <w:r w:rsidRPr="00E842B1">
        <w:rPr>
          <w:rStyle w:val="Style13ptBold"/>
        </w:rPr>
        <w:t>Cambridge</w:t>
      </w:r>
      <w:r w:rsidRPr="00E842B1">
        <w:rPr>
          <w:sz w:val="24"/>
          <w:szCs w:val="24"/>
        </w:rPr>
        <w:t xml:space="preserve"> </w:t>
      </w:r>
      <w:r w:rsidRPr="00E842B1">
        <w:t xml:space="preserve">[Striking.. . “strike”. </w:t>
      </w:r>
      <w:r>
        <w:t>n.d</w:t>
      </w:r>
      <w:r w:rsidRPr="00E842B1">
        <w:t>.</w:t>
      </w:r>
      <w:r>
        <w:t xml:space="preserve"> Cambridge English Dictionary</w:t>
      </w:r>
      <w:r w:rsidRPr="00E842B1">
        <w:t>. https://dictionary.cambridge.org/us/dictionary/english/strike. Accessed 10-28-2021]</w:t>
      </w:r>
    </w:p>
    <w:p w14:paraId="7291A157" w14:textId="77777777" w:rsidR="00A205B5" w:rsidRPr="00BE70EF" w:rsidRDefault="00A205B5" w:rsidP="00A205B5">
      <w:pPr>
        <w:pStyle w:val="Heading4"/>
        <w:tabs>
          <w:tab w:val="left" w:pos="6312"/>
        </w:tabs>
        <w:rPr>
          <w:b w:val="0"/>
          <w:bCs/>
        </w:rPr>
      </w:pPr>
      <w:r w:rsidRPr="00E842B1">
        <w:rPr>
          <w:b w:val="0"/>
          <w:bCs/>
          <w:highlight w:val="cyan"/>
        </w:rPr>
        <w:t>to </w:t>
      </w:r>
      <w:hyperlink r:id="rId28" w:tooltip="refuse" w:history="1">
        <w:r w:rsidRPr="00E842B1">
          <w:rPr>
            <w:rStyle w:val="Hyperlink"/>
            <w:b w:val="0"/>
            <w:bCs/>
            <w:highlight w:val="cyan"/>
          </w:rPr>
          <w:t>refuse</w:t>
        </w:r>
      </w:hyperlink>
      <w:r w:rsidRPr="00E842B1">
        <w:rPr>
          <w:b w:val="0"/>
          <w:bCs/>
          <w:highlight w:val="cyan"/>
        </w:rPr>
        <w:t> to</w:t>
      </w:r>
      <w:r w:rsidRPr="00E842B1">
        <w:rPr>
          <w:b w:val="0"/>
          <w:bCs/>
        </w:rPr>
        <w:t> </w:t>
      </w:r>
      <w:hyperlink r:id="rId29" w:tooltip="continue" w:history="1">
        <w:r w:rsidRPr="00E842B1">
          <w:rPr>
            <w:rStyle w:val="Hyperlink"/>
            <w:b w:val="0"/>
            <w:bCs/>
          </w:rPr>
          <w:t>continue</w:t>
        </w:r>
      </w:hyperlink>
      <w:r w:rsidRPr="00E842B1">
        <w:rPr>
          <w:b w:val="0"/>
          <w:bCs/>
        </w:rPr>
        <w:t> </w:t>
      </w:r>
      <w:hyperlink r:id="rId30" w:tooltip="working" w:history="1">
        <w:r w:rsidRPr="00E842B1">
          <w:rPr>
            <w:rStyle w:val="Hyperlink"/>
            <w:b w:val="0"/>
            <w:bCs/>
            <w:highlight w:val="cyan"/>
          </w:rPr>
          <w:t>work</w:t>
        </w:r>
        <w:r w:rsidRPr="00E842B1">
          <w:rPr>
            <w:rStyle w:val="Hyperlink"/>
            <w:b w:val="0"/>
            <w:bCs/>
          </w:rPr>
          <w:t>ing</w:t>
        </w:r>
      </w:hyperlink>
      <w:r w:rsidRPr="00E842B1">
        <w:rPr>
          <w:b w:val="0"/>
          <w:bCs/>
        </w:rPr>
        <w:t> because of an </w:t>
      </w:r>
      <w:hyperlink r:id="rId31" w:tooltip="argument" w:history="1">
        <w:r w:rsidRPr="00E842B1">
          <w:rPr>
            <w:rStyle w:val="Hyperlink"/>
            <w:b w:val="0"/>
            <w:bCs/>
          </w:rPr>
          <w:t>argument</w:t>
        </w:r>
      </w:hyperlink>
      <w:r w:rsidRPr="00E842B1">
        <w:rPr>
          <w:b w:val="0"/>
          <w:bCs/>
        </w:rPr>
        <w:t> </w:t>
      </w:r>
      <w:r w:rsidRPr="00E842B1">
        <w:rPr>
          <w:b w:val="0"/>
          <w:bCs/>
          <w:highlight w:val="cyan"/>
        </w:rPr>
        <w:t>with an </w:t>
      </w:r>
      <w:hyperlink r:id="rId32" w:tooltip="employer" w:history="1">
        <w:r w:rsidRPr="00E842B1">
          <w:rPr>
            <w:rStyle w:val="Hyperlink"/>
            <w:b w:val="0"/>
            <w:bCs/>
            <w:highlight w:val="cyan"/>
          </w:rPr>
          <w:t>employer</w:t>
        </w:r>
      </w:hyperlink>
      <w:r>
        <w:rPr>
          <w:b w:val="0"/>
          <w:bCs/>
        </w:rPr>
        <w:t>.</w:t>
      </w:r>
      <w:r w:rsidRPr="00E842B1">
        <w:rPr>
          <w:b w:val="0"/>
          <w:bCs/>
        </w:rPr>
        <w:t> about </w:t>
      </w:r>
      <w:hyperlink r:id="rId33" w:tooltip="working" w:history="1">
        <w:r w:rsidRPr="00E842B1">
          <w:rPr>
            <w:rStyle w:val="Hyperlink"/>
            <w:b w:val="0"/>
            <w:bCs/>
          </w:rPr>
          <w:t>working</w:t>
        </w:r>
      </w:hyperlink>
      <w:r w:rsidRPr="00E842B1">
        <w:rPr>
          <w:b w:val="0"/>
          <w:bCs/>
        </w:rPr>
        <w:t> </w:t>
      </w:r>
      <w:hyperlink r:id="rId34" w:tooltip="conditions" w:history="1">
        <w:r w:rsidRPr="00E842B1">
          <w:rPr>
            <w:rStyle w:val="Hyperlink"/>
            <w:b w:val="0"/>
            <w:bCs/>
          </w:rPr>
          <w:t>conditions</w:t>
        </w:r>
      </w:hyperlink>
      <w:r w:rsidRPr="00E842B1">
        <w:rPr>
          <w:b w:val="0"/>
          <w:bCs/>
        </w:rPr>
        <w:t>, </w:t>
      </w:r>
      <w:hyperlink r:id="rId35" w:tooltip="pay" w:history="1">
        <w:r w:rsidRPr="00E842B1">
          <w:rPr>
            <w:rStyle w:val="Hyperlink"/>
            <w:b w:val="0"/>
            <w:bCs/>
          </w:rPr>
          <w:t>pay</w:t>
        </w:r>
      </w:hyperlink>
      <w:r w:rsidRPr="00E842B1">
        <w:rPr>
          <w:b w:val="0"/>
          <w:bCs/>
        </w:rPr>
        <w:t> </w:t>
      </w:r>
      <w:hyperlink r:id="rId36" w:tooltip="levels" w:history="1">
        <w:r w:rsidRPr="00E842B1">
          <w:rPr>
            <w:rStyle w:val="Hyperlink"/>
            <w:b w:val="0"/>
            <w:bCs/>
          </w:rPr>
          <w:t>levels</w:t>
        </w:r>
      </w:hyperlink>
      <w:r w:rsidRPr="00E842B1">
        <w:rPr>
          <w:b w:val="0"/>
          <w:bCs/>
        </w:rPr>
        <w:t>, or </w:t>
      </w:r>
      <w:hyperlink r:id="rId37" w:tooltip="job" w:history="1">
        <w:r w:rsidRPr="00E842B1">
          <w:rPr>
            <w:rStyle w:val="Hyperlink"/>
            <w:b w:val="0"/>
            <w:bCs/>
          </w:rPr>
          <w:t>job</w:t>
        </w:r>
      </w:hyperlink>
      <w:r w:rsidRPr="00E842B1">
        <w:rPr>
          <w:b w:val="0"/>
          <w:bCs/>
        </w:rPr>
        <w:t> </w:t>
      </w:r>
      <w:hyperlink r:id="rId38" w:tooltip="cuts" w:history="1">
        <w:r w:rsidRPr="00E842B1">
          <w:rPr>
            <w:rStyle w:val="Hyperlink"/>
            <w:b w:val="0"/>
            <w:bCs/>
          </w:rPr>
          <w:t>cuts</w:t>
        </w:r>
      </w:hyperlink>
    </w:p>
    <w:p w14:paraId="57E7836F" w14:textId="77777777" w:rsidR="00A205B5" w:rsidRPr="00BE70EF" w:rsidRDefault="00A205B5" w:rsidP="00A205B5"/>
    <w:p w14:paraId="67AA2AD7" w14:textId="77777777" w:rsidR="00A205B5" w:rsidRDefault="00A205B5" w:rsidP="00A205B5">
      <w:pPr>
        <w:pStyle w:val="Heading4"/>
      </w:pPr>
      <w:r>
        <w:lastRenderedPageBreak/>
        <w:t>[4] Strikes are intrinsically an omission from working – we always have the freedom to omit from doing something otherwise the government would need to coerce us to work. We have the freedom to strike if its non-coercive.</w:t>
      </w:r>
    </w:p>
    <w:p w14:paraId="063A5B11" w14:textId="77777777" w:rsidR="00A205B5" w:rsidRPr="005F04F4" w:rsidRDefault="00A205B5" w:rsidP="00A205B5">
      <w:pPr>
        <w:pStyle w:val="Heading4"/>
        <w:rPr>
          <w:rFonts w:cs="Calibri"/>
        </w:rPr>
      </w:pPr>
      <w:r w:rsidRPr="005F04F4">
        <w:rPr>
          <w:rFonts w:cs="Calibri"/>
        </w:rPr>
        <w:t>Bargaining Rights – because employees are dependent upon their employer, employees are subject to a severe power imbalance that constitutes coercion. </w:t>
      </w:r>
    </w:p>
    <w:p w14:paraId="07C4504E" w14:textId="77777777" w:rsidR="00A205B5" w:rsidRPr="005F04F4" w:rsidRDefault="00A205B5" w:rsidP="00A205B5">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rct st</w:t>
      </w:r>
    </w:p>
    <w:p w14:paraId="11496B7F" w14:textId="77777777" w:rsidR="00A205B5" w:rsidRPr="005F04F4" w:rsidRDefault="00A205B5" w:rsidP="00A205B5">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48ADB297" w14:textId="77777777" w:rsidR="00A205B5" w:rsidRPr="005F04F4" w:rsidRDefault="00A205B5" w:rsidP="00A205B5">
      <w:pPr>
        <w:shd w:val="clear" w:color="auto" w:fill="FFFFFF"/>
      </w:pPr>
      <w:r w:rsidRPr="005F04F4">
        <w:t> </w:t>
      </w:r>
    </w:p>
    <w:p w14:paraId="4AA92153" w14:textId="77777777" w:rsidR="00A205B5" w:rsidRPr="005F04F4" w:rsidRDefault="00A205B5" w:rsidP="00A205B5">
      <w:pPr>
        <w:pStyle w:val="Heading4"/>
        <w:rPr>
          <w:rFonts w:cs="Calibri"/>
        </w:rPr>
      </w:pPr>
      <w:r w:rsidRPr="005F04F4">
        <w:rPr>
          <w:rFonts w:cs="Calibri"/>
        </w:rPr>
        <w:t>The right to strike via unions corrects this power imbalance by ensuring an opportunity for organization and collective bargaining.</w:t>
      </w:r>
    </w:p>
    <w:p w14:paraId="55703828" w14:textId="77777777" w:rsidR="00A205B5" w:rsidRPr="005F04F4" w:rsidRDefault="00A205B5" w:rsidP="00A205B5">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9"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LADI rct st</w:t>
      </w:r>
    </w:p>
    <w:p w14:paraId="4D27298D" w14:textId="77777777" w:rsidR="00A205B5" w:rsidRPr="005F04F4" w:rsidRDefault="00A205B5" w:rsidP="00A205B5">
      <w:pPr>
        <w:shd w:val="clear" w:color="auto" w:fill="FFFFFF"/>
        <w:rPr>
          <w:sz w:val="16"/>
        </w:rPr>
      </w:pPr>
      <w:r w:rsidRPr="005F04F4">
        <w:rPr>
          <w:color w:val="000000"/>
          <w:sz w:val="16"/>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opens up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Ciulla is well aware of all this and in her analysis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more power to manage- ment</w:t>
      </w:r>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Ciulla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r w:rsidRPr="005F04F4">
        <w:rPr>
          <w:color w:val="000000"/>
          <w:sz w:val="16"/>
        </w:rPr>
        <w:t xml:space="preserve">Obviously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Ciulla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7271E9F3" w14:textId="77777777" w:rsidR="00A205B5" w:rsidRDefault="00A205B5" w:rsidP="00A205B5">
      <w:pPr>
        <w:pStyle w:val="Heading4"/>
      </w:pPr>
    </w:p>
    <w:p w14:paraId="1729066B" w14:textId="77777777" w:rsidR="00A205B5" w:rsidRPr="00202807" w:rsidRDefault="00904A33" w:rsidP="00A205B5">
      <w:pPr>
        <w:pStyle w:val="Heading1"/>
        <w:rPr>
          <w:b/>
          <w:bCs/>
        </w:rPr>
      </w:pPr>
      <w:r>
        <w:rPr>
          <w:b/>
          <w:bCs/>
        </w:rPr>
        <w:t>Underview</w:t>
      </w:r>
      <w:r w:rsidR="00B24243">
        <w:rPr>
          <w:b/>
          <w:bCs/>
        </w:rPr>
        <w:t>:</w:t>
      </w:r>
    </w:p>
    <w:p w14:paraId="1BE7E328" w14:textId="77777777" w:rsidR="00A205B5" w:rsidRDefault="00A205B5" w:rsidP="00A205B5">
      <w:pPr>
        <w:pStyle w:val="Heading4"/>
      </w:pPr>
      <w:r>
        <w:t>[</w:t>
      </w:r>
      <w:r w:rsidR="00B24243">
        <w:t>1</w:t>
      </w:r>
      <w:r>
        <w:t>] Presumption affirms:</w:t>
      </w:r>
    </w:p>
    <w:p w14:paraId="2A02366C" w14:textId="77777777" w:rsidR="00A205B5" w:rsidRDefault="00A205B5" w:rsidP="00A205B5"/>
    <w:p w14:paraId="31EE8C40" w14:textId="77777777" w:rsidR="00A205B5" w:rsidRPr="007D052A" w:rsidRDefault="00A205B5" w:rsidP="00A205B5">
      <w:pPr>
        <w:pStyle w:val="Heading4"/>
        <w:rPr>
          <w:b w:val="0"/>
          <w:bCs/>
        </w:rPr>
      </w:pPr>
      <w:r>
        <w:t>[A] P</w:t>
      </w:r>
      <w:r w:rsidRPr="004278A7">
        <w:t xml:space="preserve">resuming statements are false is impossible – </w:t>
      </w:r>
      <w:r w:rsidRPr="00441A79">
        <w:rPr>
          <w:b w:val="0"/>
        </w:rPr>
        <w:t xml:space="preserve">we can’t operate in the world if we can’t trust anything we hear or we couldn’t form a coherent strand of reasoning. </w:t>
      </w:r>
    </w:p>
    <w:p w14:paraId="278743E0" w14:textId="77777777" w:rsidR="00A205B5" w:rsidRDefault="00A205B5" w:rsidP="00A205B5">
      <w:pPr>
        <w:pStyle w:val="Heading4"/>
      </w:pPr>
      <w:r>
        <w:t xml:space="preserve">[B] NC is reactive so they strategically develop or conceded args – </w:t>
      </w:r>
      <w:r w:rsidRPr="00441A79">
        <w:rPr>
          <w:b w:val="0"/>
        </w:rPr>
        <w:t>o/w on reversibility since losing the AC to an NC hijack or uplayer puts the aff at a 6min disad.</w:t>
      </w:r>
    </w:p>
    <w:p w14:paraId="0B43ACF0" w14:textId="77777777" w:rsidR="00A205B5" w:rsidRPr="00C46B33" w:rsidRDefault="00A205B5" w:rsidP="00A205B5">
      <w:pPr>
        <w:pStyle w:val="Heading4"/>
      </w:pPr>
      <w:r>
        <w:t xml:space="preserve">[C] </w:t>
      </w:r>
      <w:r w:rsidRPr="004278A7">
        <w:t xml:space="preserve">You presume statements true unless proven false – </w:t>
      </w:r>
      <w:r w:rsidRPr="00441A79">
        <w:rPr>
          <w:b w:val="0"/>
        </w:rPr>
        <w:t xml:space="preserve">If I tell you my name is </w:t>
      </w:r>
      <w:r w:rsidR="00202807">
        <w:rPr>
          <w:b w:val="0"/>
        </w:rPr>
        <w:t>Raza Malik</w:t>
      </w:r>
      <w:r w:rsidRPr="00441A79">
        <w:rPr>
          <w:b w:val="0"/>
        </w:rPr>
        <w:t>, you believe me unless you have evidence to the contrary.</w:t>
      </w:r>
    </w:p>
    <w:p w14:paraId="3E4E2E62" w14:textId="77777777" w:rsidR="00A205B5" w:rsidRPr="00441A79" w:rsidRDefault="00A205B5" w:rsidP="00A205B5">
      <w:pPr>
        <w:pStyle w:val="Heading4"/>
        <w:rPr>
          <w:b w:val="0"/>
          <w:bCs/>
        </w:rPr>
      </w:pPr>
      <w:r>
        <w:t xml:space="preserve">[D] They have a 13-7 rebuttal advantage </w:t>
      </w:r>
      <w:r w:rsidRPr="00441A79">
        <w:rPr>
          <w:b w:val="0"/>
        </w:rPr>
        <w:t>and 2N collapse means they can brute force any layer and do more weighing.</w:t>
      </w:r>
    </w:p>
    <w:p w14:paraId="34A6EC92" w14:textId="25427E16" w:rsidR="00B24243" w:rsidRDefault="00B24243" w:rsidP="00217FF6">
      <w:pPr>
        <w:pStyle w:val="Heading4"/>
      </w:pPr>
    </w:p>
    <w:p w14:paraId="02CE63A0" w14:textId="77777777" w:rsidR="00987EE3" w:rsidRPr="00987EE3" w:rsidRDefault="00987EE3" w:rsidP="00A205B5">
      <w:pPr>
        <w:pStyle w:val="Heading4"/>
        <w:rPr>
          <w:sz w:val="24"/>
          <w:szCs w:val="24"/>
        </w:rPr>
      </w:pPr>
    </w:p>
    <w:sectPr w:rsidR="00987EE3" w:rsidRPr="00987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87EE3"/>
    <w:rsid w:val="001845B7"/>
    <w:rsid w:val="00202807"/>
    <w:rsid w:val="00210D93"/>
    <w:rsid w:val="00217FF6"/>
    <w:rsid w:val="00353197"/>
    <w:rsid w:val="005206E7"/>
    <w:rsid w:val="00774018"/>
    <w:rsid w:val="008F4794"/>
    <w:rsid w:val="00904A33"/>
    <w:rsid w:val="00987EE3"/>
    <w:rsid w:val="00A205B5"/>
    <w:rsid w:val="00AA681C"/>
    <w:rsid w:val="00AE0E0C"/>
    <w:rsid w:val="00B24243"/>
    <w:rsid w:val="00D502B9"/>
    <w:rsid w:val="00DA009D"/>
    <w:rsid w:val="00EC4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2B2A2"/>
  <w15:docId w15:val="{A8BC51F9-17BB-4DAC-ACF4-4D77B57A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E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7E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987EE3"/>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987EE3"/>
    <w:rPr>
      <w:rFonts w:ascii="Calibri" w:eastAsiaTheme="majorEastAsia" w:hAnsi="Calibri" w:cstheme="majorBidi"/>
      <w:b/>
      <w:iCs/>
      <w:sz w:val="26"/>
    </w:rPr>
  </w:style>
  <w:style w:type="character" w:customStyle="1" w:styleId="Heading1Char">
    <w:name w:val="Heading 1 Char"/>
    <w:basedOn w:val="DefaultParagraphFont"/>
    <w:link w:val="Heading1"/>
    <w:uiPriority w:val="9"/>
    <w:rsid w:val="00987E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7EE3"/>
    <w:rPr>
      <w:rFonts w:asciiTheme="majorHAnsi" w:eastAsiaTheme="majorEastAsia" w:hAnsiTheme="majorHAnsi" w:cstheme="majorBidi"/>
      <w:color w:val="1F3763" w:themeColor="accent1" w:themeShade="7F"/>
      <w:sz w:val="24"/>
      <w:szCs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7EE3"/>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987EE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7718">
      <w:bodyDiv w:val="1"/>
      <w:marLeft w:val="0"/>
      <w:marRight w:val="0"/>
      <w:marTop w:val="0"/>
      <w:marBottom w:val="0"/>
      <w:divBdr>
        <w:top w:val="none" w:sz="0" w:space="0" w:color="auto"/>
        <w:left w:val="none" w:sz="0" w:space="0" w:color="auto"/>
        <w:bottom w:val="none" w:sz="0" w:space="0" w:color="auto"/>
        <w:right w:val="none" w:sz="0" w:space="0" w:color="auto"/>
      </w:divBdr>
    </w:div>
    <w:div w:id="261112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9" Type="http://schemas.openxmlformats.org/officeDocument/2006/relationships/hyperlink" Target="http://www.wiley.com/WileyCDA/WileyTitle/productCd-063121173X.html" TargetMode="External"/><Relationship Id="rId21" Type="http://schemas.openxmlformats.org/officeDocument/2006/relationships/hyperlink" Target="https://www.ncbi.nlm.nih.gov/pmc/articles/PMC3878318/" TargetMode="External"/><Relationship Id="rId34" Type="http://schemas.openxmlformats.org/officeDocument/2006/relationships/hyperlink" Target="https://dictionary.cambridge.org/us/dictionary/english/conditions" TargetMode="External"/><Relationship Id="rId7" Type="http://schemas.openxmlformats.org/officeDocument/2006/relationships/hyperlink" Target="https://www.ncbi.nlm.nih.gov/pmc/articles/PMC3878318/" TargetMode="External"/><Relationship Id="rId2" Type="http://schemas.openxmlformats.org/officeDocument/2006/relationships/settings" Target="settings.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dictionary.cambridge.org/us/dictionary/english/continu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cbi.nlm.nih.gov/pmc/articles/PMC3878318/" TargetMode="Externa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dictionary.cambridge.org/us/dictionary/english/employer" TargetMode="External"/><Relationship Id="rId37" Type="http://schemas.openxmlformats.org/officeDocument/2006/relationships/hyperlink" Target="https://dictionary.cambridge.org/us/dictionary/english/job" TargetMode="External"/><Relationship Id="rId40" Type="http://schemas.openxmlformats.org/officeDocument/2006/relationships/fontTable" Target="fontTable.xml"/><Relationship Id="rId5" Type="http://schemas.openxmlformats.org/officeDocument/2006/relationships/hyperlink" Target="https://www.ncbi.nlm.nih.gov/pmc/articles/PMC3878318/" TargetMode="Externa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dictionary.cambridge.org/us/dictionary/english/refuse" TargetMode="External"/><Relationship Id="rId36" Type="http://schemas.openxmlformats.org/officeDocument/2006/relationships/hyperlink" Target="https://dictionary.cambridge.org/us/dictionary/english/level"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dictionary.cambridge.org/us/dictionary/english/argument" TargetMode="External"/><Relationship Id="rId4" Type="http://schemas.openxmlformats.org/officeDocument/2006/relationships/hyperlink" Target="https://scholar.google.com/citations?view_op=view_org&amp;hl=en&amp;org=8515235176732148308" TargetMode="External"/><Relationship Id="rId9" Type="http://schemas.openxmlformats.org/officeDocument/2006/relationships/hyperlink" Target="https://www.ncbi.nlm.nih.gov/pmc/articles/PMC3878318/"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dictionary.cambridge.org/us/dictionary/english/working" TargetMode="External"/><Relationship Id="rId35" Type="http://schemas.openxmlformats.org/officeDocument/2006/relationships/hyperlink" Target="https://dictionary.cambridge.org/us/dictionary/english/pay" TargetMode="External"/><Relationship Id="rId8" Type="http://schemas.openxmlformats.org/officeDocument/2006/relationships/hyperlink" Target="https://www.ncbi.nlm.nih.gov/pmc/articles/PMC3878318/" TargetMode="External"/><Relationship Id="rId3" Type="http://schemas.openxmlformats.org/officeDocument/2006/relationships/webSettings" Target="web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s://dictionary.cambridge.org/us/dictionary/english/working" TargetMode="External"/><Relationship Id="rId38" Type="http://schemas.openxmlformats.org/officeDocument/2006/relationships/hyperlink" Target="https://dictionary.cambridge.org/us/dictionary/english/c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4108</Words>
  <Characters>23416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nars7</dc:creator>
  <cp:keywords/>
  <dc:description/>
  <cp:lastModifiedBy>nars786@icloud.com</cp:lastModifiedBy>
  <cp:revision>2</cp:revision>
  <dcterms:created xsi:type="dcterms:W3CDTF">2021-11-20T17:15:00Z</dcterms:created>
  <dcterms:modified xsi:type="dcterms:W3CDTF">2021-11-20T17:16:00Z</dcterms:modified>
</cp:coreProperties>
</file>