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C1046" w14:textId="77777777" w:rsidR="00D56E8C" w:rsidRDefault="00D56E8C" w:rsidP="00D56E8C">
      <w:pPr>
        <w:pStyle w:val="Heading2"/>
      </w:pPr>
      <w:r>
        <w:t>1</w:t>
      </w:r>
    </w:p>
    <w:p w14:paraId="29292061" w14:textId="77777777" w:rsidR="00D56E8C" w:rsidRDefault="00D56E8C" w:rsidP="00D56E8C">
      <w:pPr>
        <w:pStyle w:val="Heading4"/>
      </w:pPr>
      <w:proofErr w:type="spellStart"/>
      <w:r>
        <w:t>Interp</w:t>
      </w:r>
      <w:proofErr w:type="spellEnd"/>
      <w:r>
        <w:t xml:space="preserve">: The affirmative debater must </w:t>
      </w:r>
      <w:r w:rsidRPr="00F53F91">
        <w:t xml:space="preserve">specify and separately delineate the types of </w:t>
      </w:r>
      <w:r>
        <w:t xml:space="preserve">medicines the </w:t>
      </w:r>
      <w:r w:rsidRPr="00F53F91">
        <w:t>World Trade Organization ought to reduce intellectual property protections</w:t>
      </w:r>
      <w:r>
        <w:t xml:space="preserve"> for.</w:t>
      </w:r>
    </w:p>
    <w:p w14:paraId="29CBDFA3" w14:textId="77777777" w:rsidR="00D56E8C" w:rsidRDefault="00D56E8C" w:rsidP="00D56E8C">
      <w:pPr>
        <w:pStyle w:val="Heading4"/>
      </w:pPr>
      <w:r>
        <w:t>Violation: they did not</w:t>
      </w:r>
    </w:p>
    <w:p w14:paraId="0D4F451D" w14:textId="77777777" w:rsidR="00D56E8C" w:rsidRPr="00571C5A" w:rsidRDefault="00D56E8C" w:rsidP="00D56E8C">
      <w:pPr>
        <w:pStyle w:val="Heading4"/>
      </w:pPr>
      <w:r>
        <w:t>Distinct patents and IP protections apply for different medicines</w:t>
      </w:r>
    </w:p>
    <w:p w14:paraId="351B154B" w14:textId="77777777" w:rsidR="00D56E8C" w:rsidRPr="00571C5A" w:rsidRDefault="00D56E8C" w:rsidP="00D56E8C">
      <w:pPr>
        <w:rPr>
          <w:highlight w:val="yellow"/>
        </w:rPr>
      </w:pPr>
      <w:r w:rsidRPr="00571C5A">
        <w:rPr>
          <w:rStyle w:val="Heading4Char"/>
        </w:rPr>
        <w:t>Walker</w:t>
      </w:r>
      <w:r>
        <w:t>, Anthony “</w:t>
      </w:r>
      <w:r w:rsidRPr="00571C5A">
        <w:t>Pharmaceutical Patents: an overview</w:t>
      </w:r>
      <w:r>
        <w:t xml:space="preserve">” </w:t>
      </w:r>
      <w:proofErr w:type="spellStart"/>
      <w:r>
        <w:t>Alacrita</w:t>
      </w:r>
      <w:proofErr w:type="spellEnd"/>
      <w:r>
        <w:t xml:space="preserve"> </w:t>
      </w:r>
      <w:r w:rsidRPr="00571C5A">
        <w:t>https://www.alacrita.com/blog/pharmaceutical-patents-an-overview</w:t>
      </w:r>
    </w:p>
    <w:p w14:paraId="6B0CBB14" w14:textId="77777777" w:rsidR="00D56E8C" w:rsidRPr="004F3A03" w:rsidRDefault="00D56E8C" w:rsidP="00D56E8C">
      <w:pPr>
        <w:rPr>
          <w:rStyle w:val="StyleUnderline"/>
        </w:rPr>
      </w:pPr>
      <w:r w:rsidRPr="004F3A03">
        <w:rPr>
          <w:rStyle w:val="Emphasis"/>
          <w:highlight w:val="yellow"/>
        </w:rPr>
        <w:t>There are many different types of pharmaceutical patents, depending on the drug</w:t>
      </w:r>
      <w:r w:rsidRPr="004F3A03">
        <w:rPr>
          <w:sz w:val="16"/>
        </w:rPr>
        <w:t xml:space="preserve"> they are protecting. The </w:t>
      </w:r>
      <w:r w:rsidRPr="004F3A03">
        <w:rPr>
          <w:rStyle w:val="StyleUnderline"/>
        </w:rPr>
        <w:t xml:space="preserve">exclusivity of </w:t>
      </w:r>
      <w:r w:rsidRPr="004F3A03">
        <w:rPr>
          <w:rStyle w:val="Emphasis"/>
        </w:rPr>
        <w:t xml:space="preserve">each patent can be </w:t>
      </w:r>
      <w:r w:rsidRPr="004F3A03">
        <w:rPr>
          <w:rStyle w:val="Emphasis"/>
          <w:highlight w:val="yellow"/>
        </w:rPr>
        <w:t>extended by various lengths</w:t>
      </w:r>
      <w:r w:rsidRPr="004F3A03">
        <w:rPr>
          <w:sz w:val="16"/>
        </w:rPr>
        <w:t xml:space="preserve"> because drug discovery, validation, and marketing can take more than 10 years. By extending the patent exclusivity, it encourages companies to study and develop new drugs by </w:t>
      </w:r>
      <w:proofErr w:type="spellStart"/>
      <w:r w:rsidRPr="004F3A03">
        <w:rPr>
          <w:sz w:val="16"/>
        </w:rPr>
        <w:t>derisking</w:t>
      </w:r>
      <w:proofErr w:type="spellEnd"/>
      <w:r w:rsidRPr="004F3A03">
        <w:rPr>
          <w:sz w:val="16"/>
        </w:rPr>
        <w:t xml:space="preserve"> the extended time and effort expended during development. This is especially important for drugs in understudied areas, such as rare diseases, antibiotics, and pediatric populations. Because a large portion (up to 80 percent) of pharmaceutical company’s revenue comes from their patents, they want to extend their patents for as long as possible. Once a patent expires, other companies can manufacture and sell the drug, which is where generic competitors come into play. </w:t>
      </w:r>
      <w:r w:rsidRPr="004F3A03">
        <w:rPr>
          <w:rStyle w:val="Emphasis"/>
          <w:highlight w:val="yellow"/>
        </w:rPr>
        <w:t>Patents for new chemical entities</w:t>
      </w:r>
      <w:r w:rsidRPr="004F3A03">
        <w:rPr>
          <w:sz w:val="16"/>
        </w:rPr>
        <w:t xml:space="preserve"> (drugs that contain a portion that has never been FDA-approved) </w:t>
      </w:r>
      <w:r w:rsidRPr="004F3A03">
        <w:rPr>
          <w:rStyle w:val="StyleUnderline"/>
        </w:rPr>
        <w:t>can be extended for five years under the FDA and European Medicines Agency (EMA).</w:t>
      </w:r>
      <w:r w:rsidRPr="004F3A03">
        <w:rPr>
          <w:sz w:val="16"/>
        </w:rPr>
        <w:t xml:space="preserve"> Sponsors may also receive up to 11 years of exclusivity for new drugs (eight years of data exclusivity, two years of market exclusivity, and a one-year extension). </w:t>
      </w:r>
      <w:r w:rsidRPr="004F3A03">
        <w:rPr>
          <w:rStyle w:val="StyleUnderline"/>
        </w:rPr>
        <w:t xml:space="preserve">Patents for </w:t>
      </w:r>
      <w:r w:rsidRPr="004F3A03">
        <w:rPr>
          <w:rStyle w:val="Emphasis"/>
          <w:highlight w:val="yellow"/>
        </w:rPr>
        <w:t>new methods of use</w:t>
      </w:r>
      <w:r w:rsidRPr="004F3A03">
        <w:rPr>
          <w:rStyle w:val="StyleUnderline"/>
        </w:rPr>
        <w:t xml:space="preserve"> (a new use for a drug or drug reformulation via extended-release drug versions, reduced dosing, or increased ease of use) can be extended for three years under the FDA and ten years under the EMA</w:t>
      </w:r>
      <w:r w:rsidRPr="004F3A03">
        <w:rPr>
          <w:sz w:val="16"/>
        </w:rPr>
        <w:t>.</w:t>
      </w:r>
      <w:r w:rsidRPr="004F3A03">
        <w:rPr>
          <w:rStyle w:val="StyleUnderline"/>
        </w:rPr>
        <w:t xml:space="preserve"> Patents for </w:t>
      </w:r>
      <w:r w:rsidRPr="004F3A03">
        <w:rPr>
          <w:rStyle w:val="Emphasis"/>
          <w:highlight w:val="yellow"/>
        </w:rPr>
        <w:t>drugs with orphan designation</w:t>
      </w:r>
      <w:r w:rsidRPr="004F3A03">
        <w:rPr>
          <w:rStyle w:val="StyleUnderline"/>
        </w:rPr>
        <w:t xml:space="preserve"> (drugs to treat rare diseases) have an extra seven years of exclusivity on drug sales under the FDA and ten extra years under the EMA.</w:t>
      </w:r>
      <w:r w:rsidRPr="004F3A03">
        <w:rPr>
          <w:sz w:val="16"/>
        </w:rPr>
        <w:t xml:space="preserve"> </w:t>
      </w:r>
      <w:r w:rsidRPr="004F3A03">
        <w:rPr>
          <w:rStyle w:val="StyleUnderline"/>
        </w:rPr>
        <w:t xml:space="preserve">Patents for </w:t>
      </w:r>
      <w:r w:rsidRPr="004F3A03">
        <w:rPr>
          <w:rStyle w:val="Emphasis"/>
          <w:highlight w:val="yellow"/>
        </w:rPr>
        <w:t>drugs with pediatric exclusivity</w:t>
      </w:r>
      <w:r w:rsidRPr="004F3A03">
        <w:rPr>
          <w:rStyle w:val="Emphasis"/>
        </w:rPr>
        <w:t xml:space="preserve"> </w:t>
      </w:r>
      <w:r w:rsidRPr="004F3A03">
        <w:rPr>
          <w:rStyle w:val="StyleUnderline"/>
        </w:rPr>
        <w:t xml:space="preserve">(ones that include pediatric data) can enjoy an additional six months of exclusivity under the FDA and EMA. Patents for certain </w:t>
      </w:r>
      <w:r w:rsidRPr="004F3A03">
        <w:rPr>
          <w:rStyle w:val="Emphasis"/>
          <w:highlight w:val="yellow"/>
        </w:rPr>
        <w:t>new antibiotics</w:t>
      </w:r>
      <w:r w:rsidRPr="004F3A03">
        <w:rPr>
          <w:rStyle w:val="StyleUnderline"/>
        </w:rPr>
        <w:t xml:space="preserve"> can have an extra five years of exclusivity under the FDA.</w:t>
      </w:r>
    </w:p>
    <w:p w14:paraId="6271F07D" w14:textId="77777777" w:rsidR="00D56E8C" w:rsidRDefault="00D56E8C" w:rsidP="00D56E8C">
      <w:pPr>
        <w:pStyle w:val="Heading4"/>
      </w:pPr>
      <w:r>
        <w:t>Standards</w:t>
      </w:r>
    </w:p>
    <w:p w14:paraId="4823DFEC" w14:textId="1DB5E306" w:rsidR="00D56E8C" w:rsidRPr="008B1A6D" w:rsidRDefault="00D56E8C" w:rsidP="00D56E8C">
      <w:pPr>
        <w:pStyle w:val="Heading4"/>
      </w:pPr>
      <w:r w:rsidRPr="008B1A6D">
        <w:t xml:space="preserve">[1] Real world ed – </w:t>
      </w:r>
    </w:p>
    <w:p w14:paraId="5AD99E09" w14:textId="1DA56833" w:rsidR="00D56E8C" w:rsidRPr="008B1A6D" w:rsidRDefault="00D56E8C" w:rsidP="002C0366">
      <w:pPr>
        <w:pStyle w:val="Heading4"/>
      </w:pPr>
      <w:r w:rsidRPr="008B1A6D">
        <w:t xml:space="preserve">[2] Stable advocacy </w:t>
      </w:r>
      <w:r w:rsidR="002C0366">
        <w:t>--</w:t>
      </w:r>
      <w:bookmarkStart w:id="0" w:name="_GoBack"/>
      <w:bookmarkEnd w:id="0"/>
    </w:p>
    <w:p w14:paraId="5DF6D547" w14:textId="77777777" w:rsidR="00D56E8C" w:rsidRDefault="00D56E8C" w:rsidP="00D56E8C">
      <w:pPr>
        <w:pStyle w:val="Heading2"/>
      </w:pPr>
      <w:r>
        <w:lastRenderedPageBreak/>
        <w:t>2</w:t>
      </w:r>
    </w:p>
    <w:p w14:paraId="6160E73F" w14:textId="77777777" w:rsidR="00D56E8C" w:rsidRDefault="00D56E8C" w:rsidP="00D56E8C">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5D944FA6" w14:textId="77777777" w:rsidR="00D56E8C" w:rsidRDefault="00D56E8C" w:rsidP="00D56E8C">
      <w:pPr>
        <w:pStyle w:val="Heading4"/>
      </w:pPr>
    </w:p>
    <w:p w14:paraId="1DC0857F" w14:textId="77777777" w:rsidR="00D56E8C" w:rsidRDefault="00D56E8C" w:rsidP="00D56E8C">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w:t>
      </w:r>
    </w:p>
    <w:p w14:paraId="6FAE7791" w14:textId="6E21BC5D" w:rsidR="00D56E8C" w:rsidRPr="00972E74" w:rsidRDefault="00D56E8C" w:rsidP="00D56E8C">
      <w:pPr>
        <w:pStyle w:val="Heading4"/>
        <w:numPr>
          <w:ilvl w:val="0"/>
          <w:numId w:val="12"/>
        </w:numPr>
      </w:pPr>
      <w:r>
        <w:t xml:space="preserve">Empiricism could also change, meaning external </w:t>
      </w:r>
      <w:proofErr w:type="spellStart"/>
      <w:r>
        <w:t>fw</w:t>
      </w:r>
      <w:proofErr w:type="spellEnd"/>
      <w:r>
        <w:t xml:space="preserve"> are arbitrary.</w:t>
      </w:r>
      <w:r>
        <w:t xml:space="preserve"> 2) </w:t>
      </w:r>
      <w:r>
        <w:t xml:space="preserve">past experiences have no effect on causality or internal link to continuity, i.e. raining yesterday doesn’t mean rain </w:t>
      </w:r>
      <w:proofErr w:type="spellStart"/>
      <w:r>
        <w:t>today.</w:t>
      </w:r>
      <w:r>
        <w:t xml:space="preserve"> </w:t>
      </w:r>
      <w:proofErr w:type="spellEnd"/>
      <w:r>
        <w:t xml:space="preserve">3) </w:t>
      </w:r>
      <w:r w:rsidRPr="00D56E8C">
        <w:rPr>
          <w:rFonts w:eastAsia="Times New Roman"/>
          <w:color w:val="000000"/>
        </w:rPr>
        <w:t>Is/Ought Gap – experience just describes how the world is but doesn’t indicate how it ought to be which means there must be an a priori conception of good</w:t>
      </w:r>
      <w:r>
        <w:t xml:space="preserve">. 4) </w:t>
      </w:r>
      <w:r w:rsidRPr="00D56E8C">
        <w:rPr>
          <w:rFonts w:eastAsia="Times New Roman"/>
          <w:color w:val="000000"/>
        </w:rPr>
        <w:t>Transcendental idealism – </w:t>
      </w:r>
      <w:r w:rsidRPr="00D56E8C">
        <w:rPr>
          <w:rFonts w:eastAsia="Times New Roman"/>
          <w:color w:val="000000"/>
          <w:shd w:val="clear" w:color="auto" w:fill="FFFFFF"/>
        </w:rPr>
        <w:t>what we see is not what is, but our representations of reality – only a priori knowledge is a lane to truth as perception is the lane to truth insofar as a lack of the subject </w:t>
      </w:r>
      <w:proofErr w:type="gramStart"/>
      <w:r w:rsidRPr="00D56E8C">
        <w:rPr>
          <w:rFonts w:eastAsia="Times New Roman"/>
          <w:color w:val="000000"/>
          <w:shd w:val="clear" w:color="auto" w:fill="FFFFFF"/>
        </w:rPr>
        <w:t>removes</w:t>
      </w:r>
      <w:proofErr w:type="gramEnd"/>
      <w:r w:rsidRPr="00D56E8C">
        <w:rPr>
          <w:rFonts w:eastAsia="Times New Roman"/>
          <w:color w:val="000000"/>
          <w:shd w:val="clear" w:color="auto" w:fill="FFFFFF"/>
        </w:rPr>
        <w:t> material constitution and abstracts sensibility as it is then unknown.</w:t>
      </w:r>
      <w:r w:rsidRPr="00D56E8C">
        <w:rPr>
          <w:u w:val="single"/>
        </w:rPr>
        <w:t xml:space="preserve"> </w:t>
      </w:r>
    </w:p>
    <w:p w14:paraId="132DF0A3" w14:textId="77777777" w:rsidR="00D56E8C" w:rsidRPr="006B3EBD" w:rsidRDefault="00D56E8C" w:rsidP="00D56E8C"/>
    <w:p w14:paraId="64755389" w14:textId="77777777" w:rsidR="00D56E8C" w:rsidRDefault="00D56E8C" w:rsidP="00D56E8C">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0412A310" w14:textId="77777777" w:rsidR="00D56E8C" w:rsidRPr="007A71B9" w:rsidRDefault="00D56E8C" w:rsidP="00D56E8C"/>
    <w:p w14:paraId="5A064CB1" w14:textId="77777777" w:rsidR="00D56E8C" w:rsidRDefault="00D56E8C" w:rsidP="00D56E8C">
      <w:pPr>
        <w:pStyle w:val="Heading4"/>
      </w:pPr>
      <w:r>
        <w:lastRenderedPageBreak/>
        <w:t>Next, only practical reason is constitutive:</w:t>
      </w:r>
    </w:p>
    <w:p w14:paraId="3EB8FEC3" w14:textId="77777777" w:rsidR="00D56E8C" w:rsidRDefault="00D56E8C" w:rsidP="00D56E8C">
      <w:pPr>
        <w:pStyle w:val="Heading4"/>
      </w:pPr>
      <w:r>
        <w:t>[1] Regress – to question why one should reason concedes its authority since it is an act of reasoning itself which proves it’s binding and inescapable</w:t>
      </w:r>
    </w:p>
    <w:p w14:paraId="5A125E39" w14:textId="77777777" w:rsidR="00D56E8C" w:rsidRDefault="00D56E8C" w:rsidP="00D56E8C">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0DB59351" w14:textId="77777777" w:rsidR="00D56E8C" w:rsidRDefault="00D56E8C" w:rsidP="00D56E8C">
      <w:pPr>
        <w:pStyle w:val="Heading4"/>
      </w:pPr>
      <w:r w:rsidRPr="000A5608">
        <w:t xml:space="preserve">Thus, the standard is consistency with the categorical imperative. </w:t>
      </w:r>
    </w:p>
    <w:p w14:paraId="09E13F67" w14:textId="77777777" w:rsidR="00D56E8C" w:rsidRPr="005A7476" w:rsidRDefault="00D56E8C" w:rsidP="00D56E8C">
      <w:pPr>
        <w:pStyle w:val="Heading4"/>
        <w:rPr>
          <w:rFonts w:asciiTheme="majorHAnsi" w:hAnsiTheme="majorHAnsi"/>
        </w:rPr>
      </w:pPr>
      <w:r w:rsidRPr="005A7476">
        <w:rPr>
          <w:rFonts w:asciiTheme="majorHAnsi" w:hAnsiTheme="majorHAnsi"/>
        </w:rPr>
        <w:t>Prefer additionally:</w:t>
      </w:r>
    </w:p>
    <w:p w14:paraId="214A1601" w14:textId="77777777" w:rsidR="00D56E8C" w:rsidRPr="0017128F" w:rsidRDefault="00D56E8C" w:rsidP="00D56E8C">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323AF80F" w14:textId="77777777" w:rsidR="00D56E8C" w:rsidRDefault="00D56E8C" w:rsidP="00D56E8C">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1B4B2D2B" w14:textId="77777777" w:rsidR="00D56E8C" w:rsidRDefault="00D56E8C" w:rsidP="00D56E8C">
      <w:pPr>
        <w:pStyle w:val="Heading4"/>
      </w:pPr>
      <w:r>
        <w:t>[3] A posteriori ethics fail:</w:t>
      </w:r>
    </w:p>
    <w:p w14:paraId="2E109CAB" w14:textId="77777777" w:rsidR="00D56E8C" w:rsidRPr="00DC394B" w:rsidRDefault="00D56E8C" w:rsidP="00D56E8C">
      <w:pPr>
        <w:pStyle w:val="Heading4"/>
      </w:pPr>
      <w:r>
        <w:t xml:space="preserve">[a] </w:t>
      </w:r>
      <w:r w:rsidRPr="00DC394B">
        <w:t>Problem of induction</w:t>
      </w:r>
    </w:p>
    <w:p w14:paraId="4E5721FD" w14:textId="77777777" w:rsidR="00D56E8C" w:rsidRPr="00DC394B" w:rsidRDefault="00D56E8C" w:rsidP="00D56E8C">
      <w:r w:rsidRPr="00DC394B">
        <w:rPr>
          <w:rStyle w:val="Heading4Char"/>
        </w:rPr>
        <w:t>Vickers 14</w:t>
      </w:r>
      <w:r w:rsidRPr="00DC394B">
        <w:t>, John Vickers, 2014, The Problem of Induction, https://plato.stanford.edu/entries/induction-problem/</w:t>
      </w:r>
    </w:p>
    <w:p w14:paraId="7FBFC6E4" w14:textId="77777777" w:rsidR="00D56E8C" w:rsidRDefault="00D56E8C" w:rsidP="00D56E8C">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7B3E0CD0" w14:textId="77777777" w:rsidR="00D56E8C" w:rsidRPr="00331D90" w:rsidRDefault="00D56E8C" w:rsidP="00D56E8C">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167E8EA9" w14:textId="77777777" w:rsidR="00D56E8C" w:rsidRDefault="00D56E8C" w:rsidP="00D56E8C">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033B00E" w14:textId="77777777" w:rsidR="00D56E8C" w:rsidRDefault="00D56E8C" w:rsidP="00D56E8C">
      <w:pPr>
        <w:rPr>
          <w:b/>
          <w:bCs/>
        </w:rPr>
      </w:pPr>
    </w:p>
    <w:p w14:paraId="29F5C794" w14:textId="77777777" w:rsidR="00D56E8C" w:rsidRPr="0017128F" w:rsidRDefault="00D56E8C" w:rsidP="00D56E8C">
      <w:pPr>
        <w:rPr>
          <w:b/>
          <w:bCs/>
        </w:rPr>
      </w:pPr>
      <w:r w:rsidRPr="0017128F">
        <w:rPr>
          <w:b/>
          <w:bCs/>
        </w:rPr>
        <w:t>negate</w:t>
      </w:r>
    </w:p>
    <w:p w14:paraId="54F63EF9" w14:textId="77777777" w:rsidR="00D56E8C" w:rsidRPr="00A057DB" w:rsidRDefault="00D56E8C" w:rsidP="00D56E8C">
      <w:pPr>
        <w:pStyle w:val="Heading4"/>
        <w:rPr>
          <w:u w:val="single"/>
        </w:rPr>
      </w:pPr>
      <w:r>
        <w:lastRenderedPageBreak/>
        <w:t xml:space="preserve">1] Intellectual property is an </w:t>
      </w:r>
      <w:r>
        <w:rPr>
          <w:u w:val="single"/>
        </w:rPr>
        <w:t>inalienable personal right</w:t>
      </w:r>
      <w:r>
        <w:t xml:space="preserve"> of economic use</w:t>
      </w:r>
      <w:r>
        <w:rPr>
          <w:u w:val="single"/>
        </w:rPr>
        <w:t xml:space="preserve"> </w:t>
      </w:r>
    </w:p>
    <w:p w14:paraId="05DAB7DE" w14:textId="77777777" w:rsidR="00D56E8C" w:rsidRPr="00E45605" w:rsidRDefault="00D56E8C" w:rsidP="00D56E8C">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32CC7838" w14:textId="77777777" w:rsidR="00D56E8C" w:rsidRDefault="00D56E8C" w:rsidP="00D56E8C">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xml:space="preserve">, which was based on the </w:t>
      </w:r>
      <w:r w:rsidRPr="00797F40">
        <w:rPr>
          <w:b/>
          <w:bCs/>
          <w:u w:val="single"/>
        </w:rPr>
        <w:lastRenderedPageBreak/>
        <w:t>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692CDB80" w14:textId="77777777" w:rsidR="00D56E8C" w:rsidRDefault="00D56E8C" w:rsidP="00D56E8C">
      <w:pPr>
        <w:pStyle w:val="Heading4"/>
        <w:rPr>
          <w:rFonts w:asciiTheme="majorHAnsi" w:hAnsiTheme="majorHAnsi"/>
        </w:rPr>
      </w:pPr>
    </w:p>
    <w:p w14:paraId="78EDB190" w14:textId="77777777" w:rsidR="00D56E8C" w:rsidRPr="005A7476" w:rsidRDefault="00D56E8C" w:rsidP="00D56E8C">
      <w:pPr>
        <w:pStyle w:val="Heading4"/>
        <w:rPr>
          <w:rFonts w:asciiTheme="majorHAnsi" w:hAnsiTheme="majorHAnsi"/>
        </w:rPr>
      </w:pPr>
      <w:r>
        <w:rPr>
          <w:rFonts w:asciiTheme="majorHAnsi" w:hAnsiTheme="majorHAnsi"/>
        </w:rPr>
        <w:t xml:space="preserve">2] </w:t>
      </w:r>
      <w:r w:rsidRPr="005A7476">
        <w:rPr>
          <w:rFonts w:asciiTheme="majorHAnsi" w:hAnsiTheme="majorHAnsi"/>
        </w:rPr>
        <w:t xml:space="preserve">The </w:t>
      </w:r>
      <w:proofErr w:type="spellStart"/>
      <w:r w:rsidRPr="005A7476">
        <w:rPr>
          <w:rFonts w:asciiTheme="majorHAnsi" w:hAnsiTheme="majorHAnsi"/>
        </w:rPr>
        <w:t>aff</w:t>
      </w:r>
      <w:proofErr w:type="spellEnd"/>
      <w:r w:rsidRPr="005A7476">
        <w:rPr>
          <w:rFonts w:asciiTheme="majorHAnsi" w:hAnsiTheme="majorHAnsi"/>
        </w:rPr>
        <w:t xml:space="preserve">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51C1C903" w14:textId="77777777" w:rsidR="00D56E8C" w:rsidRPr="005A7476" w:rsidRDefault="00D56E8C" w:rsidP="00D56E8C">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124960EB" w14:textId="77777777" w:rsidR="00D56E8C" w:rsidRPr="005A7476" w:rsidRDefault="00D56E8C" w:rsidP="00D56E8C">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2417CF45" w14:textId="77777777" w:rsidR="00D56E8C" w:rsidRPr="005A7476" w:rsidRDefault="00D56E8C" w:rsidP="00D56E8C">
      <w:pPr>
        <w:rPr>
          <w:rFonts w:asciiTheme="majorHAnsi" w:hAnsiTheme="majorHAnsi"/>
          <w:sz w:val="14"/>
        </w:rPr>
      </w:pPr>
    </w:p>
    <w:p w14:paraId="609EBCB0" w14:textId="5488EA91" w:rsidR="00E42E4C" w:rsidRPr="00D56E8C" w:rsidRDefault="00E42E4C" w:rsidP="00F601E6">
      <w:pPr>
        <w:rPr>
          <w:sz w:val="12"/>
        </w:rPr>
      </w:pPr>
    </w:p>
    <w:sectPr w:rsidR="00E42E4C" w:rsidRPr="00D56E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9A28A0"/>
    <w:multiLevelType w:val="hybridMultilevel"/>
    <w:tmpl w:val="7C90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2E19C8"/>
    <w:multiLevelType w:val="hybridMultilevel"/>
    <w:tmpl w:val="3DC2C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F32D29"/>
    <w:multiLevelType w:val="hybridMultilevel"/>
    <w:tmpl w:val="BEDC7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E04CAB"/>
    <w:multiLevelType w:val="hybridMultilevel"/>
    <w:tmpl w:val="CF9AE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3F0922"/>
    <w:multiLevelType w:val="hybridMultilevel"/>
    <w:tmpl w:val="1F7E6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76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366"/>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68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E8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6AB3AD"/>
  <w14:defaultImageDpi w14:val="300"/>
  <w15:docId w15:val="{B2DF0CEB-F2A3-CB46-B6D0-695DB8494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6E8C"/>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8A76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76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76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A76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76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680"/>
  </w:style>
  <w:style w:type="character" w:customStyle="1" w:styleId="Heading1Char">
    <w:name w:val="Heading 1 Char"/>
    <w:aliases w:val="Pocket Char"/>
    <w:basedOn w:val="DefaultParagraphFont"/>
    <w:link w:val="Heading1"/>
    <w:uiPriority w:val="9"/>
    <w:rsid w:val="008A76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76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768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A76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7680"/>
    <w:rPr>
      <w:b/>
      <w:sz w:val="22"/>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8A7680"/>
    <w:rPr>
      <w:b w:val="0"/>
      <w:sz w:val="24"/>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B"/>
    <w:basedOn w:val="DefaultParagraphFont"/>
    <w:link w:val="textbold"/>
    <w:uiPriority w:val="20"/>
    <w:qFormat/>
    <w:rsid w:val="008A7680"/>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8A768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C"/>
    <w:basedOn w:val="DefaultParagraphFont"/>
    <w:link w:val="Card"/>
    <w:uiPriority w:val="99"/>
    <w:unhideWhenUsed/>
    <w:rsid w:val="008A7680"/>
    <w:rPr>
      <w:color w:val="auto"/>
      <w:u w:val="none"/>
    </w:rPr>
  </w:style>
  <w:style w:type="paragraph" w:styleId="DocumentMap">
    <w:name w:val="Document Map"/>
    <w:basedOn w:val="Normal"/>
    <w:link w:val="DocumentMapChar"/>
    <w:uiPriority w:val="99"/>
    <w:semiHidden/>
    <w:unhideWhenUsed/>
    <w:rsid w:val="008A768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A7680"/>
    <w:rPr>
      <w:rFonts w:ascii="Lucida Grande" w:hAnsi="Lucida Grande" w:cs="Lucida Grande"/>
    </w:rPr>
  </w:style>
  <w:style w:type="paragraph" w:customStyle="1" w:styleId="textbold">
    <w:name w:val="text bold"/>
    <w:basedOn w:val="Normal"/>
    <w:link w:val="Emphasis"/>
    <w:uiPriority w:val="20"/>
    <w:qFormat/>
    <w:rsid w:val="00D56E8C"/>
    <w:pPr>
      <w:ind w:left="720"/>
      <w:jc w:val="both"/>
    </w:pPr>
    <w:rPr>
      <w:b/>
      <w:iCs/>
      <w:u w:val="single"/>
      <w:bdr w:val="single" w:sz="8" w:space="0" w:color="auto"/>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D56E8C"/>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56E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1193B53-9746-B046-A423-90AE0EAE9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6</Pages>
  <Words>2558</Words>
  <Characters>14585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3</cp:revision>
  <dcterms:created xsi:type="dcterms:W3CDTF">2021-09-18T17:55:00Z</dcterms:created>
  <dcterms:modified xsi:type="dcterms:W3CDTF">2021-09-18T17:57:00Z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