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8D774F" w14:textId="77777777" w:rsidR="00103E1A" w:rsidRPr="005A7476" w:rsidRDefault="00103E1A" w:rsidP="00103E1A">
      <w:pPr>
        <w:pStyle w:val="Heading4"/>
        <w:rPr>
          <w:rFonts w:asciiTheme="majorHAnsi" w:hAnsiTheme="majorHAnsi"/>
        </w:rPr>
      </w:pPr>
      <w:r w:rsidRPr="005A7476">
        <w:rPr>
          <w:rFonts w:asciiTheme="majorHAnsi" w:hAnsiTheme="majorHAnsi"/>
        </w:rPr>
        <w:t>I value morality.</w:t>
      </w:r>
    </w:p>
    <w:p w14:paraId="5027102D" w14:textId="77777777" w:rsidR="00103E1A" w:rsidRPr="005A7476" w:rsidRDefault="00103E1A" w:rsidP="00103E1A">
      <w:pPr>
        <w:pStyle w:val="Heading4"/>
        <w:rPr>
          <w:rFonts w:asciiTheme="majorHAnsi" w:hAnsiTheme="majorHAnsi"/>
        </w:rPr>
      </w:pPr>
      <w:r w:rsidRPr="005A7476">
        <w:rPr>
          <w:rFonts w:asciiTheme="majorHAnsi" w:hAnsiTheme="majorHAnsi"/>
        </w:rP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05A47F91" w14:textId="77777777" w:rsidR="00103E1A" w:rsidRPr="005A7476" w:rsidRDefault="00103E1A" w:rsidP="00103E1A">
      <w:pPr>
        <w:pStyle w:val="Heading4"/>
        <w:rPr>
          <w:rFonts w:asciiTheme="majorHAnsi" w:hAnsiTheme="majorHAnsi"/>
        </w:rPr>
      </w:pPr>
      <w:r w:rsidRPr="005A7476">
        <w:rPr>
          <w:rFonts w:asciiTheme="majorHAnsi" w:hAnsiTheme="majorHAnsi"/>
        </w:rPr>
        <w:t xml:space="preserve">Constitutivism solves – it allows for universal obligations among all agents but they are binding and cannot be opted out of. Thus, the meta ethic is constitutivism. </w:t>
      </w:r>
    </w:p>
    <w:p w14:paraId="12BEA2C3" w14:textId="77777777" w:rsidR="00103E1A" w:rsidRPr="005A7476" w:rsidRDefault="00103E1A" w:rsidP="00103E1A">
      <w:pPr>
        <w:rPr>
          <w:rFonts w:asciiTheme="majorHAnsi" w:hAnsiTheme="majorHAnsi"/>
        </w:rPr>
      </w:pPr>
    </w:p>
    <w:p w14:paraId="3676D873" w14:textId="77777777" w:rsidR="00103E1A" w:rsidRPr="005A7476" w:rsidRDefault="00103E1A" w:rsidP="00103E1A">
      <w:pPr>
        <w:pStyle w:val="Heading4"/>
        <w:rPr>
          <w:rFonts w:asciiTheme="majorHAnsi" w:hAnsiTheme="majorHAnsi"/>
        </w:rPr>
      </w:pPr>
      <w:r w:rsidRPr="005A7476">
        <w:rPr>
          <w:rFonts w:asciiTheme="majorHAnsi" w:hAnsiTheme="majorHAnsi"/>
        </w:rPr>
        <w:t>Next, only practical reason is constitutive:</w:t>
      </w:r>
    </w:p>
    <w:p w14:paraId="085A83CE" w14:textId="77777777" w:rsidR="00103E1A" w:rsidRPr="005A7476" w:rsidRDefault="00103E1A" w:rsidP="00103E1A">
      <w:pPr>
        <w:pStyle w:val="Heading4"/>
      </w:pPr>
      <w:r w:rsidRPr="005A7476">
        <w:t>[1] Regress – practical reason is inescapable because when you question why you should use practical reason, you are using reason itself. Anything else is infinitely regressive and nonbinding because you can always ask “why should I do that” continuously without any terminal justification. Bindingness is required in morality; otherwise people could opt out of it and have no moral guidance.</w:t>
      </w:r>
    </w:p>
    <w:p w14:paraId="137F2904" w14:textId="77777777" w:rsidR="00103E1A" w:rsidRPr="005A7476" w:rsidRDefault="00103E1A" w:rsidP="00103E1A">
      <w:pPr>
        <w:pStyle w:val="Heading4"/>
        <w:rPr>
          <w:color w:val="000000" w:themeColor="text1"/>
        </w:rPr>
      </w:pPr>
      <w:r w:rsidRPr="005A7476">
        <w:rPr>
          <w:color w:val="000000" w:themeColor="text1"/>
        </w:rPr>
        <w:t>[2] Action Theory –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10553441" w14:textId="77777777" w:rsidR="00103E1A" w:rsidRPr="005A7476" w:rsidRDefault="00103E1A" w:rsidP="00103E1A">
      <w:pPr>
        <w:rPr>
          <w:rFonts w:asciiTheme="majorHAnsi" w:hAnsiTheme="majorHAnsi"/>
        </w:rPr>
      </w:pPr>
    </w:p>
    <w:p w14:paraId="2FC26520" w14:textId="77777777" w:rsidR="00103E1A" w:rsidRPr="005A7476" w:rsidRDefault="00103E1A" w:rsidP="00103E1A">
      <w:pPr>
        <w:pStyle w:val="Heading4"/>
        <w:rPr>
          <w:rFonts w:asciiTheme="majorHAnsi" w:hAnsiTheme="majorHAnsi" w:cs="Calibri"/>
        </w:rPr>
      </w:pPr>
      <w:r w:rsidRPr="005A7476">
        <w:rPr>
          <w:rFonts w:asciiTheme="majorHAnsi" w:hAnsiTheme="majorHAnsi" w:cs="Calibri"/>
        </w:rPr>
        <w:t xml:space="preserve">Morality must be grounded in a priori truth to guide action, otherwise everyone would have different ethical codes and different rules. And, truth exists independent of human experience since certain things can be self-proving, i.e. a triangle has three sides. This is the difference between a priori and a posteriori. Reject a posteriori truth since they are just arbitrary states of being, not constitutive of ethics. </w:t>
      </w:r>
    </w:p>
    <w:p w14:paraId="4FAE495A" w14:textId="77777777" w:rsidR="00103E1A" w:rsidRPr="00A9489C" w:rsidRDefault="00103E1A" w:rsidP="00103E1A">
      <w:pPr>
        <w:pStyle w:val="Heading4"/>
        <w:rPr>
          <w:rFonts w:asciiTheme="majorHAnsi" w:hAnsiTheme="majorHAnsi"/>
          <w:color w:val="000000" w:themeColor="text1"/>
        </w:rPr>
      </w:pPr>
      <w:r w:rsidRPr="00A9489C">
        <w:rPr>
          <w:rFonts w:asciiTheme="majorHAnsi" w:hAnsiTheme="majorHAnsi"/>
          <w:color w:val="000000" w:themeColor="text1"/>
        </w:rPr>
        <w:t>Next, practical reason means we all have a unified perspective: What can be justified to me can be justified to everyone who is a practical reasoner. If I can conclude that 2+2 is 4, then I understand not only that I know 2+2 is 4, but that everyone around me can arrive at the same conclusion</w:t>
      </w:r>
    </w:p>
    <w:p w14:paraId="6C40DB88" w14:textId="77777777" w:rsidR="00103E1A" w:rsidRPr="00A9489C" w:rsidRDefault="00103E1A" w:rsidP="00103E1A">
      <w:pPr>
        <w:pStyle w:val="Heading4"/>
        <w:spacing w:line="240" w:lineRule="auto"/>
        <w:rPr>
          <w:rFonts w:asciiTheme="majorHAnsi" w:hAnsiTheme="majorHAnsi" w:cs="Calibri"/>
          <w:color w:val="000000" w:themeColor="text1"/>
          <w:szCs w:val="16"/>
        </w:rPr>
      </w:pPr>
      <w:r w:rsidRPr="00A9489C">
        <w:rPr>
          <w:rFonts w:asciiTheme="majorHAnsi" w:hAnsiTheme="majorHAnsi" w:cs="Calibri"/>
          <w:color w:val="000000" w:themeColor="text1"/>
        </w:rPr>
        <w:t>A priori truth has to apply to everyone: A) absent universal ethics, morality becomes arbitrary and fails to guide action, which means that ethics is rendered useless, B) otherwise it creates a contradiction in which you justify your freedom while limiting others’</w:t>
      </w:r>
    </w:p>
    <w:p w14:paraId="0F32E872" w14:textId="77777777" w:rsidR="00103E1A" w:rsidRPr="00A9489C" w:rsidRDefault="00103E1A" w:rsidP="00103E1A">
      <w:pPr>
        <w:pStyle w:val="Heading4"/>
        <w:rPr>
          <w:rFonts w:asciiTheme="majorHAnsi" w:hAnsiTheme="majorHAnsi"/>
          <w:color w:val="000000" w:themeColor="text1"/>
        </w:rPr>
      </w:pPr>
      <w:r w:rsidRPr="00A9489C">
        <w:rPr>
          <w:rFonts w:asciiTheme="majorHAnsi" w:hAnsiTheme="majorHAnsi"/>
          <w:color w:val="000000" w:themeColor="text1"/>
        </w:rPr>
        <w:t>Thus the standard is consistency with the categorical imperative.</w:t>
      </w:r>
    </w:p>
    <w:p w14:paraId="2F0C1097" w14:textId="77777777" w:rsidR="00103E1A" w:rsidRPr="00A9489C" w:rsidRDefault="00103E1A" w:rsidP="00103E1A">
      <w:pPr>
        <w:rPr>
          <w:rFonts w:asciiTheme="majorHAnsi" w:hAnsiTheme="majorHAnsi"/>
          <w:color w:val="000000" w:themeColor="text1"/>
        </w:rPr>
      </w:pPr>
    </w:p>
    <w:p w14:paraId="7CE54D04" w14:textId="77777777" w:rsidR="00103E1A" w:rsidRPr="00A9489C" w:rsidRDefault="00103E1A" w:rsidP="00103E1A">
      <w:pPr>
        <w:pStyle w:val="Heading4"/>
        <w:rPr>
          <w:rFonts w:asciiTheme="majorHAnsi" w:hAnsiTheme="majorHAnsi"/>
          <w:color w:val="000000" w:themeColor="text1"/>
        </w:rPr>
      </w:pPr>
      <w:r w:rsidRPr="00A9489C">
        <w:rPr>
          <w:rFonts w:asciiTheme="majorHAnsi" w:hAnsiTheme="majorHAnsi"/>
          <w:color w:val="000000" w:themeColor="text1"/>
        </w:rPr>
        <w:t>Prefer additionally:</w:t>
      </w:r>
    </w:p>
    <w:p w14:paraId="03C87C55" w14:textId="77777777" w:rsidR="00103E1A" w:rsidRPr="00A9489C" w:rsidRDefault="00103E1A" w:rsidP="00103E1A">
      <w:pPr>
        <w:pStyle w:val="Heading4"/>
        <w:spacing w:before="2" w:after="2" w:line="240" w:lineRule="auto"/>
        <w:rPr>
          <w:rFonts w:asciiTheme="majorHAnsi" w:hAnsiTheme="majorHAnsi" w:cs="Calibri"/>
          <w:color w:val="000000" w:themeColor="text1"/>
        </w:rPr>
      </w:pPr>
      <w:r w:rsidRPr="00A9489C">
        <w:rPr>
          <w:rFonts w:asciiTheme="majorHAnsi" w:hAnsiTheme="majorHAnsi" w:cs="Calibri"/>
          <w:color w:val="000000" w:themeColor="text1"/>
        </w:rPr>
        <w:t xml:space="preserve">1] Performativity—freedom is the key to the process of justification of arguments. Willing that we should abide by their ethical theory presupposes that we own ourselves in the first place </w:t>
      </w:r>
    </w:p>
    <w:p w14:paraId="3D566F51" w14:textId="77777777" w:rsidR="00103E1A" w:rsidRPr="00A9489C" w:rsidRDefault="00103E1A" w:rsidP="00103E1A">
      <w:pPr>
        <w:rPr>
          <w:rFonts w:asciiTheme="majorHAnsi" w:hAnsiTheme="majorHAnsi"/>
          <w:color w:val="000000" w:themeColor="text1"/>
        </w:rPr>
      </w:pPr>
    </w:p>
    <w:p w14:paraId="37F9573C" w14:textId="77777777" w:rsidR="00103E1A" w:rsidRPr="00A9489C" w:rsidRDefault="00103E1A" w:rsidP="00103E1A">
      <w:pPr>
        <w:pStyle w:val="Heading4"/>
        <w:rPr>
          <w:rFonts w:asciiTheme="majorHAnsi" w:hAnsiTheme="majorHAnsi"/>
          <w:color w:val="000000" w:themeColor="text1"/>
        </w:rPr>
      </w:pPr>
      <w:r w:rsidRPr="00A9489C">
        <w:rPr>
          <w:rFonts w:asciiTheme="majorHAnsi" w:hAnsiTheme="majorHAnsi"/>
          <w:color w:val="000000" w:themeColor="text1"/>
        </w:rPr>
        <w:t xml:space="preserve">2] Consequentialism fails -, </w:t>
      </w:r>
    </w:p>
    <w:p w14:paraId="73946658" w14:textId="77777777" w:rsidR="00103E1A" w:rsidRPr="00DC394B" w:rsidRDefault="00103E1A" w:rsidP="00103E1A">
      <w:pPr>
        <w:pStyle w:val="Heading4"/>
      </w:pPr>
      <w:r>
        <w:t xml:space="preserve">[a] </w:t>
      </w:r>
      <w:r w:rsidRPr="00DC394B">
        <w:t>Problem of induction</w:t>
      </w:r>
    </w:p>
    <w:p w14:paraId="1F273E19" w14:textId="77777777" w:rsidR="00103E1A" w:rsidRPr="00DC394B" w:rsidRDefault="00103E1A" w:rsidP="00103E1A">
      <w:r w:rsidRPr="00DC394B">
        <w:rPr>
          <w:rStyle w:val="Heading4Char"/>
        </w:rPr>
        <w:t>Vickers 14</w:t>
      </w:r>
      <w:r w:rsidRPr="00DC394B">
        <w:t>, John Vickers, 2014, The Problem of Induction, https://plato.stanford.edu/entries/induction-problem/</w:t>
      </w:r>
    </w:p>
    <w:p w14:paraId="3F860FF0" w14:textId="77777777" w:rsidR="00103E1A" w:rsidRDefault="00103E1A" w:rsidP="00103E1A">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151E2F46" w14:textId="77777777" w:rsidR="00103E1A" w:rsidRDefault="00103E1A" w:rsidP="00103E1A">
      <w:pPr>
        <w:shd w:val="clear" w:color="auto" w:fill="FFFFFF"/>
        <w:spacing w:after="150"/>
        <w:rPr>
          <w:rFonts w:asciiTheme="majorHAnsi" w:hAnsiTheme="majorHAnsi"/>
          <w:color w:val="000000" w:themeColor="text1"/>
        </w:rPr>
      </w:pPr>
      <w:r w:rsidRPr="00A9489C">
        <w:rPr>
          <w:rFonts w:asciiTheme="majorHAnsi" w:hAnsiTheme="majorHAnsi"/>
          <w:color w:val="000000" w:themeColor="text1"/>
        </w:rPr>
        <w:t>b] butterfly effect: every consequence is infinitely cascading so we don’t know the true extent of our actions, meaning we cannot predict consequences</w:t>
      </w:r>
    </w:p>
    <w:p w14:paraId="4208560A" w14:textId="77777777" w:rsidR="00103E1A" w:rsidRDefault="00103E1A" w:rsidP="00103E1A">
      <w:pPr>
        <w:shd w:val="clear" w:color="auto" w:fill="FFFFFF"/>
        <w:spacing w:after="150"/>
        <w:rPr>
          <w:b/>
          <w:bCs/>
          <w:iCs/>
          <w:sz w:val="26"/>
          <w:szCs w:val="26"/>
        </w:rPr>
      </w:pPr>
      <w:r>
        <w:rPr>
          <w:rStyle w:val="Emphasis"/>
          <w:sz w:val="26"/>
          <w:szCs w:val="26"/>
          <w:u w:val="none"/>
        </w:rPr>
        <w:t xml:space="preserve"> [c]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54D98DA8" w14:textId="77777777" w:rsidR="00103E1A" w:rsidRPr="00A9489C" w:rsidRDefault="00103E1A" w:rsidP="00103E1A">
      <w:pPr>
        <w:rPr>
          <w:rFonts w:asciiTheme="majorHAnsi" w:hAnsiTheme="majorHAnsi"/>
          <w:color w:val="000000" w:themeColor="text1"/>
        </w:rPr>
      </w:pPr>
    </w:p>
    <w:p w14:paraId="391C3F92" w14:textId="77777777" w:rsidR="00103E1A" w:rsidRPr="00A9489C" w:rsidRDefault="00103E1A" w:rsidP="00103E1A">
      <w:pPr>
        <w:pStyle w:val="Heading4"/>
        <w:rPr>
          <w:rFonts w:asciiTheme="majorHAnsi" w:hAnsiTheme="majorHAnsi"/>
          <w:color w:val="000000" w:themeColor="text1"/>
        </w:rPr>
      </w:pPr>
      <w:r w:rsidRPr="00A9489C">
        <w:rPr>
          <w:rFonts w:asciiTheme="majorHAnsi" w:hAnsiTheme="majorHAnsi"/>
          <w:color w:val="000000" w:themeColor="text1"/>
        </w:rPr>
        <w:t>3] Frameworks are an interpretation of the word “ought” in the resolution, which means they are a topicality interpretation and thus should be theoretically justified. Prefer my framework bc of Resource disparities—a focus on evidence and statistics privileges debaters with the most prep which excludes lone-wolfs who lack huge files. A Kantian debate can easily be won without any prep since only analytics are required. That controls the internal link to other voters because a pre-req to debating is access to the activity</w:t>
      </w:r>
    </w:p>
    <w:p w14:paraId="0BBFA034" w14:textId="77777777" w:rsidR="00103E1A" w:rsidRDefault="00103E1A" w:rsidP="00103E1A">
      <w:pPr>
        <w:pStyle w:val="Heading4"/>
        <w:spacing w:line="240" w:lineRule="auto"/>
        <w:rPr>
          <w:rFonts w:cs="Times New Roman"/>
        </w:rPr>
      </w:pPr>
    </w:p>
    <w:p w14:paraId="5171AE66" w14:textId="77777777" w:rsidR="00103E1A" w:rsidRDefault="00103E1A" w:rsidP="00103E1A">
      <w:pPr>
        <w:pStyle w:val="Heading4"/>
        <w:spacing w:line="240" w:lineRule="auto"/>
        <w:rPr>
          <w:rFonts w:cs="Times New Roman"/>
        </w:rPr>
      </w:pPr>
    </w:p>
    <w:p w14:paraId="113C7226" w14:textId="77777777" w:rsidR="00103E1A" w:rsidRDefault="00103E1A" w:rsidP="00103E1A">
      <w:pPr>
        <w:pStyle w:val="Heading3"/>
      </w:pPr>
      <w:r w:rsidRPr="00F570EE">
        <w:t>1NC – Offense</w:t>
      </w:r>
    </w:p>
    <w:p w14:paraId="56F3CF48" w14:textId="77777777" w:rsidR="00103E1A" w:rsidRPr="00A057DB" w:rsidRDefault="00103E1A" w:rsidP="00103E1A">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6263CED4" w14:textId="60685826" w:rsidR="00103E1A" w:rsidRPr="00E45605" w:rsidRDefault="00103E1A" w:rsidP="00103E1A">
      <w:r w:rsidRPr="00797F40">
        <w:rPr>
          <w:rFonts w:eastAsiaTheme="majorEastAsia" w:cstheme="majorBidi"/>
          <w:b/>
          <w:bCs/>
          <w:sz w:val="26"/>
        </w:rPr>
        <w:t>Pozzo 6</w:t>
      </w:r>
      <w:r w:rsidRPr="00797F40">
        <w:t xml:space="preserve"> Pozzo, Riccardo. “Immanuel Kant on Intellectual Property.” Trans/Form/Ação, vol. 29, no. 2, 2006, pp. 11–18., doi:10.1590/s0101-31732006000200002.</w:t>
      </w:r>
      <w:r>
        <w:t xml:space="preserve"> SJ//DA recut SJKS recut Cookie JX</w:t>
      </w:r>
      <w:r>
        <w:t xml:space="preserve"> recut OL</w:t>
      </w:r>
    </w:p>
    <w:p w14:paraId="2A027468" w14:textId="77777777" w:rsidR="00103E1A" w:rsidRDefault="00103E1A" w:rsidP="00103E1A">
      <w:pPr>
        <w:rPr>
          <w:sz w:val="16"/>
        </w:rPr>
      </w:pPr>
      <w:r w:rsidRPr="006F1739">
        <w:rPr>
          <w:sz w:val="16"/>
        </w:rPr>
        <w:t xml:space="preserve">Corpus mysticum, opus mysticum, propriété incorporelle, proprietà letteraria, geistiges Eigentum.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change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mechanicum) that can be reproduced (by someone in legitimate possession of a copy of it), so that there is a right to a thing with regard to it. </w:t>
      </w:r>
      <w:r w:rsidRPr="0027259A">
        <w:rPr>
          <w:rStyle w:val="Emphasis"/>
        </w:rPr>
        <w:t xml:space="preserve">On the other hand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(praestatio operae),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mysticum,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The corpus mechanicum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beneficiis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Reimarus asked writers “instead of writing for the aristocracy, to write for the tiers état of the reader’s world.” (Reimarus,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Illegitimity of Pirate Publishing, he considered the moral faculties related to </w:t>
      </w:r>
      <w:r w:rsidRPr="001E5989">
        <w:rPr>
          <w:b/>
          <w:bCs/>
          <w:u w:val="single"/>
        </w:rPr>
        <w:t>intellectual property as an “inalienable right (ius personalissimum)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Illegitimity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missing: we must read the book, meditate – provided it is not completely trivial – on its content, consider it under different aspects and eventually accept it within our connections of ideas” (Fichte, 1964, t.I/1,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In particular, Fichte declared the absolute primacy of the moral faculties within the corpus mysticum.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t.I/1,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Reimarus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 xml:space="preserve">(Reimarus, 1791a, pp.402-3). Reimarus admitted of being unable to argue in terms of justice. Justice was of no bearing, he said, for whom, like himself, considered undemonstrated the author’s permanent property of his work (herein supported by the legislative vacuum of those years). What mattered, he said, was equity. In sum, Reimarus anticipated today’s stance on free use by referring to the principle that public interest on knowledge ought to prevail on the author’s interest and to balance the copyright. Moreover, Reimarus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 xml:space="preserve">(Reimarus, 1791b, t.2, pp.584). To sum up, Reimarus’s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3B388802" w14:textId="77777777" w:rsidR="00103E1A" w:rsidRPr="00A057DB" w:rsidRDefault="00103E1A" w:rsidP="00103E1A"/>
    <w:p w14:paraId="02C6807C" w14:textId="77777777" w:rsidR="00103E1A" w:rsidRDefault="00103E1A" w:rsidP="00103E1A">
      <w:pPr>
        <w:pStyle w:val="Heading4"/>
      </w:pPr>
      <w:r>
        <w:t xml:space="preserve">Unauthorized publication and usage of text is wrongful and infringes on inalienable moral rights </w:t>
      </w:r>
    </w:p>
    <w:p w14:paraId="143BBAAA" w14:textId="77777777" w:rsidR="00103E1A" w:rsidRPr="00D6612E" w:rsidRDefault="00103E1A" w:rsidP="00103E1A">
      <w:r w:rsidRPr="00025664">
        <w:rPr>
          <w:rStyle w:val="Style13ptBold"/>
        </w:rPr>
        <w:t>Barron ’11</w:t>
      </w:r>
      <w:r>
        <w:t xml:space="preserve">. [Barron, Anne (2011) Kant, copyright and communicative freedom. Law and philosophy . pp. 1-48. </w:t>
      </w:r>
      <w:hyperlink r:id="rId9" w:history="1">
        <w:r w:rsidRPr="00351E72">
          <w:rPr>
            <w:rStyle w:val="Hyperlink"/>
          </w:rPr>
          <w:t>http://eprints.lse.ac.uk/37521/1/Kant_Copyright_and_Communicative_Freedom_%28lsero%29.pdf</w:t>
        </w:r>
      </w:hyperlink>
      <w:r>
        <w:t>] NChu</w:t>
      </w:r>
    </w:p>
    <w:p w14:paraId="5274C647" w14:textId="77777777" w:rsidR="00103E1A" w:rsidRPr="00565B29" w:rsidRDefault="00103E1A" w:rsidP="00103E1A">
      <w:pPr>
        <w:rPr>
          <w:sz w:val="16"/>
        </w:rPr>
      </w:pPr>
      <w:r w:rsidRPr="0052413F">
        <w:rPr>
          <w:sz w:val="16"/>
        </w:rPr>
        <w:t xml:space="preserve">My claim in this article is that a significantly different, and arguably richer, conception of what a free culture entails and how the rights of authors relate to it emerges from a direct engagement with the philosophy of Immanuel Kant.15 The immediate justification for turning to Kant in this context is that he dealt very directly with the issue of authors’ rights – first in an essay published in 178516 (hereinafter ‘1785 Essay’) and again briefly in a section – entitled “What is a Book” – of his late work of political philosophy, Part I of The Metaphysics of Morals. 17 Moreover, he theorized these rights as speech rights, and not as rights of property in works considered as crystallizations of their authors’ communications.18 The most wellknown of the arguments contained in these writings can be briefly outlined. </w:t>
      </w:r>
      <w:r w:rsidRPr="005B3BCD">
        <w:rPr>
          <w:rStyle w:val="StyleUnderline"/>
        </w:rPr>
        <w:t>Kant’s premise is that a book considered as a material object must be distinguished from a book considered as the vehicle for an activity of authorial speech</w:t>
      </w:r>
      <w:r w:rsidRPr="0052413F">
        <w:rPr>
          <w:sz w:val="16"/>
        </w:rPr>
        <w:t xml:space="preserve">. On the one hand, </w:t>
      </w:r>
      <w:r w:rsidRPr="00F96787">
        <w:rPr>
          <w:rStyle w:val="StyleUnderline"/>
          <w:highlight w:val="green"/>
        </w:rPr>
        <w:t>an author’s manuscript</w:t>
      </w:r>
      <w:r w:rsidRPr="0052413F">
        <w:rPr>
          <w:sz w:val="16"/>
        </w:rPr>
        <w:t xml:space="preserve">, and every printed copy of it, </w:t>
      </w:r>
      <w:r w:rsidRPr="00F96787">
        <w:rPr>
          <w:rStyle w:val="StyleUnderline"/>
          <w:highlight w:val="green"/>
        </w:rPr>
        <w:t>is an</w:t>
      </w:r>
      <w:r w:rsidRPr="005B3BCD">
        <w:rPr>
          <w:rStyle w:val="StyleUnderline"/>
        </w:rPr>
        <w:t xml:space="preserve"> ordinary </w:t>
      </w:r>
      <w:r w:rsidRPr="00F96787">
        <w:rPr>
          <w:rStyle w:val="StyleUnderline"/>
          <w:highlight w:val="green"/>
        </w:rPr>
        <w:t>object of property</w:t>
      </w:r>
      <w:r w:rsidRPr="005B3BCD">
        <w:rPr>
          <w:rStyle w:val="StyleUnderline"/>
        </w:rPr>
        <w:t xml:space="preserve"> attracting an ordinary right of property vested in whomever is legitimately in possession of the object.</w:t>
      </w:r>
      <w:r w:rsidRPr="0052413F">
        <w:rPr>
          <w:sz w:val="16"/>
        </w:rPr>
        <w:t xml:space="preserve"> </w:t>
      </w:r>
      <w:r w:rsidRPr="00F96787">
        <w:rPr>
          <w:rStyle w:val="StyleUnderline"/>
          <w:highlight w:val="green"/>
        </w:rPr>
        <w:t>This right would include the right to use the object,</w:t>
      </w:r>
      <w:r w:rsidRPr="005B3BCD">
        <w:rPr>
          <w:rStyle w:val="StyleUnderline"/>
        </w:rPr>
        <w:t xml:space="preserve"> to </w:t>
      </w:r>
      <w:r w:rsidRPr="00F96787">
        <w:rPr>
          <w:rStyle w:val="StyleUnderline"/>
          <w:highlight w:val="green"/>
        </w:rPr>
        <w:t>sell the object and</w:t>
      </w:r>
      <w:r w:rsidRPr="005B3BCD">
        <w:rPr>
          <w:rStyle w:val="StyleUnderline"/>
        </w:rPr>
        <w:t xml:space="preserve"> indeed to </w:t>
      </w:r>
      <w:r w:rsidRPr="00F96787">
        <w:rPr>
          <w:rStyle w:val="StyleUnderline"/>
          <w:highlight w:val="green"/>
        </w:rPr>
        <w:t>copy the object</w:t>
      </w:r>
      <w:r w:rsidRPr="005B3BCD">
        <w:rPr>
          <w:rStyle w:val="StyleUnderline"/>
        </w:rPr>
        <w:t>.</w:t>
      </w:r>
      <w:r w:rsidRPr="0052413F">
        <w:rPr>
          <w:sz w:val="16"/>
        </w:rPr>
        <w:t xml:space="preserve"> On the other hand, </w:t>
      </w:r>
      <w:r w:rsidRPr="005B3BCD">
        <w:rPr>
          <w:rStyle w:val="StyleUnderline"/>
        </w:rPr>
        <w:t>a published book</w:t>
      </w:r>
      <w:r w:rsidRPr="0052413F">
        <w:rPr>
          <w:sz w:val="16"/>
        </w:rPr>
        <w:t xml:space="preserve"> (considered as the vehicle of its author’s speech) </w:t>
      </w:r>
      <w:r w:rsidRPr="005B3BCD">
        <w:rPr>
          <w:rStyle w:val="StyleUnderline"/>
        </w:rPr>
        <w:t>is also a communication from publisher to public in the name of the author</w:t>
      </w:r>
      <w:r w:rsidRPr="0052413F">
        <w:rPr>
          <w:sz w:val="16"/>
        </w:rPr>
        <w:t xml:space="preserve">. Hence it is also an action, and as such it has its existence in a person – the person of the author. </w:t>
      </w:r>
      <w:r w:rsidRPr="00F96787">
        <w:rPr>
          <w:rStyle w:val="StyleUnderline"/>
          <w:highlight w:val="green"/>
        </w:rPr>
        <w:t>For Kant</w:t>
      </w:r>
      <w:r w:rsidRPr="00F96787">
        <w:rPr>
          <w:rStyle w:val="StyleUnderline"/>
        </w:rPr>
        <w:t>,</w:t>
      </w:r>
      <w:r w:rsidRPr="0052413F">
        <w:rPr>
          <w:sz w:val="16"/>
        </w:rPr>
        <w:t xml:space="preserve"> it follows that </w:t>
      </w:r>
      <w:r w:rsidRPr="00F96787">
        <w:rPr>
          <w:rStyle w:val="StyleUnderline"/>
          <w:highlight w:val="green"/>
        </w:rPr>
        <w:t>unauthorized publication</w:t>
      </w:r>
      <w:r w:rsidRPr="005B3BCD">
        <w:rPr>
          <w:rStyle w:val="StyleUnderline"/>
        </w:rPr>
        <w:t xml:space="preserve"> of copies of the author’s text </w:t>
      </w:r>
      <w:r w:rsidRPr="0052413F">
        <w:rPr>
          <w:sz w:val="16"/>
        </w:rPr>
        <w:t xml:space="preserve">– though not unauthorized reproduction as such – </w:t>
      </w:r>
      <w:r w:rsidRPr="00F96787">
        <w:rPr>
          <w:rStyle w:val="StyleUnderline"/>
          <w:highlight w:val="green"/>
        </w:rPr>
        <w:t>is wrongful</w:t>
      </w:r>
      <w:r w:rsidRPr="0052413F">
        <w:rPr>
          <w:sz w:val="16"/>
        </w:rPr>
        <w:t xml:space="preserve">. </w:t>
      </w:r>
      <w:r w:rsidRPr="005B3BCD">
        <w:rPr>
          <w:rStyle w:val="StyleUnderline"/>
        </w:rPr>
        <w:t xml:space="preserve">By </w:t>
      </w:r>
      <w:r w:rsidRPr="0008050A">
        <w:rPr>
          <w:rStyle w:val="StyleUnderline"/>
          <w:highlight w:val="green"/>
        </w:rPr>
        <w:t>selling copies of an author’s text</w:t>
      </w:r>
      <w:r w:rsidRPr="005B3BCD">
        <w:rPr>
          <w:rStyle w:val="StyleUnderline"/>
        </w:rPr>
        <w:t xml:space="preserve"> to the public, the unauthorized publisher is not just dealing with commodities</w:t>
      </w:r>
      <w:r w:rsidRPr="0052413F">
        <w:rPr>
          <w:sz w:val="16"/>
        </w:rPr>
        <w:t xml:space="preserve"> – printed books – </w:t>
      </w:r>
      <w:r w:rsidRPr="005B3BCD">
        <w:rPr>
          <w:rStyle w:val="StyleUnderline"/>
        </w:rPr>
        <w:t xml:space="preserve">in his own name, but </w:t>
      </w:r>
      <w:r w:rsidRPr="0008050A">
        <w:rPr>
          <w:rStyle w:val="StyleUnderline"/>
          <w:highlight w:val="green"/>
        </w:rPr>
        <w:t>is disseminating</w:t>
      </w:r>
      <w:r w:rsidRPr="005B3BCD">
        <w:rPr>
          <w:rStyle w:val="StyleUnderline"/>
        </w:rPr>
        <w:t xml:space="preserve"> an author’s </w:t>
      </w:r>
      <w:r w:rsidRPr="0008050A">
        <w:rPr>
          <w:rStyle w:val="StyleUnderline"/>
          <w:highlight w:val="green"/>
        </w:rPr>
        <w:t>speech</w:t>
      </w:r>
      <w:r w:rsidRPr="0052413F">
        <w:rPr>
          <w:sz w:val="16"/>
        </w:rPr>
        <w:t xml:space="preserve">, thus compelling the author to speak against his will,19 to acknowledge the book as his own and be responsible for it.20 Actions “belong exclusively to the person of the author, and the author has in them an inalienable right always himself to speak through anyone else, the right, that is, that no one may deliver the same speech to the public other than in his (the author’s) name”21 or deliver a fundamentally altered speech in his name.22 However if the work is indeed so altered that it would be wrong to attribute it to the author, it can rightfully be published in the modifier’s name.23 These remarks on authors’ rights have not gone unnoticed by copyright lawyers. On the contrary, Kant’s 1785 Essay is often cited as inspiration for the theory – now institutionalized in international copyright law – that </w:t>
      </w:r>
      <w:r w:rsidRPr="001C3F99">
        <w:rPr>
          <w:rStyle w:val="StyleUnderline"/>
          <w:highlight w:val="green"/>
        </w:rPr>
        <w:t>authors</w:t>
      </w:r>
      <w:r w:rsidRPr="00F96787">
        <w:rPr>
          <w:rStyle w:val="StyleUnderline"/>
        </w:rPr>
        <w:t xml:space="preserve"> ought to </w:t>
      </w:r>
      <w:r w:rsidRPr="001C3F99">
        <w:rPr>
          <w:rStyle w:val="StyleUnderline"/>
          <w:highlight w:val="green"/>
        </w:rPr>
        <w:t>have inalienable ‘moral’ rights in relation to their works</w:t>
      </w:r>
      <w:r w:rsidRPr="0052413F">
        <w:rPr>
          <w:sz w:val="16"/>
        </w:rPr>
        <w:t>.24 These are enforceable legal rights which are ‘moral’ in the sense that they concern authors’ non-pecuniary interests in relation to their works (such as the interest in being identified as author, and in ensuring that one’s works are published only in the form in which they were created); and they contrast with the economic rights (e.g. to control the reproduction and distribution of copies) which protect authors’ pecuniary interests in the commercial exploitation of their works. Yet moral rights in practice afford far less protection to authors than the theory would suggest, and transferable economic rights to the most commercially valuable works are more often than not held by corporate investors. And since it is economic rights which are the focus of concerns about copyright expansionism and its implications for the public domain, the formal recognition of a doctrine of moral rights has done little to allay these concerns.</w:t>
      </w:r>
    </w:p>
    <w:p w14:paraId="64E77D50" w14:textId="77777777" w:rsidR="00103E1A" w:rsidRDefault="00103E1A" w:rsidP="00103E1A">
      <w:pPr>
        <w:pStyle w:val="Heading4"/>
        <w:rPr>
          <w:rFonts w:asciiTheme="majorHAnsi" w:hAnsiTheme="majorHAnsi"/>
        </w:rPr>
      </w:pPr>
    </w:p>
    <w:p w14:paraId="1FBF5901" w14:textId="77777777" w:rsidR="00103E1A" w:rsidRPr="005A7476" w:rsidRDefault="00103E1A" w:rsidP="00103E1A">
      <w:pPr>
        <w:pStyle w:val="Heading4"/>
        <w:rPr>
          <w:rFonts w:asciiTheme="majorHAnsi" w:hAnsiTheme="majorHAnsi"/>
        </w:rPr>
      </w:pPr>
      <w:r w:rsidRPr="005A7476">
        <w:rPr>
          <w:rFonts w:asciiTheme="majorHAnsi" w:hAnsiTheme="majorHAnsi"/>
        </w:rPr>
        <w:t xml:space="preserve"> </w:t>
      </w:r>
      <w:r>
        <w:rPr>
          <w:rFonts w:asciiTheme="majorHAnsi" w:hAnsiTheme="majorHAnsi"/>
        </w:rPr>
        <w:t>2</w:t>
      </w:r>
      <w:r w:rsidRPr="005A7476">
        <w:rPr>
          <w:rFonts w:asciiTheme="majorHAnsi" w:hAnsiTheme="majorHAnsi"/>
        </w:rPr>
        <w:t xml:space="preserve">] The aff violates the categorical imperative and is </w:t>
      </w:r>
      <w:r w:rsidRPr="005A7476">
        <w:rPr>
          <w:rFonts w:asciiTheme="majorHAnsi" w:hAnsiTheme="majorHAnsi"/>
          <w:u w:val="single"/>
        </w:rPr>
        <w:t>non-universalizable</w:t>
      </w:r>
      <w:r w:rsidRPr="005A7476">
        <w:rPr>
          <w:rFonts w:asciiTheme="majorHAnsi" w:hAnsiTheme="majorHAnsi"/>
        </w:rPr>
        <w:t xml:space="preserve">- governments have a </w:t>
      </w:r>
      <w:r w:rsidRPr="005A7476">
        <w:rPr>
          <w:rFonts w:asciiTheme="majorHAnsi" w:hAnsiTheme="majorHAnsi"/>
          <w:u w:val="single"/>
        </w:rPr>
        <w:t xml:space="preserve">binding obligation </w:t>
      </w:r>
      <w:r w:rsidRPr="005A7476">
        <w:rPr>
          <w:rFonts w:asciiTheme="majorHAnsi" w:hAnsiTheme="majorHAnsi"/>
        </w:rPr>
        <w:t xml:space="preserve">to protect creations </w:t>
      </w:r>
    </w:p>
    <w:p w14:paraId="0AC64745" w14:textId="77777777" w:rsidR="00103E1A" w:rsidRPr="005A7476" w:rsidRDefault="00103E1A" w:rsidP="00103E1A">
      <w:pPr>
        <w:rPr>
          <w:rFonts w:asciiTheme="majorHAnsi" w:hAnsiTheme="majorHAnsi"/>
        </w:rPr>
      </w:pPr>
      <w:r w:rsidRPr="005A7476">
        <w:rPr>
          <w:rFonts w:asciiTheme="majorHAnsi" w:eastAsiaTheme="majorEastAsia" w:hAnsiTheme="majorHAnsi" w:cstheme="majorBidi"/>
          <w:b/>
          <w:bCs/>
          <w:sz w:val="26"/>
        </w:rPr>
        <w:t>Van Dyke 18</w:t>
      </w:r>
      <w:r w:rsidRPr="005A7476">
        <w:rPr>
          <w:rFonts w:asciiTheme="majorHAnsi" w:hAnsiTheme="majorHAnsi"/>
        </w:rPr>
        <w:t xml:space="preserve"> Raymond Van Dyke, 7-17-2018, "The Categorical Imperative for Innovation and Patenting," IPWatchdog, </w:t>
      </w:r>
      <w:hyperlink r:id="rId10" w:history="1">
        <w:r w:rsidRPr="005A7476">
          <w:rPr>
            <w:rStyle w:val="Hyperlink"/>
            <w:rFonts w:asciiTheme="majorHAnsi" w:hAnsiTheme="majorHAnsi"/>
          </w:rPr>
          <w:t>https://www.ipwatchdog.com/2018/07/17/categorical-imperative-innovation-patenting/id=99178/</w:t>
        </w:r>
      </w:hyperlink>
      <w:r w:rsidRPr="005A7476">
        <w:rPr>
          <w:rFonts w:asciiTheme="majorHAnsi" w:hAnsiTheme="majorHAnsi"/>
        </w:rPr>
        <w:t xml:space="preserve"> SJ//DA recut SJKS</w:t>
      </w:r>
    </w:p>
    <w:p w14:paraId="73A8D59D" w14:textId="77777777" w:rsidR="00103E1A" w:rsidRPr="005A7476" w:rsidRDefault="00103E1A" w:rsidP="00103E1A">
      <w:pPr>
        <w:rPr>
          <w:rFonts w:asciiTheme="majorHAnsi" w:hAnsiTheme="majorHAnsi"/>
          <w:sz w:val="16"/>
        </w:rPr>
      </w:pPr>
      <w:r w:rsidRPr="005A7476">
        <w:rPr>
          <w:rFonts w:asciiTheme="majorHAnsi" w:hAnsiTheme="majorHAnsi"/>
          <w:sz w:val="16"/>
        </w:rPr>
        <w:t xml:space="preserve">As we shall see, applying </w:t>
      </w:r>
      <w:r w:rsidRPr="005A7476">
        <w:rPr>
          <w:rFonts w:asciiTheme="majorHAnsi" w:hAnsiTheme="majorHAnsi"/>
          <w:b/>
          <w:bCs/>
          <w:highlight w:val="green"/>
          <w:u w:val="single"/>
        </w:rPr>
        <w:t>Kant</w:t>
      </w:r>
      <w:r w:rsidRPr="005A7476">
        <w:rPr>
          <w:rFonts w:asciiTheme="majorHAnsi" w:hAnsiTheme="majorHAnsi"/>
          <w:b/>
          <w:bCs/>
          <w:u w:val="single"/>
        </w:rPr>
        <w:t xml:space="preserve">ian logic </w:t>
      </w:r>
      <w:r w:rsidRPr="005A7476">
        <w:rPr>
          <w:rFonts w:asciiTheme="majorHAnsi" w:hAnsiTheme="majorHAnsi"/>
          <w:b/>
          <w:bCs/>
          <w:highlight w:val="green"/>
          <w:u w:val="single"/>
        </w:rPr>
        <w:t>entails</w:t>
      </w:r>
      <w:r w:rsidRPr="005A7476">
        <w:rPr>
          <w:rFonts w:asciiTheme="majorHAnsi" w:hAnsiTheme="majorHAnsi"/>
          <w:b/>
          <w:bCs/>
          <w:u w:val="single"/>
        </w:rPr>
        <w:t xml:space="preserve"> first </w:t>
      </w:r>
      <w:r w:rsidRPr="005A7476">
        <w:rPr>
          <w:rFonts w:asciiTheme="majorHAnsi" w:hAnsiTheme="majorHAnsi"/>
          <w:b/>
          <w:bCs/>
          <w:highlight w:val="green"/>
          <w:u w:val="single"/>
        </w:rPr>
        <w:t>acknowledging</w:t>
      </w:r>
      <w:r w:rsidRPr="005A7476">
        <w:rPr>
          <w:rFonts w:asciiTheme="majorHAnsi" w:hAnsiTheme="majorHAnsi"/>
          <w:b/>
          <w:bCs/>
          <w:u w:val="single"/>
        </w:rPr>
        <w:t xml:space="preserve"> some basic principles; that the people have </w:t>
      </w:r>
      <w:r w:rsidRPr="005A7476">
        <w:rPr>
          <w:rFonts w:asciiTheme="majorHAnsi" w:hAnsiTheme="majorHAnsi"/>
          <w:b/>
          <w:bCs/>
          <w:highlight w:val="green"/>
          <w:u w:val="single"/>
        </w:rPr>
        <w:t>a right to express themselves</w:t>
      </w:r>
      <w:r w:rsidRPr="005A7476">
        <w:rPr>
          <w:rFonts w:asciiTheme="majorHAnsi" w:hAnsiTheme="majorHAnsi"/>
          <w:b/>
          <w:bCs/>
          <w:u w:val="single"/>
        </w:rPr>
        <w:t xml:space="preserve">, that that expression (the fruits of their </w:t>
      </w:r>
      <w:r w:rsidRPr="005A7476">
        <w:rPr>
          <w:rFonts w:asciiTheme="majorHAnsi" w:hAnsiTheme="majorHAnsi"/>
          <w:b/>
          <w:bCs/>
          <w:highlight w:val="green"/>
          <w:u w:val="single"/>
        </w:rPr>
        <w:t>labor) has value and is theirs</w:t>
      </w:r>
      <w:r w:rsidRPr="005A7476">
        <w:rPr>
          <w:rFonts w:asciiTheme="majorHAnsi" w:hAnsiTheme="majorHAnsi"/>
          <w:b/>
          <w:bCs/>
          <w:u w:val="single"/>
        </w:rPr>
        <w:t xml:space="preserve"> (unless consent is given otherwise), </w:t>
      </w:r>
      <w:r w:rsidRPr="005A7476">
        <w:rPr>
          <w:rFonts w:asciiTheme="majorHAnsi" w:hAnsiTheme="majorHAnsi"/>
          <w:b/>
          <w:bCs/>
          <w:highlight w:val="green"/>
          <w:u w:val="single"/>
        </w:rPr>
        <w:t>and</w:t>
      </w:r>
      <w:r w:rsidRPr="005A7476">
        <w:rPr>
          <w:rFonts w:asciiTheme="majorHAnsi" w:hAnsiTheme="majorHAnsi"/>
          <w:b/>
          <w:bCs/>
          <w:u w:val="single"/>
        </w:rPr>
        <w:t xml:space="preserve"> that </w:t>
      </w:r>
      <w:r w:rsidRPr="005A7476">
        <w:rPr>
          <w:rFonts w:asciiTheme="majorHAnsi" w:hAnsiTheme="majorHAnsi"/>
          <w:b/>
          <w:bCs/>
          <w:highlight w:val="green"/>
          <w:u w:val="single"/>
        </w:rPr>
        <w:t>government is obligated to protect</w:t>
      </w:r>
      <w:r w:rsidRPr="005A7476">
        <w:rPr>
          <w:rFonts w:asciiTheme="majorHAnsi" w:hAnsiTheme="majorHAnsi"/>
          <w:b/>
          <w:bCs/>
          <w:u w:val="single"/>
        </w:rPr>
        <w:t xml:space="preserve"> people and </w:t>
      </w:r>
      <w:r w:rsidRPr="005A7476">
        <w:rPr>
          <w:rFonts w:asciiTheme="majorHAnsi" w:hAnsiTheme="majorHAnsi"/>
          <w:b/>
          <w:bCs/>
          <w:highlight w:val="green"/>
          <w:u w:val="single"/>
        </w:rPr>
        <w:t>their property.  Thus, an inventor</w:t>
      </w:r>
      <w:r w:rsidRPr="005A7476">
        <w:rPr>
          <w:rFonts w:asciiTheme="majorHAnsi" w:hAnsiTheme="majorHAnsi"/>
          <w:b/>
          <w:bCs/>
          <w:u w:val="single"/>
        </w:rPr>
        <w:t xml:space="preserve"> or creator </w:t>
      </w:r>
      <w:r w:rsidRPr="005A7476">
        <w:rPr>
          <w:rFonts w:asciiTheme="majorHAnsi" w:hAnsiTheme="majorHAnsi"/>
          <w:b/>
          <w:bCs/>
          <w:highlight w:val="green"/>
          <w:u w:val="single"/>
        </w:rPr>
        <w:t>has a</w:t>
      </w:r>
      <w:r w:rsidRPr="005A7476">
        <w:rPr>
          <w:rFonts w:asciiTheme="majorHAnsi" w:hAnsiTheme="majorHAnsi"/>
          <w:b/>
          <w:bCs/>
          <w:u w:val="single"/>
        </w:rPr>
        <w:t xml:space="preserve"> right in their own </w:t>
      </w:r>
      <w:r w:rsidRPr="005A7476">
        <w:rPr>
          <w:rFonts w:asciiTheme="majorHAnsi" w:hAnsiTheme="majorHAnsi"/>
          <w:b/>
          <w:bCs/>
          <w:highlight w:val="green"/>
          <w:u w:val="single"/>
        </w:rPr>
        <w:t>creation, which cannot be taken</w:t>
      </w:r>
      <w:r w:rsidRPr="005A7476">
        <w:rPr>
          <w:rFonts w:asciiTheme="majorHAnsi" w:hAnsiTheme="majorHAnsi"/>
          <w:b/>
          <w:bCs/>
          <w:u w:val="single"/>
        </w:rPr>
        <w:t xml:space="preserve"> from them </w:t>
      </w:r>
      <w:r w:rsidRPr="005A7476">
        <w:rPr>
          <w:rFonts w:asciiTheme="majorHAnsi" w:hAnsiTheme="majorHAnsi"/>
          <w:b/>
          <w:bCs/>
          <w:highlight w:val="green"/>
          <w:u w:val="single"/>
        </w:rPr>
        <w:t>without</w:t>
      </w:r>
      <w:r w:rsidRPr="005A7476">
        <w:rPr>
          <w:rFonts w:asciiTheme="majorHAnsi" w:hAnsiTheme="majorHAnsi"/>
          <w:b/>
          <w:bCs/>
          <w:u w:val="single"/>
        </w:rPr>
        <w:t xml:space="preserve"> their </w:t>
      </w:r>
      <w:r w:rsidRPr="005A7476">
        <w:rPr>
          <w:rFonts w:asciiTheme="majorHAnsi" w:hAnsiTheme="majorHAnsi"/>
          <w:b/>
          <w:bCs/>
          <w:highlight w:val="green"/>
          <w:u w:val="single"/>
        </w:rPr>
        <w:t>consent.</w:t>
      </w:r>
      <w:r w:rsidRPr="005A7476">
        <w:rPr>
          <w:rFonts w:asciiTheme="majorHAnsi" w:hAnsiTheme="majorHAnsi"/>
          <w:sz w:val="16"/>
        </w:rPr>
        <w:t xml:space="preserve"> So, employing this canon, </w:t>
      </w:r>
      <w:r w:rsidRPr="005A7476">
        <w:rPr>
          <w:rFonts w:asciiTheme="majorHAnsi" w:hAnsiTheme="majorHAnsi"/>
          <w:b/>
          <w:bCs/>
          <w:u w:val="single"/>
        </w:rPr>
        <w:t xml:space="preserve">a proposed Categorical Imperative (CI) is the following Statement: creators should be protected against the unlawful taking of their creation by others.  </w:t>
      </w:r>
      <w:r w:rsidRPr="005A7476">
        <w:rPr>
          <w:rFonts w:asciiTheme="majorHAnsi" w:hAnsiTheme="majorHAnsi"/>
          <w:b/>
          <w:bCs/>
          <w:highlight w:val="green"/>
          <w:u w:val="single"/>
        </w:rPr>
        <w:t>Applying this</w:t>
      </w:r>
      <w:r w:rsidRPr="005A7476">
        <w:rPr>
          <w:rFonts w:asciiTheme="majorHAnsi" w:hAnsiTheme="majorHAnsi"/>
          <w:b/>
          <w:bCs/>
          <w:u w:val="single"/>
        </w:rPr>
        <w:t xml:space="preserve"> Statement </w:t>
      </w:r>
      <w:r w:rsidRPr="005A7476">
        <w:rPr>
          <w:rFonts w:asciiTheme="majorHAnsi" w:hAnsiTheme="majorHAnsi"/>
          <w:b/>
          <w:bCs/>
          <w:highlight w:val="green"/>
          <w:u w:val="single"/>
        </w:rPr>
        <w:t>to everyone</w:t>
      </w:r>
      <w:r w:rsidRPr="005A7476">
        <w:rPr>
          <w:rFonts w:asciiTheme="majorHAnsi" w:hAnsiTheme="majorHAnsi"/>
          <w:b/>
          <w:bCs/>
          <w:u w:val="single"/>
        </w:rPr>
        <w:t xml:space="preserve">, i.e., does the Statement hold water if everyone does this, </w:t>
      </w:r>
      <w:r w:rsidRPr="005A7476">
        <w:rPr>
          <w:rFonts w:asciiTheme="majorHAnsi" w:hAnsiTheme="majorHAnsi"/>
          <w:b/>
          <w:bCs/>
          <w:highlight w:val="green"/>
          <w:u w:val="single"/>
        </w:rPr>
        <w:t>leads to a yes determination</w:t>
      </w:r>
      <w:r w:rsidRPr="005A7476">
        <w:rPr>
          <w:rFonts w:asciiTheme="majorHAnsi" w:hAnsiTheme="majorHAnsi"/>
          <w:b/>
          <w:bCs/>
          <w:u w:val="single"/>
        </w:rPr>
        <w:t>.  Whether a child, a book or a prototype, creations of all sorts should be protected, and this CI stands.</w:t>
      </w:r>
      <w:r w:rsidRPr="005A7476">
        <w:rPr>
          <w:rFonts w:asciiTheme="majorHAnsi" w:hAnsiTheme="majorHAnsi"/>
          <w:sz w:val="16"/>
        </w:rPr>
        <w:t xml:space="preserve">  This result also dovetails with the purpose of government: to protect the people and their possessions by providing laws to that effect, whether for the protection of tangible or intangible things. </w:t>
      </w:r>
      <w:r w:rsidRPr="005A7476">
        <w:rPr>
          <w:rFonts w:asciiTheme="majorHAnsi" w:hAnsiTheme="majorHAnsi"/>
          <w:b/>
          <w:bCs/>
          <w:u w:val="single"/>
        </w:rPr>
        <w:t>However</w:t>
      </w:r>
      <w:r w:rsidRPr="005A7476">
        <w:rPr>
          <w:rFonts w:asciiTheme="majorHAnsi" w:hAnsiTheme="majorHAnsi"/>
          <w:b/>
          <w:bCs/>
          <w:highlight w:val="green"/>
          <w:u w:val="single"/>
        </w:rPr>
        <w:t>, a contrary</w:t>
      </w:r>
      <w:r w:rsidRPr="005A7476">
        <w:rPr>
          <w:rFonts w:asciiTheme="majorHAnsi" w:hAnsiTheme="majorHAnsi"/>
          <w:b/>
          <w:bCs/>
          <w:u w:val="single"/>
        </w:rPr>
        <w:t xml:space="preserve"> </w:t>
      </w:r>
      <w:r w:rsidRPr="005A7476">
        <w:rPr>
          <w:rFonts w:asciiTheme="majorHAnsi" w:hAnsiTheme="majorHAnsi"/>
          <w:b/>
          <w:bCs/>
          <w:highlight w:val="green"/>
          <w:u w:val="single"/>
        </w:rPr>
        <w:t xml:space="preserve">proposal </w:t>
      </w:r>
      <w:r w:rsidRPr="005A7476">
        <w:rPr>
          <w:rFonts w:asciiTheme="majorHAnsi" w:hAnsiTheme="majorHAnsi"/>
          <w:b/>
          <w:bCs/>
          <w:u w:val="single"/>
        </w:rPr>
        <w:t xml:space="preserve">can be postulated: everyone should be able to use the creations of another without charge.  Can this Statement rise to the level of a CI?  This proposal, upon analysis </w:t>
      </w:r>
      <w:r w:rsidRPr="005A7476">
        <w:rPr>
          <w:rFonts w:asciiTheme="majorHAnsi" w:hAnsiTheme="majorHAnsi"/>
          <w:b/>
          <w:bCs/>
          <w:highlight w:val="green"/>
          <w:u w:val="single"/>
        </w:rPr>
        <w:t xml:space="preserve">would </w:t>
      </w:r>
      <w:r w:rsidRPr="005A7476">
        <w:rPr>
          <w:rFonts w:asciiTheme="majorHAnsi" w:hAnsiTheme="majorHAnsi"/>
          <w:b/>
          <w:bCs/>
          <w:u w:val="single"/>
        </w:rPr>
        <w:t xml:space="preserve">also </w:t>
      </w:r>
      <w:r w:rsidRPr="005A7476">
        <w:rPr>
          <w:rFonts w:asciiTheme="majorHAnsi" w:hAnsiTheme="majorHAnsi"/>
          <w:b/>
          <w:bCs/>
          <w:highlight w:val="green"/>
          <w:u w:val="single"/>
        </w:rPr>
        <w:t>lead to chaos.</w:t>
      </w:r>
      <w:r w:rsidRPr="005A7476">
        <w:rPr>
          <w:rFonts w:asciiTheme="majorHAnsi" w:hAnsiTheme="majorHAnsi"/>
          <w:b/>
          <w:bCs/>
          <w:u w:val="single"/>
        </w:rPr>
        <w:t xml:space="preserve">  Hollywood, for example, unable to protect their films, television shows or any content, would either be out of business or have robust encryption and other trade secret protections, which would seriously undermine content distribution and consumer enjoyment.</w:t>
      </w:r>
      <w:r w:rsidRPr="005A7476">
        <w:rPr>
          <w:rFonts w:asciiTheme="majorHAnsi" w:hAnsiTheme="majorHAnsi"/>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2F17E70A" w14:textId="77777777" w:rsidR="00103E1A" w:rsidRPr="005A7476" w:rsidRDefault="00103E1A" w:rsidP="00103E1A">
      <w:pPr>
        <w:pStyle w:val="Heading4"/>
        <w:rPr>
          <w:rFonts w:asciiTheme="majorHAnsi" w:hAnsiTheme="majorHAnsi"/>
        </w:rPr>
      </w:pPr>
      <w:r>
        <w:rPr>
          <w:rFonts w:asciiTheme="majorHAnsi" w:hAnsiTheme="majorHAnsi"/>
        </w:rPr>
        <w:t>3</w:t>
      </w:r>
      <w:r w:rsidRPr="005A7476">
        <w:rPr>
          <w:rFonts w:asciiTheme="majorHAnsi" w:hAnsiTheme="majorHAnsi"/>
        </w:rPr>
        <w:t>] No aff offense IP is considered a form of property under the fw</w:t>
      </w:r>
    </w:p>
    <w:p w14:paraId="43073FFA" w14:textId="77777777" w:rsidR="00103E1A" w:rsidRPr="005A7476" w:rsidRDefault="00103E1A" w:rsidP="00103E1A">
      <w:pPr>
        <w:rPr>
          <w:rFonts w:asciiTheme="majorHAnsi" w:hAnsiTheme="majorHAnsi"/>
          <w:b/>
          <w:sz w:val="26"/>
        </w:rPr>
      </w:pPr>
      <w:r w:rsidRPr="00EE4FBD">
        <w:rPr>
          <w:rStyle w:val="Style13ptBold"/>
          <w:rFonts w:asciiTheme="majorHAnsi" w:hAnsiTheme="majorHAnsi"/>
          <w:lang w:val="es-ES"/>
        </w:rPr>
        <w:t>Pozzo 06 (</w:t>
      </w:r>
      <w:r w:rsidRPr="00EE4FBD">
        <w:rPr>
          <w:rFonts w:asciiTheme="majorHAnsi" w:hAnsiTheme="majorHAnsi"/>
          <w:lang w:val="es-ES"/>
        </w:rPr>
        <w:t xml:space="preserve">POZZO, R. Immanuel Kant sobre propriedade intelectual. </w:t>
      </w:r>
      <w:r w:rsidRPr="005A7476">
        <w:rPr>
          <w:rFonts w:asciiTheme="majorHAnsi" w:hAnsiTheme="majorHAnsi"/>
        </w:rPr>
        <w:t>Trans/Form/Ação, (São Paulo), v.29(2), 2006, p.11-18.)</w:t>
      </w:r>
    </w:p>
    <w:p w14:paraId="082E2F64" w14:textId="77777777" w:rsidR="00103E1A" w:rsidRDefault="00103E1A" w:rsidP="00103E1A">
      <w:pPr>
        <w:rPr>
          <w:rFonts w:asciiTheme="majorHAnsi" w:hAnsiTheme="majorHAnsi"/>
          <w:sz w:val="14"/>
        </w:rPr>
      </w:pPr>
      <w:r w:rsidRPr="005A7476">
        <w:rPr>
          <w:rFonts w:asciiTheme="majorHAnsi" w:hAnsiTheme="majorHAnsi"/>
          <w:sz w:val="14"/>
        </w:rPr>
        <w:t xml:space="preserve">The peculiarity of </w:t>
      </w:r>
      <w:r w:rsidRPr="005A7476">
        <w:rPr>
          <w:rFonts w:asciiTheme="majorHAnsi" w:hAnsiTheme="majorHAnsi"/>
          <w:b/>
          <w:bCs/>
          <w:highlight w:val="green"/>
          <w:u w:val="single"/>
        </w:rPr>
        <w:t>intellectual property</w:t>
      </w:r>
      <w:r w:rsidRPr="005A7476">
        <w:rPr>
          <w:rFonts w:asciiTheme="majorHAnsi" w:hAnsiTheme="majorHAnsi"/>
          <w:sz w:val="14"/>
          <w:highlight w:val="green"/>
        </w:rPr>
        <w:t xml:space="preserve"> </w:t>
      </w:r>
      <w:r w:rsidRPr="005A7476">
        <w:rPr>
          <w:rFonts w:asciiTheme="majorHAnsi" w:hAnsiTheme="majorHAnsi"/>
          <w:sz w:val="14"/>
        </w:rPr>
        <w:t>cons</w:t>
      </w:r>
      <w:r w:rsidRPr="005A7476">
        <w:rPr>
          <w:rFonts w:asciiTheme="majorHAnsi" w:hAnsiTheme="majorHAnsi"/>
          <w:b/>
          <w:bCs/>
          <w:highlight w:val="green"/>
          <w:u w:val="single"/>
        </w:rPr>
        <w:t>is</w:t>
      </w:r>
      <w:r w:rsidRPr="005A7476">
        <w:rPr>
          <w:rFonts w:asciiTheme="majorHAnsi" w:hAnsiTheme="majorHAnsi"/>
          <w:sz w:val="14"/>
        </w:rPr>
        <w:t xml:space="preserve">ts thus first in being indeed a property, but </w:t>
      </w:r>
      <w:r w:rsidRPr="005A7476">
        <w:rPr>
          <w:rFonts w:asciiTheme="majorHAnsi" w:hAnsiTheme="majorHAnsi"/>
          <w:b/>
          <w:bCs/>
          <w:highlight w:val="green"/>
          <w:u w:val="single"/>
        </w:rPr>
        <w:t>property of an action</w:t>
      </w:r>
      <w:r w:rsidRPr="005A7476">
        <w:rPr>
          <w:rFonts w:asciiTheme="majorHAnsi" w:hAnsiTheme="majorHAnsi"/>
          <w:sz w:val="14"/>
        </w:rPr>
        <w:t xml:space="preserve">; and second in being indeed </w:t>
      </w:r>
      <w:r w:rsidRPr="005A7476">
        <w:rPr>
          <w:rFonts w:asciiTheme="majorHAnsi" w:hAnsiTheme="majorHAnsi"/>
          <w:b/>
          <w:bCs/>
          <w:highlight w:val="green"/>
          <w:u w:val="single"/>
        </w:rPr>
        <w:t>inalienable</w:t>
      </w:r>
      <w:r w:rsidRPr="005A7476">
        <w:rPr>
          <w:rFonts w:asciiTheme="majorHAnsi" w:hAnsiTheme="majorHAnsi"/>
          <w:sz w:val="14"/>
        </w:rPr>
        <w:t xml:space="preserve">, but also transferable in commission and license to a publisher. </w:t>
      </w:r>
      <w:r w:rsidRPr="005A7476">
        <w:rPr>
          <w:rFonts w:asciiTheme="majorHAnsi" w:hAnsiTheme="majorHAnsi"/>
          <w:b/>
          <w:bCs/>
          <w:highlight w:val="green"/>
          <w:u w:val="single"/>
        </w:rPr>
        <w:t>The bond</w:t>
      </w:r>
      <w:r w:rsidRPr="005A7476">
        <w:rPr>
          <w:rFonts w:asciiTheme="majorHAnsi" w:hAnsiTheme="majorHAnsi"/>
          <w:sz w:val="14"/>
          <w:highlight w:val="green"/>
        </w:rPr>
        <w:t xml:space="preserve"> </w:t>
      </w:r>
      <w:r w:rsidRPr="005A7476">
        <w:rPr>
          <w:rFonts w:asciiTheme="majorHAnsi" w:hAnsiTheme="majorHAnsi"/>
          <w:b/>
          <w:bCs/>
          <w:highlight w:val="green"/>
          <w:u w:val="single"/>
        </w:rPr>
        <w:t>the author has</w:t>
      </w:r>
      <w:r w:rsidRPr="005A7476">
        <w:rPr>
          <w:rFonts w:asciiTheme="majorHAnsi" w:hAnsiTheme="majorHAnsi"/>
          <w:sz w:val="14"/>
          <w:highlight w:val="green"/>
        </w:rPr>
        <w:t xml:space="preserve"> </w:t>
      </w:r>
      <w:r w:rsidRPr="005A7476">
        <w:rPr>
          <w:rFonts w:asciiTheme="majorHAnsi" w:hAnsiTheme="majorHAnsi"/>
          <w:b/>
          <w:bCs/>
          <w:highlight w:val="green"/>
          <w:u w:val="single"/>
        </w:rPr>
        <w:t>on</w:t>
      </w:r>
      <w:r w:rsidRPr="005A7476">
        <w:rPr>
          <w:rFonts w:asciiTheme="majorHAnsi" w:hAnsiTheme="majorHAnsi"/>
          <w:sz w:val="14"/>
        </w:rPr>
        <w:t xml:space="preserve"> his </w:t>
      </w:r>
      <w:r w:rsidRPr="005A7476">
        <w:rPr>
          <w:rFonts w:asciiTheme="majorHAnsi" w:hAnsiTheme="majorHAnsi"/>
          <w:b/>
          <w:bCs/>
          <w:highlight w:val="green"/>
          <w:u w:val="single"/>
        </w:rPr>
        <w:t>work confers</w:t>
      </w:r>
      <w:r w:rsidRPr="005A7476">
        <w:rPr>
          <w:rFonts w:asciiTheme="majorHAnsi" w:hAnsiTheme="majorHAnsi"/>
          <w:sz w:val="14"/>
          <w:highlight w:val="green"/>
        </w:rPr>
        <w:t xml:space="preserve"> </w:t>
      </w:r>
      <w:r w:rsidRPr="005A7476">
        <w:rPr>
          <w:rFonts w:asciiTheme="majorHAnsi" w:hAnsiTheme="majorHAnsi"/>
          <w:sz w:val="14"/>
        </w:rPr>
        <w:t xml:space="preserve">him </w:t>
      </w:r>
      <w:r w:rsidRPr="005A7476">
        <w:rPr>
          <w:rFonts w:asciiTheme="majorHAnsi" w:hAnsiTheme="majorHAnsi"/>
          <w:b/>
          <w:bCs/>
          <w:highlight w:val="green"/>
          <w:u w:val="single"/>
        </w:rPr>
        <w:t>a moral</w:t>
      </w:r>
      <w:r w:rsidRPr="005A7476">
        <w:rPr>
          <w:rFonts w:asciiTheme="majorHAnsi" w:hAnsiTheme="majorHAnsi"/>
          <w:sz w:val="14"/>
          <w:highlight w:val="green"/>
        </w:rPr>
        <w:t xml:space="preserve"> </w:t>
      </w:r>
      <w:r w:rsidRPr="005A7476">
        <w:rPr>
          <w:rFonts w:asciiTheme="majorHAnsi" w:hAnsiTheme="majorHAnsi"/>
          <w:sz w:val="14"/>
        </w:rPr>
        <w:t xml:space="preserve">right that is indeed a </w:t>
      </w:r>
      <w:r w:rsidRPr="005A7476">
        <w:rPr>
          <w:rFonts w:asciiTheme="majorHAnsi" w:hAnsiTheme="majorHAnsi"/>
          <w:b/>
          <w:bCs/>
          <w:highlight w:val="green"/>
          <w:u w:val="single"/>
        </w:rPr>
        <w:t>personal right</w:t>
      </w:r>
      <w:r w:rsidRPr="005A7476">
        <w:rPr>
          <w:rFonts w:asciiTheme="majorHAnsi" w:hAnsiTheme="majorHAnsi"/>
          <w:sz w:val="14"/>
        </w:rPr>
        <w:t xml:space="preserve">. It is also a right to exploit economically his work in all possible ways, a right of economic use, which is a patrimonial right. Kant and Fichte argued that moral right and the right of economic use are strictly connected, and that the offense to one implies inevitably offense to the other. In eighteenth-century Germany, the free use came into discussion among the presuppositions of a democratic renewal of state and society. In his Supplement to the Consideration of Publishing and Its Rights, Reimarus asked writers “instead of writing for the aristocracy, to write for the tiers état of the reader’s world.” (Reimarus, 1791b, p.595). He saluted with enthusiasm the claim of disenfranchising from the monopoly of English publishers expressed in the American Act for the Encouragement of Learning of May 31, 1790. </w:t>
      </w:r>
      <w:r w:rsidRPr="005A7476">
        <w:rPr>
          <w:rFonts w:asciiTheme="majorHAnsi" w:hAnsiTheme="majorHAnsi"/>
          <w:b/>
          <w:bCs/>
          <w:highlight w:val="green"/>
          <w:u w:val="single"/>
        </w:rPr>
        <w:t>Kant</w:t>
      </w:r>
      <w:r w:rsidRPr="005A7476">
        <w:rPr>
          <w:rFonts w:asciiTheme="majorHAnsi" w:hAnsiTheme="majorHAnsi"/>
          <w:sz w:val="14"/>
        </w:rPr>
        <w:t xml:space="preserve">, however, </w:t>
      </w:r>
      <w:r w:rsidRPr="005A7476">
        <w:rPr>
          <w:rFonts w:asciiTheme="majorHAnsi" w:hAnsiTheme="majorHAnsi"/>
          <w:b/>
          <w:bCs/>
          <w:highlight w:val="green"/>
          <w:u w:val="single"/>
        </w:rPr>
        <w:t>was firm in embracing intellectual property</w:t>
      </w:r>
      <w:r w:rsidRPr="005A7476">
        <w:rPr>
          <w:rFonts w:asciiTheme="majorHAnsi" w:hAnsiTheme="majorHAnsi"/>
          <w:sz w:val="14"/>
        </w:rPr>
        <w:t xml:space="preserve">. Referring himself to Roman Law, he asked for its legislative formulation not only as patrimonial right, but also as a personal right. In Of the Illegitimity of Pirate Publishing, he considered the moral faculties related to </w:t>
      </w:r>
      <w:r w:rsidRPr="005A7476">
        <w:rPr>
          <w:rFonts w:asciiTheme="majorHAnsi" w:hAnsiTheme="majorHAnsi"/>
          <w:b/>
          <w:bCs/>
          <w:highlight w:val="green"/>
          <w:u w:val="single"/>
        </w:rPr>
        <w:t xml:space="preserve">intellectual property as </w:t>
      </w:r>
      <w:r w:rsidRPr="005A7476">
        <w:rPr>
          <w:rFonts w:asciiTheme="majorHAnsi" w:hAnsiTheme="majorHAnsi"/>
          <w:sz w:val="14"/>
        </w:rPr>
        <w:t>an “</w:t>
      </w:r>
      <w:r w:rsidRPr="005A7476">
        <w:rPr>
          <w:rFonts w:asciiTheme="majorHAnsi" w:hAnsiTheme="majorHAnsi"/>
          <w:b/>
          <w:bCs/>
          <w:highlight w:val="green"/>
          <w:u w:val="single"/>
        </w:rPr>
        <w:t xml:space="preserve">inalienable right </w:t>
      </w:r>
      <w:r w:rsidRPr="005A7476">
        <w:rPr>
          <w:rFonts w:asciiTheme="majorHAnsi" w:hAnsiTheme="majorHAnsi"/>
          <w:sz w:val="14"/>
        </w:rPr>
        <w:t xml:space="preserve">(ius personalissimum) always himself to speak through anyone else, the right, that is, that </w:t>
      </w:r>
      <w:r w:rsidRPr="005A7476">
        <w:rPr>
          <w:rFonts w:asciiTheme="majorHAnsi" w:hAnsiTheme="majorHAnsi"/>
          <w:b/>
          <w:bCs/>
          <w:highlight w:val="green"/>
          <w:u w:val="single"/>
        </w:rPr>
        <w:t xml:space="preserve">no one may deliver the same speech to the public other than in his </w:t>
      </w:r>
      <w:r w:rsidRPr="005A7476">
        <w:rPr>
          <w:rFonts w:asciiTheme="majorHAnsi" w:hAnsiTheme="majorHAnsi"/>
          <w:sz w:val="14"/>
        </w:rPr>
        <w:t xml:space="preserve">(the author’s) </w:t>
      </w:r>
      <w:r w:rsidRPr="005A7476">
        <w:rPr>
          <w:rFonts w:asciiTheme="majorHAnsi" w:hAnsiTheme="majorHAnsi"/>
          <w:b/>
          <w:bCs/>
          <w:highlight w:val="green"/>
          <w:u w:val="single"/>
        </w:rPr>
        <w:t>name</w:t>
      </w:r>
      <w:r w:rsidRPr="005A7476">
        <w:rPr>
          <w:rFonts w:asciiTheme="majorHAnsi" w:hAnsiTheme="majorHAnsi"/>
          <w:sz w:val="14"/>
        </w:rPr>
        <w:t xml:space="preserve">” (Kant, 1902, t.8, p.85). Fichte went farther in the Demonstration of the Illegitimity of Pirate Publishing. He saw </w:t>
      </w:r>
      <w:r w:rsidRPr="005A7476">
        <w:rPr>
          <w:rFonts w:asciiTheme="majorHAnsi" w:hAnsiTheme="majorHAnsi"/>
          <w:b/>
          <w:bCs/>
          <w:highlight w:val="green"/>
          <w:u w:val="single"/>
        </w:rPr>
        <w:t>intellectual property</w:t>
      </w:r>
      <w:r w:rsidRPr="005A7476">
        <w:rPr>
          <w:rFonts w:asciiTheme="majorHAnsi" w:hAnsiTheme="majorHAnsi"/>
          <w:sz w:val="14"/>
        </w:rPr>
        <w:t xml:space="preserve"> as a </w:t>
      </w:r>
      <w:r w:rsidRPr="005A7476">
        <w:rPr>
          <w:rFonts w:asciiTheme="majorHAnsi" w:hAnsiTheme="majorHAnsi"/>
          <w:b/>
          <w:bCs/>
          <w:highlight w:val="green"/>
          <w:u w:val="single"/>
        </w:rPr>
        <w:t>part of</w:t>
      </w:r>
      <w:r w:rsidRPr="005A7476">
        <w:rPr>
          <w:rFonts w:asciiTheme="majorHAnsi" w:hAnsiTheme="majorHAnsi"/>
          <w:sz w:val="14"/>
          <w:highlight w:val="green"/>
        </w:rPr>
        <w:t xml:space="preserve"> </w:t>
      </w:r>
      <w:r w:rsidRPr="005A7476">
        <w:rPr>
          <w:rFonts w:asciiTheme="majorHAnsi" w:hAnsiTheme="majorHAnsi"/>
          <w:sz w:val="14"/>
        </w:rPr>
        <w:t xml:space="preserve">his </w:t>
      </w:r>
      <w:r w:rsidRPr="005A7476">
        <w:rPr>
          <w:rFonts w:asciiTheme="majorHAnsi" w:hAnsiTheme="majorHAnsi"/>
          <w:b/>
          <w:bCs/>
          <w:highlight w:val="green"/>
          <w:u w:val="single"/>
        </w:rPr>
        <w:t>metaphysical construction of intellectual activity</w:t>
      </w:r>
      <w:r w:rsidRPr="005A7476">
        <w:rPr>
          <w:rFonts w:asciiTheme="majorHAnsi" w:hAnsiTheme="majorHAnsi"/>
          <w:sz w:val="14"/>
        </w:rPr>
        <w:t>, which was based on the principle that thoughts “are not transmitted hand to hand, they are not paid with shining cash, neither are they transmitted to us if we take home the book that contains them and put it into our library. In order to make those thoughts our own an action is still missing: we must read the book, meditate – provided it is not completely trivial – on its content, consider it under different aspects and eventually accept it within our connections of ideas” (Fichte, 1964, t.I/1,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and/or an aesthetic experience. In particular, Fichte declared the absolute primacy of the moral faculties within the corpus mysticum. He divided the latter into a formal and a material part. “</w:t>
      </w:r>
      <w:r w:rsidRPr="005A7476">
        <w:rPr>
          <w:rFonts w:asciiTheme="majorHAnsi" w:hAnsiTheme="majorHAnsi"/>
          <w:b/>
          <w:bCs/>
          <w:highlight w:val="green"/>
          <w:u w:val="single"/>
        </w:rPr>
        <w:t>This intellectual element</w:t>
      </w:r>
      <w:r w:rsidRPr="005A7476">
        <w:rPr>
          <w:rFonts w:asciiTheme="majorHAnsi" w:hAnsiTheme="majorHAnsi"/>
          <w:sz w:val="14"/>
          <w:highlight w:val="green"/>
        </w:rPr>
        <w:t xml:space="preserve"> </w:t>
      </w:r>
      <w:r w:rsidRPr="005A7476">
        <w:rPr>
          <w:rFonts w:asciiTheme="majorHAnsi" w:hAnsiTheme="majorHAnsi"/>
          <w:sz w:val="14"/>
        </w:rPr>
        <w:t xml:space="preserve">must be divided anew into what is material, the content of the book, the thoughts it presents; and the form of these thoughts, the manner in which, the connection </w:t>
      </w:r>
      <w:r w:rsidRPr="005A7476">
        <w:rPr>
          <w:rFonts w:asciiTheme="majorHAnsi" w:hAnsiTheme="majorHAnsi"/>
          <w:b/>
          <w:bCs/>
          <w:highlight w:val="green"/>
          <w:u w:val="single"/>
        </w:rPr>
        <w:t>in which</w:t>
      </w:r>
      <w:r w:rsidRPr="005A7476">
        <w:rPr>
          <w:rFonts w:asciiTheme="majorHAnsi" w:hAnsiTheme="majorHAnsi"/>
          <w:sz w:val="14"/>
        </w:rPr>
        <w:t xml:space="preserve">, the formulations and the words by means of which the book presents them” (Fichte, 1964, t.I/1, p.411). Fichte’s underlining the </w:t>
      </w:r>
      <w:r w:rsidRPr="005A7476">
        <w:rPr>
          <w:rFonts w:asciiTheme="majorHAnsi" w:hAnsiTheme="majorHAnsi"/>
          <w:b/>
          <w:bCs/>
          <w:highlight w:val="green"/>
          <w:u w:val="single"/>
        </w:rPr>
        <w:t>author’s exclusive right</w:t>
      </w:r>
      <w:r w:rsidRPr="005A7476">
        <w:rPr>
          <w:rFonts w:asciiTheme="majorHAnsi" w:hAnsiTheme="majorHAnsi"/>
          <w:sz w:val="14"/>
          <w:highlight w:val="green"/>
        </w:rPr>
        <w:t xml:space="preserve"> </w:t>
      </w:r>
      <w:r w:rsidRPr="005A7476">
        <w:rPr>
          <w:rFonts w:asciiTheme="majorHAnsi" w:hAnsiTheme="majorHAnsi"/>
          <w:sz w:val="14"/>
        </w:rPr>
        <w:t xml:space="preserve">to the intellectual content of his book – “the appropriation of which </w:t>
      </w:r>
      <w:r w:rsidRPr="005A7476">
        <w:rPr>
          <w:rFonts w:asciiTheme="majorHAnsi" w:hAnsiTheme="majorHAnsi"/>
          <w:b/>
          <w:bCs/>
          <w:highlight w:val="green"/>
          <w:u w:val="single"/>
        </w:rPr>
        <w:t>through another is physically impossible</w:t>
      </w:r>
      <w:r w:rsidRPr="005A7476">
        <w:rPr>
          <w:rFonts w:asciiTheme="majorHAnsi" w:hAnsiTheme="majorHAnsi"/>
          <w:sz w:val="14"/>
        </w:rPr>
        <w:t>” (ibid.) – brought him to the extreme of prohibiting any form of copy that is not meant for personal use.</w:t>
      </w:r>
    </w:p>
    <w:p w14:paraId="6EDCD36F" w14:textId="77777777" w:rsidR="00103E1A" w:rsidRPr="00475F3B" w:rsidRDefault="00103E1A" w:rsidP="00103E1A">
      <w:pPr>
        <w:pStyle w:val="Heading4"/>
        <w:numPr>
          <w:ilvl w:val="0"/>
          <w:numId w:val="12"/>
        </w:numPr>
        <w:tabs>
          <w:tab w:val="num" w:pos="360"/>
        </w:tabs>
        <w:ind w:left="360"/>
        <w:rPr>
          <w:rFonts w:cs="Calibri"/>
        </w:rPr>
      </w:pPr>
      <w:r w:rsidRPr="00475F3B">
        <w:rPr>
          <w:rFonts w:cs="Calibri"/>
        </w:rPr>
        <w:t>Kant justifies a fundamental right to property</w:t>
      </w:r>
      <w:r>
        <w:rPr>
          <w:rFonts w:cs="Calibri"/>
        </w:rPr>
        <w:t xml:space="preserve"> </w:t>
      </w:r>
    </w:p>
    <w:p w14:paraId="28A84DCD" w14:textId="6D4C48E3" w:rsidR="00103E1A" w:rsidRPr="00475F3B" w:rsidRDefault="00103E1A" w:rsidP="00103E1A">
      <w:pPr>
        <w:rPr>
          <w:bCs/>
          <w:sz w:val="26"/>
        </w:rPr>
      </w:pPr>
      <w:r w:rsidRPr="00475F3B">
        <w:rPr>
          <w:rStyle w:val="Style13ptBold"/>
        </w:rPr>
        <w:t>Merges 11</w:t>
      </w:r>
      <w:r w:rsidRPr="00475F3B">
        <w:rPr>
          <w:rStyle w:val="Style13ptBold"/>
          <w:b w:val="0"/>
          <w:bCs/>
        </w:rPr>
        <w:t xml:space="preserve"> </w:t>
      </w:r>
      <w:r w:rsidRPr="00475F3B">
        <w:rPr>
          <w:rStyle w:val="Style13ptBold"/>
          <w:b w:val="0"/>
          <w:bCs/>
          <w:sz w:val="16"/>
          <w:szCs w:val="16"/>
        </w:rPr>
        <w:t xml:space="preserve">[(Robert, </w:t>
      </w:r>
      <w:r w:rsidRPr="00475F3B">
        <w:rPr>
          <w:bCs/>
          <w:szCs w:val="16"/>
        </w:rPr>
        <w:t>Wilson Sonsini Goodrich &amp; Rosati Professor of Law and Technology, University of California, Berkeley, School of Law</w:t>
      </w:r>
      <w:r w:rsidRPr="00475F3B">
        <w:rPr>
          <w:rStyle w:val="Style13ptBold"/>
          <w:b w:val="0"/>
          <w:bCs/>
          <w:sz w:val="16"/>
          <w:szCs w:val="16"/>
        </w:rPr>
        <w:t>) “Justifying Intellectual Property,” Harvard University Press, 2011] JL</w:t>
      </w:r>
      <w:r>
        <w:rPr>
          <w:rStyle w:val="Style13ptBold"/>
          <w:b w:val="0"/>
          <w:bCs/>
          <w:sz w:val="16"/>
          <w:szCs w:val="16"/>
        </w:rPr>
        <w:t xml:space="preserve"> recut OL</w:t>
      </w:r>
    </w:p>
    <w:p w14:paraId="5BBD6A58" w14:textId="77777777" w:rsidR="00103E1A" w:rsidRPr="00475F3B" w:rsidRDefault="00103E1A" w:rsidP="00103E1A">
      <w:pPr>
        <w:rPr>
          <w:sz w:val="12"/>
        </w:rPr>
      </w:pPr>
      <w:r w:rsidRPr="00475F3B">
        <w:rPr>
          <w:sz w:val="12"/>
        </w:rPr>
        <w:t xml:space="preserve">Kant believed that </w:t>
      </w:r>
      <w:r w:rsidRPr="00475F3B">
        <w:rPr>
          <w:rStyle w:val="StyleUnderline"/>
        </w:rPr>
        <w:t xml:space="preserve">any object onto which a person projects his or her will may come to be owned. </w:t>
      </w:r>
      <w:r w:rsidRPr="00475F3B">
        <w:rPr>
          <w:rStyle w:val="Emphasis"/>
          <w:highlight w:val="green"/>
        </w:rPr>
        <w:t>Kant</w:t>
      </w:r>
      <w:r w:rsidRPr="00475F3B">
        <w:rPr>
          <w:rStyle w:val="Emphasis"/>
        </w:rPr>
        <w:t xml:space="preserve"> seemed to </w:t>
      </w:r>
      <w:r w:rsidRPr="00475F3B">
        <w:rPr>
          <w:rStyle w:val="Emphasis"/>
          <w:highlight w:val="green"/>
        </w:rPr>
        <w:t xml:space="preserve">consider ownership as a </w:t>
      </w:r>
      <w:r w:rsidRPr="00EE4FBD">
        <w:rPr>
          <w:rStyle w:val="Emphasis"/>
        </w:rPr>
        <w:t xml:space="preserve">primitive </w:t>
      </w:r>
      <w:r w:rsidRPr="00475F3B">
        <w:rPr>
          <w:rStyle w:val="Emphasis"/>
          <w:highlight w:val="green"/>
        </w:rPr>
        <w:t xml:space="preserve">concept whose roots run very deep in </w:t>
      </w:r>
      <w:r w:rsidRPr="00475F3B">
        <w:rPr>
          <w:rStyle w:val="Emphasis"/>
        </w:rPr>
        <w:t xml:space="preserve">human </w:t>
      </w:r>
      <w:r w:rsidRPr="00475F3B">
        <w:rPr>
          <w:rStyle w:val="Emphasis"/>
          <w:highlight w:val="green"/>
        </w:rPr>
        <w:t>consciousness</w:t>
      </w:r>
      <w:r w:rsidRPr="00475F3B">
        <w:rPr>
          <w:sz w:val="12"/>
        </w:rPr>
        <w:t xml:space="preserve">. This is evident from the language he uses. </w:t>
      </w:r>
      <w:r w:rsidRPr="00475F3B">
        <w:rPr>
          <w:rStyle w:val="StyleUnderline"/>
        </w:rPr>
        <w:t>The origin of property, he says, is in a deep and abiding sense of “Mine and Yours</w:t>
      </w:r>
      <w:r w:rsidRPr="00475F3B">
        <w:rPr>
          <w:sz w:val="12"/>
        </w:rPr>
        <w:t>.” “That is rightfully mine,” he writes, “if I am so bound to it that anyone who uses it without my consent would thereby injure me.”15</w:t>
      </w:r>
    </w:p>
    <w:p w14:paraId="0CA586A4" w14:textId="77777777" w:rsidR="00103E1A" w:rsidRPr="00475F3B" w:rsidRDefault="00103E1A" w:rsidP="00103E1A">
      <w:pPr>
        <w:rPr>
          <w:sz w:val="12"/>
        </w:rPr>
      </w:pPr>
      <w:r w:rsidRPr="00475F3B">
        <w:rPr>
          <w:sz w:val="12"/>
        </w:rPr>
        <w:t xml:space="preserve">But what is the point of this? </w:t>
      </w:r>
      <w:r w:rsidRPr="00475F3B">
        <w:rPr>
          <w:rStyle w:val="StyleUnderline"/>
        </w:rPr>
        <w:t xml:space="preserve">Why do </w:t>
      </w:r>
      <w:r w:rsidRPr="00EE4FBD">
        <w:rPr>
          <w:rStyle w:val="Emphasis"/>
          <w:highlight w:val="green"/>
        </w:rPr>
        <w:t>people want to be bound to things</w:t>
      </w:r>
      <w:r w:rsidRPr="00475F3B">
        <w:rPr>
          <w:rStyle w:val="StyleUnderline"/>
        </w:rPr>
        <w:t>?</w:t>
      </w:r>
      <w:r w:rsidRPr="00475F3B">
        <w:rPr>
          <w:sz w:val="12"/>
        </w:rPr>
        <w:t xml:space="preserve"> In essence, Kant says</w:t>
      </w:r>
      <w:r w:rsidRPr="00475F3B">
        <w:rPr>
          <w:sz w:val="12"/>
          <w:szCs w:val="12"/>
        </w:rPr>
        <w:t xml:space="preserve">, </w:t>
      </w:r>
      <w:r w:rsidRPr="00EE4FBD">
        <w:rPr>
          <w:rStyle w:val="Emphasis"/>
          <w:highlight w:val="green"/>
        </w:rPr>
        <w:t>to expand their</w:t>
      </w:r>
      <w:r w:rsidRPr="00475F3B">
        <w:rPr>
          <w:rStyle w:val="StyleUnderline"/>
        </w:rPr>
        <w:t xml:space="preserve"> range of </w:t>
      </w:r>
      <w:r w:rsidRPr="00EE4FBD">
        <w:rPr>
          <w:rStyle w:val="Emphasis"/>
          <w:highlight w:val="green"/>
        </w:rPr>
        <w:t>freedom</w:t>
      </w:r>
      <w:r w:rsidRPr="00475F3B">
        <w:rPr>
          <w:rStyle w:val="StyleUnderline"/>
        </w:rPr>
        <w:t>— their autonomy</w:t>
      </w:r>
      <w:r w:rsidRPr="00475F3B">
        <w:rPr>
          <w:sz w:val="12"/>
        </w:rPr>
        <w:t xml:space="preserve">.16 </w:t>
      </w:r>
      <w:r w:rsidRPr="00475F3B">
        <w:rPr>
          <w:rStyle w:val="StyleUnderline"/>
        </w:rPr>
        <w:t>People have a desire to carry out projects in the world.</w:t>
      </w:r>
      <w:r w:rsidRPr="00475F3B">
        <w:rPr>
          <w:sz w:val="12"/>
        </w:rPr>
        <w:t xml:space="preserve"> Sometimes, </w:t>
      </w:r>
      <w:r w:rsidRPr="00475F3B">
        <w:rPr>
          <w:rStyle w:val="StyleUnderline"/>
        </w:rPr>
        <w:t>those projects require access to and control over external objects</w:t>
      </w:r>
      <w:r w:rsidRPr="00475F3B">
        <w:rPr>
          <w:sz w:val="12"/>
        </w:rPr>
        <w:t xml:space="preserve">. The genesis of property is the desire of an individual to carry out personal projects in the world, for which various objects are necessary. For Kant, </w:t>
      </w:r>
      <w:r w:rsidRPr="00475F3B">
        <w:rPr>
          <w:rStyle w:val="StyleUnderline"/>
          <w:highlight w:val="green"/>
        </w:rPr>
        <w:t xml:space="preserve">this desire </w:t>
      </w:r>
      <w:r w:rsidRPr="00475F3B">
        <w:rPr>
          <w:rStyle w:val="Emphasis"/>
          <w:highlight w:val="green"/>
        </w:rPr>
        <w:t>must be given its broadest scope</w:t>
      </w:r>
      <w:r w:rsidRPr="00475F3B">
        <w:rPr>
          <w:rStyle w:val="StyleUnderline"/>
          <w:highlight w:val="green"/>
        </w:rPr>
        <w:t>, to promote</w:t>
      </w:r>
      <w:r w:rsidRPr="00475F3B">
        <w:rPr>
          <w:rStyle w:val="StyleUnderline"/>
        </w:rPr>
        <w:t xml:space="preserve"> the widest range of </w:t>
      </w:r>
      <w:r w:rsidRPr="00475F3B">
        <w:rPr>
          <w:rStyle w:val="StyleUnderline"/>
          <w:highlight w:val="green"/>
        </w:rPr>
        <w:t>human choice, and</w:t>
      </w:r>
      <w:r w:rsidRPr="00475F3B">
        <w:rPr>
          <w:rStyle w:val="StyleUnderline"/>
        </w:rPr>
        <w:t xml:space="preserve"> therefore human </w:t>
      </w:r>
      <w:r w:rsidRPr="00475F3B">
        <w:rPr>
          <w:rStyle w:val="StyleUnderline"/>
          <w:highlight w:val="green"/>
        </w:rPr>
        <w:t>projects</w:t>
      </w:r>
      <w:r w:rsidRPr="00475F3B">
        <w:rPr>
          <w:rStyle w:val="StyleUnderline"/>
        </w:rPr>
        <w:t xml:space="preserve">. Kant accordingly refuses to accept </w:t>
      </w:r>
      <w:r w:rsidRPr="00475F3B">
        <w:rPr>
          <w:rStyle w:val="Emphasis"/>
          <w:highlight w:val="green"/>
        </w:rPr>
        <w:t>any binding legal rule that makes</w:t>
      </w:r>
      <w:r w:rsidRPr="00475F3B">
        <w:rPr>
          <w:rStyle w:val="Emphasis"/>
        </w:rPr>
        <w:t xml:space="preserve"> some </w:t>
      </w:r>
      <w:r w:rsidRPr="00475F3B">
        <w:rPr>
          <w:rStyle w:val="Emphasis"/>
          <w:highlight w:val="green"/>
        </w:rPr>
        <w:t>objects</w:t>
      </w:r>
      <w:r w:rsidRPr="00475F3B">
        <w:rPr>
          <w:rStyle w:val="Emphasis"/>
        </w:rPr>
        <w:t xml:space="preserve"> strictly </w:t>
      </w:r>
      <w:r w:rsidRPr="00475F3B">
        <w:rPr>
          <w:rStyle w:val="Emphasis"/>
          <w:highlight w:val="green"/>
        </w:rPr>
        <w:t>unownable</w:t>
      </w:r>
      <w:r w:rsidRPr="00475F3B">
        <w:rPr>
          <w:rStyle w:val="StyleUnderline"/>
        </w:rPr>
        <w:t xml:space="preserve">, because </w:t>
      </w:r>
      <w:r w:rsidRPr="00475F3B">
        <w:rPr>
          <w:rStyle w:val="StyleUnderline"/>
          <w:highlight w:val="green"/>
        </w:rPr>
        <w:t>the rationale</w:t>
      </w:r>
      <w:r w:rsidRPr="00475F3B">
        <w:rPr>
          <w:rStyle w:val="StyleUnderline"/>
        </w:rPr>
        <w:t xml:space="preserve"> for such a rule </w:t>
      </w:r>
      <w:r w:rsidRPr="00475F3B">
        <w:rPr>
          <w:rStyle w:val="Emphasis"/>
          <w:highlight w:val="green"/>
        </w:rPr>
        <w:t>would conflict with</w:t>
      </w:r>
      <w:r w:rsidRPr="00475F3B">
        <w:rPr>
          <w:rStyle w:val="Emphasis"/>
        </w:rPr>
        <w:t xml:space="preserve"> </w:t>
      </w:r>
      <w:r w:rsidRPr="00475F3B">
        <w:rPr>
          <w:rStyle w:val="Emphasis"/>
          <w:highlight w:val="green"/>
        </w:rPr>
        <w:t>the basic need for maximal freedom of action</w:t>
      </w:r>
      <w:r w:rsidRPr="00475F3B">
        <w:rPr>
          <w:sz w:val="12"/>
        </w:rPr>
        <w:t xml:space="preserve">. </w:t>
      </w:r>
      <w:r w:rsidRPr="00475F3B">
        <w:rPr>
          <w:rStyle w:val="StyleUnderline"/>
        </w:rPr>
        <w:t>Freedom to appropriate is so basic, so tied to matters of individual will and personal choice, that Kant finds it unthinkable to rule out large categories of things from the domain of the potentially ownable</w:t>
      </w:r>
      <w:r w:rsidRPr="00475F3B">
        <w:rPr>
          <w:sz w:val="12"/>
        </w:rPr>
        <w:t xml:space="preserve">. As Kant scholar Paul Guyer says, for Kant, “The fundamental principle of morality dictates the protection of the external use of freedom or freedom of action, as a necessary expression of freedom of choice and thus as part of autonomy as a whole. . . .”17 This captures it in a nutshell: </w:t>
      </w:r>
      <w:r w:rsidRPr="00475F3B">
        <w:rPr>
          <w:rStyle w:val="StyleUnderline"/>
        </w:rPr>
        <w:t xml:space="preserve">freedom of action, including the right to possess, as </w:t>
      </w:r>
      <w:r w:rsidRPr="00475F3B">
        <w:rPr>
          <w:rStyle w:val="StyleUnderline"/>
          <w:highlight w:val="green"/>
        </w:rPr>
        <w:t>a necessary expression of</w:t>
      </w:r>
      <w:r w:rsidRPr="00475F3B">
        <w:rPr>
          <w:rStyle w:val="StyleUnderline"/>
        </w:rPr>
        <w:t xml:space="preserve"> freedom of choice, or </w:t>
      </w:r>
      <w:r w:rsidRPr="00475F3B">
        <w:rPr>
          <w:rStyle w:val="StyleUnderline"/>
          <w:highlight w:val="green"/>
        </w:rPr>
        <w:t>autonomy</w:t>
      </w:r>
      <w:r w:rsidRPr="00475F3B">
        <w:rPr>
          <w:sz w:val="12"/>
        </w:rPr>
        <w:t>.</w:t>
      </w:r>
    </w:p>
    <w:p w14:paraId="452AFECB" w14:textId="77777777" w:rsidR="00103E1A" w:rsidRPr="00475F3B" w:rsidRDefault="00103E1A" w:rsidP="00103E1A">
      <w:pPr>
        <w:pStyle w:val="Heading4"/>
        <w:rPr>
          <w:rFonts w:cs="Calibri"/>
        </w:rPr>
      </w:pPr>
      <w:r w:rsidRPr="00475F3B">
        <w:rPr>
          <w:rFonts w:cs="Calibri"/>
        </w:rPr>
        <w:t>IP is property</w:t>
      </w:r>
    </w:p>
    <w:p w14:paraId="1D7D9AF3" w14:textId="36546BB7" w:rsidR="00103E1A" w:rsidRPr="00475F3B" w:rsidRDefault="00103E1A" w:rsidP="00103E1A">
      <w:pPr>
        <w:rPr>
          <w:bCs/>
          <w:sz w:val="26"/>
        </w:rPr>
      </w:pPr>
      <w:r w:rsidRPr="00475F3B">
        <w:rPr>
          <w:rStyle w:val="Style13ptBold"/>
        </w:rPr>
        <w:t xml:space="preserve">Schultz 14 </w:t>
      </w:r>
      <w:r w:rsidRPr="00475F3B">
        <w:rPr>
          <w:rStyle w:val="Style13ptBold"/>
          <w:b w:val="0"/>
          <w:bCs/>
          <w:sz w:val="16"/>
          <w:szCs w:val="16"/>
        </w:rPr>
        <w:t xml:space="preserve">[(Mark, </w:t>
      </w:r>
      <w:r w:rsidRPr="00475F3B">
        <w:rPr>
          <w:bCs/>
          <w:szCs w:val="16"/>
        </w:rPr>
        <w:t>Chair in Intellectual Property Law and the Director of the Intellectual Property and Technology Law Program at the University of Akron School of Law and co-founder and a leader of the Center for Intellectual Property x Innovation Policy at George Mason University</w:t>
      </w:r>
      <w:r w:rsidRPr="00475F3B">
        <w:rPr>
          <w:rStyle w:val="Style13ptBold"/>
          <w:b w:val="0"/>
          <w:bCs/>
          <w:sz w:val="16"/>
          <w:szCs w:val="16"/>
        </w:rPr>
        <w:t>) “</w:t>
      </w:r>
      <w:r w:rsidRPr="00475F3B">
        <w:rPr>
          <w:szCs w:val="16"/>
        </w:rPr>
        <w:t>A free market perspective on intellectual property rights,” American Enterprise Institute, 2/23/2014] JL</w:t>
      </w:r>
      <w:r>
        <w:rPr>
          <w:szCs w:val="16"/>
        </w:rPr>
        <w:t xml:space="preserve"> recut OL</w:t>
      </w:r>
      <w:bookmarkStart w:id="0" w:name="_GoBack"/>
      <w:bookmarkEnd w:id="0"/>
    </w:p>
    <w:p w14:paraId="76AE10A6" w14:textId="77777777" w:rsidR="00103E1A" w:rsidRPr="00475F3B" w:rsidRDefault="00103E1A" w:rsidP="00103E1A">
      <w:pPr>
        <w:rPr>
          <w:sz w:val="12"/>
        </w:rPr>
      </w:pPr>
      <w:r w:rsidRPr="00475F3B">
        <w:rPr>
          <w:b/>
          <w:bCs/>
          <w:sz w:val="12"/>
        </w:rPr>
        <w:br/>
      </w:r>
      <w:r w:rsidRPr="00475F3B">
        <w:rPr>
          <w:sz w:val="12"/>
        </w:rPr>
        <w:t>Point 1.</w:t>
      </w:r>
      <w:r w:rsidRPr="00475F3B">
        <w:rPr>
          <w:b/>
          <w:bCs/>
          <w:sz w:val="12"/>
        </w:rPr>
        <w:t xml:space="preserve"> </w:t>
      </w:r>
      <w:r w:rsidRPr="00475F3B">
        <w:rPr>
          <w:rStyle w:val="StyleUnderline"/>
        </w:rPr>
        <w:t>Intellectual property secures the same values as physical property</w:t>
      </w:r>
    </w:p>
    <w:p w14:paraId="0EC1AF3D" w14:textId="77777777" w:rsidR="00103E1A" w:rsidRPr="00475F3B" w:rsidRDefault="00103E1A" w:rsidP="00103E1A">
      <w:pPr>
        <w:rPr>
          <w:sz w:val="12"/>
        </w:rPr>
      </w:pPr>
      <w:r w:rsidRPr="00475F3B">
        <w:rPr>
          <w:sz w:val="12"/>
        </w:rPr>
        <w:t xml:space="preserve">As an institution, </w:t>
      </w:r>
      <w:r w:rsidRPr="00475F3B">
        <w:rPr>
          <w:rStyle w:val="StyleUnderline"/>
          <w:highlight w:val="green"/>
        </w:rPr>
        <w:t>property secures rights in what we create through our work</w:t>
      </w:r>
      <w:r w:rsidRPr="00475F3B">
        <w:rPr>
          <w:sz w:val="12"/>
        </w:rPr>
        <w:t xml:space="preserve">. In this regard, </w:t>
      </w:r>
      <w:r w:rsidRPr="00475F3B">
        <w:rPr>
          <w:rStyle w:val="Emphasis"/>
          <w:highlight w:val="green"/>
        </w:rPr>
        <w:t>there’s no cause</w:t>
      </w:r>
      <w:r w:rsidRPr="00475F3B">
        <w:rPr>
          <w:rStyle w:val="Emphasis"/>
        </w:rPr>
        <w:t xml:space="preserve"> or need </w:t>
      </w:r>
      <w:r w:rsidRPr="00475F3B">
        <w:rPr>
          <w:rStyle w:val="Emphasis"/>
          <w:highlight w:val="green"/>
        </w:rPr>
        <w:t>to distinguish i</w:t>
      </w:r>
      <w:r w:rsidRPr="00475F3B">
        <w:rPr>
          <w:rStyle w:val="Emphasis"/>
        </w:rPr>
        <w:t xml:space="preserve">ntellectual </w:t>
      </w:r>
      <w:r w:rsidRPr="00475F3B">
        <w:rPr>
          <w:rStyle w:val="Emphasis"/>
          <w:highlight w:val="green"/>
        </w:rPr>
        <w:t>p</w:t>
      </w:r>
      <w:r w:rsidRPr="00475F3B">
        <w:rPr>
          <w:rStyle w:val="Emphasis"/>
        </w:rPr>
        <w:t xml:space="preserve">roperty </w:t>
      </w:r>
      <w:r w:rsidRPr="00475F3B">
        <w:rPr>
          <w:rStyle w:val="Emphasis"/>
          <w:highlight w:val="green"/>
        </w:rPr>
        <w:t>from</w:t>
      </w:r>
      <w:r w:rsidRPr="00475F3B">
        <w:rPr>
          <w:rStyle w:val="Emphasis"/>
        </w:rPr>
        <w:t xml:space="preserve"> any </w:t>
      </w:r>
      <w:r w:rsidRPr="00475F3B">
        <w:rPr>
          <w:rStyle w:val="Emphasis"/>
          <w:highlight w:val="green"/>
        </w:rPr>
        <w:t>other forms of property</w:t>
      </w:r>
      <w:r w:rsidRPr="00475F3B">
        <w:rPr>
          <w:sz w:val="12"/>
        </w:rPr>
        <w:t xml:space="preserve">. In all cases, </w:t>
      </w:r>
      <w:r w:rsidRPr="00475F3B">
        <w:rPr>
          <w:rStyle w:val="Emphasis"/>
          <w:highlight w:val="green"/>
        </w:rPr>
        <w:t>a person employs</w:t>
      </w:r>
      <w:r w:rsidRPr="00475F3B">
        <w:rPr>
          <w:rStyle w:val="Emphasis"/>
        </w:rPr>
        <w:t xml:space="preserve"> his </w:t>
      </w:r>
      <w:r w:rsidRPr="00475F3B">
        <w:rPr>
          <w:rStyle w:val="Emphasis"/>
          <w:highlight w:val="green"/>
        </w:rPr>
        <w:t>intellect and</w:t>
      </w:r>
      <w:r w:rsidRPr="00475F3B">
        <w:rPr>
          <w:rStyle w:val="Emphasis"/>
        </w:rPr>
        <w:t xml:space="preserve"> </w:t>
      </w:r>
      <w:r w:rsidRPr="00475F3B">
        <w:rPr>
          <w:rStyle w:val="Emphasis"/>
          <w:highlight w:val="green"/>
        </w:rPr>
        <w:t>talent</w:t>
      </w:r>
      <w:r w:rsidRPr="00475F3B">
        <w:rPr>
          <w:rStyle w:val="Emphasis"/>
        </w:rPr>
        <w:t xml:space="preserve">s to impose his plan and will </w:t>
      </w:r>
      <w:r w:rsidRPr="00475F3B">
        <w:rPr>
          <w:rStyle w:val="Emphasis"/>
          <w:highlight w:val="green"/>
        </w:rPr>
        <w:t>on his environment to bring something new into the world</w:t>
      </w:r>
      <w:r w:rsidRPr="00475F3B">
        <w:rPr>
          <w:rStyle w:val="StyleUnderline"/>
        </w:rPr>
        <w:t>. This is the essence of productive labor, the fruits of which property protects</w:t>
      </w:r>
      <w:r w:rsidRPr="00475F3B">
        <w:rPr>
          <w:sz w:val="12"/>
        </w:rPr>
        <w:t>.</w:t>
      </w:r>
    </w:p>
    <w:p w14:paraId="376C5F3F" w14:textId="77777777" w:rsidR="00103E1A" w:rsidRPr="00020FA9" w:rsidRDefault="00103E1A" w:rsidP="00103E1A">
      <w:pPr>
        <w:rPr>
          <w:sz w:val="12"/>
        </w:rPr>
      </w:pPr>
      <w:r w:rsidRPr="00475F3B">
        <w:rPr>
          <w:sz w:val="12"/>
        </w:rPr>
        <w:t xml:space="preserve">Distinguishing between </w:t>
      </w:r>
      <w:r w:rsidRPr="00475F3B">
        <w:rPr>
          <w:rStyle w:val="StyleUnderline"/>
        </w:rPr>
        <w:t>physical and intellectual labor</w:t>
      </w:r>
      <w:r w:rsidRPr="00475F3B">
        <w:rPr>
          <w:sz w:val="12"/>
        </w:rPr>
        <w:t xml:space="preserve">, as some would, is misguided, because both </w:t>
      </w:r>
      <w:r w:rsidRPr="00475F3B">
        <w:rPr>
          <w:rStyle w:val="StyleUnderline"/>
        </w:rPr>
        <w:t>are, at heart, the same activity</w:t>
      </w:r>
      <w:r w:rsidRPr="00475F3B">
        <w:rPr>
          <w:sz w:val="12"/>
        </w:rPr>
        <w:t xml:space="preserve">. Whether it is a carpenter building a house, a farmer planting a field, an author writing a book, a director filming a movie, or </w:t>
      </w:r>
      <w:r w:rsidRPr="00475F3B">
        <w:rPr>
          <w:rStyle w:val="Emphasis"/>
        </w:rPr>
        <w:t xml:space="preserve">an inventor </w:t>
      </w:r>
      <w:r w:rsidRPr="00475F3B">
        <w:rPr>
          <w:rStyle w:val="Emphasis"/>
          <w:highlight w:val="green"/>
        </w:rPr>
        <w:t>developing a new drug</w:t>
      </w:r>
      <w:r w:rsidRPr="00475F3B">
        <w:rPr>
          <w:sz w:val="12"/>
        </w:rPr>
        <w:t xml:space="preserve">, the activity </w:t>
      </w:r>
      <w:r w:rsidRPr="00475F3B">
        <w:rPr>
          <w:rStyle w:val="Emphasis"/>
          <w:highlight w:val="green"/>
        </w:rPr>
        <w:t>is</w:t>
      </w:r>
      <w:r w:rsidRPr="00475F3B">
        <w:rPr>
          <w:sz w:val="12"/>
          <w:szCs w:val="12"/>
        </w:rPr>
        <w:t>,</w:t>
      </w:r>
      <w:r w:rsidRPr="00475F3B">
        <w:rPr>
          <w:rStyle w:val="Emphasis"/>
        </w:rPr>
        <w:t xml:space="preserve"> ultimately, </w:t>
      </w:r>
      <w:r w:rsidRPr="00475F3B">
        <w:rPr>
          <w:rStyle w:val="Emphasis"/>
          <w:highlight w:val="green"/>
        </w:rPr>
        <w:t>productive labor</w:t>
      </w:r>
      <w:r w:rsidRPr="00475F3B">
        <w:rPr>
          <w:sz w:val="12"/>
        </w:rPr>
        <w:t>.</w:t>
      </w:r>
    </w:p>
    <w:p w14:paraId="28B0915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8055B96"/>
    <w:multiLevelType w:val="hybridMultilevel"/>
    <w:tmpl w:val="4F46B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03E1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3E1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7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179"/>
    <w:rsid w:val="002F6E74"/>
    <w:rsid w:val="003106B3"/>
    <w:rsid w:val="0031385D"/>
    <w:rsid w:val="003171AB"/>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B0"/>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761854"/>
  <w14:defaultImageDpi w14:val="300"/>
  <w15:docId w15:val="{42723AE0-29D2-1E40-B7D5-D28C162F2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03E1A"/>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103E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03E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03E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103E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03E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3E1A"/>
  </w:style>
  <w:style w:type="character" w:customStyle="1" w:styleId="Heading1Char">
    <w:name w:val="Heading 1 Char"/>
    <w:aliases w:val="Pocket Char"/>
    <w:basedOn w:val="DefaultParagraphFont"/>
    <w:link w:val="Heading1"/>
    <w:uiPriority w:val="9"/>
    <w:rsid w:val="00103E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03E1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03E1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103E1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03E1A"/>
    <w:rPr>
      <w:b/>
      <w:sz w:val="22"/>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103E1A"/>
    <w:rPr>
      <w:b w:val="0"/>
      <w:sz w:val="24"/>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textbold"/>
    <w:uiPriority w:val="20"/>
    <w:qFormat/>
    <w:rsid w:val="00103E1A"/>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103E1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103E1A"/>
    <w:rPr>
      <w:color w:val="auto"/>
      <w:u w:val="none"/>
    </w:rPr>
  </w:style>
  <w:style w:type="paragraph" w:styleId="DocumentMap">
    <w:name w:val="Document Map"/>
    <w:basedOn w:val="Normal"/>
    <w:link w:val="DocumentMapChar"/>
    <w:uiPriority w:val="99"/>
    <w:semiHidden/>
    <w:unhideWhenUsed/>
    <w:rsid w:val="00103E1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03E1A"/>
    <w:rPr>
      <w:rFonts w:ascii="Lucida Grande" w:hAnsi="Lucida Grande" w:cs="Lucida Grand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103E1A"/>
    <w:pPr>
      <w:ind w:left="288" w:right="288"/>
    </w:pPr>
    <w:rPr>
      <w:rFonts w:asciiTheme="minorHAnsi" w:hAnsiTheme="minorHAnsi" w:cstheme="minorBid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103E1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03E1A"/>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ipwatchdog.com/2018/07/17/categorical-imperative-innovation-patenting/id=99178/" TargetMode="External"/><Relationship Id="rId4" Type="http://schemas.openxmlformats.org/officeDocument/2006/relationships/customXml" Target="../customXml/item4.xml"/><Relationship Id="rId9" Type="http://schemas.openxmlformats.org/officeDocument/2006/relationships/hyperlink" Target="http://eprints.lse.ac.uk/37521/1/Kant_Copyright_and_Communicative_Freedom_%28lsero%2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6593ECC-8DC6-4042-B178-5B4E3C405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4020</Words>
  <Characters>22915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26882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1</cp:revision>
  <dcterms:created xsi:type="dcterms:W3CDTF">2021-09-25T15:40:00Z</dcterms:created>
  <dcterms:modified xsi:type="dcterms:W3CDTF">2021-09-25T15:41:00Z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