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5C756" w14:textId="63BC2E7A" w:rsidR="005C40CA" w:rsidRDefault="005C40CA" w:rsidP="005C40CA">
      <w:pPr>
        <w:rPr>
          <w:highlight w:val="green"/>
        </w:rPr>
      </w:pPr>
      <w:r>
        <w:rPr>
          <w:highlight w:val="green"/>
        </w:rPr>
        <w:t>TW: rape</w:t>
      </w:r>
    </w:p>
    <w:p w14:paraId="454FF681" w14:textId="3D180FC9" w:rsidR="005F3E43" w:rsidRDefault="005F3E43" w:rsidP="005C40CA">
      <w:pPr>
        <w:rPr>
          <w:highlight w:val="green"/>
        </w:rPr>
      </w:pPr>
      <w:r w:rsidRPr="005F3E43">
        <w:t>https://en.wikipedia.org/wiki/French_petition_against_age_of_consent_laws</w:t>
      </w:r>
    </w:p>
    <w:p w14:paraId="184034D6" w14:textId="71640DE4" w:rsidR="005C40CA" w:rsidRDefault="005C40CA" w:rsidP="005C40CA">
      <w:r w:rsidRPr="005C40CA">
        <w:rPr>
          <w:highlight w:val="green"/>
        </w:rPr>
        <w:t>In 1977, a petition was addressed to the </w:t>
      </w:r>
      <w:hyperlink r:id="rId9" w:tooltip="French parliament" w:history="1">
        <w:r w:rsidRPr="005C40CA">
          <w:rPr>
            <w:rStyle w:val="Hyperlink"/>
            <w:highlight w:val="green"/>
          </w:rPr>
          <w:t>French parliament</w:t>
        </w:r>
      </w:hyperlink>
      <w:r w:rsidRPr="005C40CA">
        <w:rPr>
          <w:highlight w:val="green"/>
        </w:rPr>
        <w:t> calling for the abrogation of several articles of the </w:t>
      </w:r>
      <w:hyperlink r:id="rId10" w:tooltip="Age of consent" w:history="1">
        <w:r w:rsidRPr="005C40CA">
          <w:rPr>
            <w:rStyle w:val="Hyperlink"/>
            <w:highlight w:val="green"/>
          </w:rPr>
          <w:t>age of consent</w:t>
        </w:r>
      </w:hyperlink>
      <w:r w:rsidRPr="005C40CA">
        <w:rPr>
          <w:highlight w:val="green"/>
        </w:rPr>
        <w:t> law</w:t>
      </w:r>
      <w:r w:rsidRPr="005C40CA">
        <w:t xml:space="preserve"> and the decriminalization of all consensual relations between adults and </w:t>
      </w:r>
      <w:r w:rsidRPr="005C40CA">
        <w:rPr>
          <w:highlight w:val="green"/>
        </w:rPr>
        <w:t>minors below the age of fifteen (</w:t>
      </w:r>
      <w:r w:rsidRPr="005C40CA">
        <w:t xml:space="preserve">the age of consent in France). </w:t>
      </w:r>
      <w:r w:rsidRPr="005C40CA">
        <w:rPr>
          <w:u w:val="single"/>
        </w:rPr>
        <w:t>A number of French </w:t>
      </w:r>
      <w:hyperlink r:id="rId11" w:tooltip="Intellectual" w:history="1">
        <w:r w:rsidRPr="005C40CA">
          <w:rPr>
            <w:rStyle w:val="Hyperlink"/>
            <w:u w:val="single"/>
          </w:rPr>
          <w:t>intellectuals</w:t>
        </w:r>
      </w:hyperlink>
      <w:r w:rsidRPr="005C40CA">
        <w:rPr>
          <w:u w:val="single"/>
        </w:rPr>
        <w:t> – including such prominent names as </w:t>
      </w:r>
      <w:hyperlink r:id="rId12" w:tooltip="Michel Foucault" w:history="1">
        <w:r w:rsidRPr="005C40CA">
          <w:rPr>
            <w:rStyle w:val="Hyperlink"/>
            <w:u w:val="single"/>
          </w:rPr>
          <w:t>Michel Foucault</w:t>
        </w:r>
      </w:hyperlink>
      <w:r w:rsidRPr="005C40CA">
        <w:rPr>
          <w:u w:val="single"/>
        </w:rPr>
        <w:t>, </w:t>
      </w:r>
      <w:hyperlink r:id="rId13" w:tooltip="Gilles Deleuze" w:history="1">
        <w:r w:rsidRPr="005C40CA">
          <w:rPr>
            <w:rStyle w:val="Hyperlink"/>
            <w:u w:val="single"/>
          </w:rPr>
          <w:t>Gilles Deleuze</w:t>
        </w:r>
      </w:hyperlink>
      <w:r w:rsidRPr="005C40CA">
        <w:rPr>
          <w:u w:val="single"/>
        </w:rPr>
        <w:t>,</w:t>
      </w:r>
      <w:r w:rsidRPr="005C40CA">
        <w:t> </w:t>
      </w:r>
      <w:hyperlink r:id="rId14" w:tooltip="Jacques Derrida" w:history="1">
        <w:r w:rsidRPr="005C40CA">
          <w:rPr>
            <w:rStyle w:val="Hyperlink"/>
          </w:rPr>
          <w:t>Jacques Derrida</w:t>
        </w:r>
      </w:hyperlink>
      <w:r w:rsidRPr="005C40CA">
        <w:t>, </w:t>
      </w:r>
      <w:hyperlink r:id="rId15" w:tooltip="Louis Aragon" w:history="1">
        <w:r w:rsidRPr="005C40CA">
          <w:rPr>
            <w:rStyle w:val="Hyperlink"/>
          </w:rPr>
          <w:t>Louis Aragon</w:t>
        </w:r>
      </w:hyperlink>
      <w:r w:rsidRPr="005C40CA">
        <w:t>, </w:t>
      </w:r>
      <w:hyperlink r:id="rId16" w:tooltip="Louis Althusser" w:history="1">
        <w:r w:rsidRPr="005C40CA">
          <w:rPr>
            <w:rStyle w:val="Hyperlink"/>
          </w:rPr>
          <w:t>Louis Althusser</w:t>
        </w:r>
      </w:hyperlink>
      <w:r w:rsidRPr="005C40CA">
        <w:t>, </w:t>
      </w:r>
      <w:hyperlink r:id="rId17" w:tooltip="Roland Barthes" w:history="1">
        <w:r w:rsidRPr="005C40CA">
          <w:rPr>
            <w:rStyle w:val="Hyperlink"/>
          </w:rPr>
          <w:t>Roland Barthes</w:t>
        </w:r>
      </w:hyperlink>
      <w:r w:rsidRPr="005C40CA">
        <w:t>, </w:t>
      </w:r>
      <w:hyperlink r:id="rId18" w:tooltip="Simone de Beauvoir" w:history="1">
        <w:r w:rsidRPr="005C40CA">
          <w:rPr>
            <w:rStyle w:val="Hyperlink"/>
          </w:rPr>
          <w:t>Simone de Beauvoir</w:t>
        </w:r>
      </w:hyperlink>
      <w:r w:rsidRPr="005C40CA">
        <w:t>, </w:t>
      </w:r>
      <w:hyperlink r:id="rId19" w:tooltip="Jean-Paul Sartre" w:history="1">
        <w:r w:rsidRPr="005C40CA">
          <w:rPr>
            <w:rStyle w:val="Hyperlink"/>
          </w:rPr>
          <w:t>Jean-Paul Sartre</w:t>
        </w:r>
      </w:hyperlink>
      <w:r w:rsidRPr="005C40CA">
        <w:t>, </w:t>
      </w:r>
      <w:hyperlink r:id="rId20" w:tooltip="Félix Guattari" w:history="1">
        <w:r w:rsidRPr="005C40CA">
          <w:rPr>
            <w:rStyle w:val="Hyperlink"/>
          </w:rPr>
          <w:t xml:space="preserve">Félix </w:t>
        </w:r>
        <w:proofErr w:type="spellStart"/>
        <w:r w:rsidRPr="005C40CA">
          <w:rPr>
            <w:rStyle w:val="Hyperlink"/>
          </w:rPr>
          <w:t>Guattari</w:t>
        </w:r>
        <w:proofErr w:type="spellEnd"/>
      </w:hyperlink>
      <w:r w:rsidRPr="005C40CA">
        <w:t>, </w:t>
      </w:r>
      <w:hyperlink r:id="rId21" w:tooltip="Michel Leiris" w:history="1">
        <w:r w:rsidRPr="005C40CA">
          <w:rPr>
            <w:rStyle w:val="Hyperlink"/>
          </w:rPr>
          <w:t xml:space="preserve">Michel </w:t>
        </w:r>
        <w:proofErr w:type="spellStart"/>
        <w:r w:rsidRPr="005C40CA">
          <w:rPr>
            <w:rStyle w:val="Hyperlink"/>
          </w:rPr>
          <w:t>Leiris</w:t>
        </w:r>
        <w:proofErr w:type="spellEnd"/>
      </w:hyperlink>
      <w:r w:rsidRPr="005C40CA">
        <w:t>, </w:t>
      </w:r>
      <w:hyperlink r:id="rId22" w:tooltip="Alain Robbe-Grillet" w:history="1">
        <w:r w:rsidRPr="005C40CA">
          <w:rPr>
            <w:rStyle w:val="Hyperlink"/>
          </w:rPr>
          <w:t>Alain Robbe-Grillet</w:t>
        </w:r>
      </w:hyperlink>
      <w:r w:rsidRPr="005C40CA">
        <w:t>, </w:t>
      </w:r>
      <w:hyperlink r:id="rId23" w:tooltip="Philippe Sollers" w:history="1">
        <w:r w:rsidRPr="005C40CA">
          <w:rPr>
            <w:rStyle w:val="Hyperlink"/>
          </w:rPr>
          <w:t xml:space="preserve">Philippe </w:t>
        </w:r>
        <w:proofErr w:type="spellStart"/>
        <w:r w:rsidRPr="005C40CA">
          <w:rPr>
            <w:rStyle w:val="Hyperlink"/>
          </w:rPr>
          <w:t>Sollers</w:t>
        </w:r>
        <w:proofErr w:type="spellEnd"/>
      </w:hyperlink>
      <w:r w:rsidRPr="005C40CA">
        <w:t>, </w:t>
      </w:r>
      <w:hyperlink r:id="rId24" w:tooltip="Jacques Rancière" w:history="1">
        <w:r w:rsidRPr="005C40CA">
          <w:rPr>
            <w:rStyle w:val="Hyperlink"/>
          </w:rPr>
          <w:t xml:space="preserve">Jacques </w:t>
        </w:r>
        <w:proofErr w:type="spellStart"/>
        <w:r w:rsidRPr="005C40CA">
          <w:rPr>
            <w:rStyle w:val="Hyperlink"/>
          </w:rPr>
          <w:t>Rancière</w:t>
        </w:r>
        <w:proofErr w:type="spellEnd"/>
      </w:hyperlink>
      <w:r w:rsidRPr="005C40CA">
        <w:t>, </w:t>
      </w:r>
      <w:hyperlink r:id="rId25" w:tooltip="Jean-François Lyotard" w:history="1">
        <w:r w:rsidRPr="005C40CA">
          <w:rPr>
            <w:rStyle w:val="Hyperlink"/>
          </w:rPr>
          <w:t>Jean-François Lyotard</w:t>
        </w:r>
      </w:hyperlink>
      <w:r w:rsidRPr="005C40CA">
        <w:t>, </w:t>
      </w:r>
      <w:hyperlink r:id="rId26" w:tooltip="Francis Ponge" w:history="1">
        <w:r w:rsidRPr="005C40CA">
          <w:rPr>
            <w:rStyle w:val="Hyperlink"/>
          </w:rPr>
          <w:t xml:space="preserve">Francis </w:t>
        </w:r>
        <w:proofErr w:type="spellStart"/>
        <w:r w:rsidRPr="005C40CA">
          <w:rPr>
            <w:rStyle w:val="Hyperlink"/>
          </w:rPr>
          <w:t>Ponge</w:t>
        </w:r>
        <w:proofErr w:type="spellEnd"/>
      </w:hyperlink>
      <w:r w:rsidRPr="005C40CA">
        <w:t>, </w:t>
      </w:r>
      <w:hyperlink r:id="rId27" w:tooltip="Bernard Besret (page does not exist)" w:history="1">
        <w:r w:rsidRPr="005C40CA">
          <w:rPr>
            <w:rStyle w:val="Hyperlink"/>
          </w:rPr>
          <w:t xml:space="preserve">Bernard </w:t>
        </w:r>
        <w:proofErr w:type="spellStart"/>
        <w:r w:rsidRPr="005C40CA">
          <w:rPr>
            <w:rStyle w:val="Hyperlink"/>
          </w:rPr>
          <w:t>Besret</w:t>
        </w:r>
        <w:proofErr w:type="spellEnd"/>
      </w:hyperlink>
      <w:r w:rsidRPr="005C40CA">
        <w:t> [</w:t>
      </w:r>
      <w:proofErr w:type="spellStart"/>
      <w:r w:rsidRPr="005C40CA">
        <w:fldChar w:fldCharType="begin"/>
      </w:r>
      <w:r w:rsidRPr="005C40CA">
        <w:instrText xml:space="preserve"> HYPERLINK "https://fr.wikipedia.org/wiki/Bernard_Besret" \o "fr:Bernard Besret" </w:instrText>
      </w:r>
      <w:r w:rsidRPr="005C40CA">
        <w:fldChar w:fldCharType="separate"/>
      </w:r>
      <w:r w:rsidRPr="005C40CA">
        <w:rPr>
          <w:rStyle w:val="Hyperlink"/>
        </w:rPr>
        <w:t>fr</w:t>
      </w:r>
      <w:proofErr w:type="spellEnd"/>
      <w:r w:rsidRPr="005C40CA">
        <w:fldChar w:fldCharType="end"/>
      </w:r>
      <w:r w:rsidRPr="005C40CA">
        <w:t>] and various prominent doctors and psychologists – signed the </w:t>
      </w:r>
      <w:hyperlink r:id="rId28" w:tooltip="Petition" w:history="1">
        <w:r w:rsidRPr="005C40CA">
          <w:rPr>
            <w:rStyle w:val="Hyperlink"/>
          </w:rPr>
          <w:t>petition</w:t>
        </w:r>
      </w:hyperlink>
      <w:r w:rsidRPr="005C40CA">
        <w:t>.</w:t>
      </w:r>
      <w:hyperlink r:id="rId29" w:anchor="cite_note-1" w:history="1">
        <w:r w:rsidRPr="005C40CA">
          <w:rPr>
            <w:rStyle w:val="Hyperlink"/>
          </w:rPr>
          <w:t>[1]</w:t>
        </w:r>
      </w:hyperlink>
      <w:r w:rsidRPr="005C40CA">
        <w:t> In 1979 two open letters were published in French newspapers defending individuals arrested under charges of </w:t>
      </w:r>
      <w:hyperlink r:id="rId30" w:tooltip="Statutory rape" w:history="1">
        <w:r w:rsidRPr="005C40CA">
          <w:rPr>
            <w:rStyle w:val="Hyperlink"/>
          </w:rPr>
          <w:t>statutory rape</w:t>
        </w:r>
      </w:hyperlink>
      <w:r w:rsidRPr="005C40CA">
        <w:t>, in the context of </w:t>
      </w:r>
      <w:hyperlink r:id="rId31" w:tooltip="Age of consent reform" w:history="1">
        <w:r w:rsidRPr="005C40CA">
          <w:rPr>
            <w:rStyle w:val="Hyperlink"/>
          </w:rPr>
          <w:t>abolition of age of consent laws</w:t>
        </w:r>
      </w:hyperlink>
      <w:r w:rsidRPr="005C40CA">
        <w:t>.</w:t>
      </w:r>
    </w:p>
    <w:p w14:paraId="5EAB20C3" w14:textId="699267AB" w:rsidR="005C40CA" w:rsidRPr="005C40CA" w:rsidRDefault="005C40CA" w:rsidP="005C40CA">
      <w:pPr>
        <w:rPr>
          <w:b/>
          <w:bCs/>
        </w:rPr>
      </w:pPr>
      <w:r w:rsidRPr="005C40CA">
        <w:rPr>
          <w:b/>
          <w:bCs/>
        </w:rPr>
        <w:t xml:space="preserve">If you buy their shell, that means you should also reject the </w:t>
      </w:r>
      <w:proofErr w:type="spellStart"/>
      <w:r w:rsidRPr="005C40CA">
        <w:rPr>
          <w:b/>
          <w:bCs/>
        </w:rPr>
        <w:t>aff</w:t>
      </w:r>
      <w:proofErr w:type="spellEnd"/>
      <w:r w:rsidRPr="005C40CA">
        <w:rPr>
          <w:b/>
          <w:bCs/>
        </w:rPr>
        <w:t xml:space="preserve">, and you can vote neg on presumption. Their author directly endorsed pedophilia </w:t>
      </w:r>
      <w:proofErr w:type="spellStart"/>
      <w:r w:rsidRPr="005C40CA">
        <w:rPr>
          <w:b/>
          <w:bCs/>
        </w:rPr>
        <w:t>nad</w:t>
      </w:r>
      <w:proofErr w:type="spellEnd"/>
      <w:r w:rsidRPr="005C40CA">
        <w:rPr>
          <w:b/>
          <w:bCs/>
        </w:rPr>
        <w:t xml:space="preserve"> unsafe behaviors</w:t>
      </w:r>
    </w:p>
    <w:p w14:paraId="37CAC752" w14:textId="5FF04656" w:rsidR="009B5A78" w:rsidRDefault="009B5A78" w:rsidP="00F601E6"/>
    <w:p w14:paraId="5902FB07" w14:textId="77777777" w:rsidR="005C40CA" w:rsidRDefault="005C40CA" w:rsidP="0030241D">
      <w:pPr>
        <w:pStyle w:val="Heading3"/>
        <w:rPr>
          <w:rFonts w:eastAsia="Times New Roman" w:cs="Times New Roman"/>
          <w:color w:val="000000" w:themeColor="text1"/>
        </w:rPr>
      </w:pPr>
    </w:p>
    <w:p w14:paraId="0C6A48F8" w14:textId="375BD4E4" w:rsidR="0030241D" w:rsidRDefault="004C6BC8" w:rsidP="0030241D">
      <w:pPr>
        <w:pStyle w:val="Heading3"/>
      </w:pPr>
      <w:r>
        <w:rPr>
          <w:rFonts w:eastAsia="Times New Roman" w:cs="Times New Roman"/>
          <w:color w:val="000000" w:themeColor="text1"/>
        </w:rPr>
        <w:lastRenderedPageBreak/>
        <w:t xml:space="preserve">Interpretation and Violation: </w:t>
      </w:r>
      <w:r w:rsidR="0030241D">
        <w:t>T Implement</w:t>
      </w:r>
    </w:p>
    <w:p w14:paraId="647E1BE5" w14:textId="77777777" w:rsidR="0030241D" w:rsidRDefault="0030241D" w:rsidP="0030241D">
      <w:pPr>
        <w:pStyle w:val="Heading4"/>
        <w:rPr>
          <w:rFonts w:eastAsia="Times New Roman"/>
        </w:rPr>
      </w:pPr>
      <w:proofErr w:type="spellStart"/>
      <w:r w:rsidRPr="00F767F1">
        <w:t>Interp</w:t>
      </w:r>
      <w:proofErr w:type="spellEnd"/>
      <w:r w:rsidRPr="00F767F1">
        <w:t xml:space="preserve"> and Violation: </w:t>
      </w:r>
      <w:r w:rsidRPr="00F767F1">
        <w:rPr>
          <w:rFonts w:eastAsia="Times New Roman"/>
        </w:rPr>
        <w:t xml:space="preserve">The affirmative must </w:t>
      </w:r>
      <w:r>
        <w:rPr>
          <w:rFonts w:eastAsia="Times New Roman"/>
        </w:rPr>
        <w:t xml:space="preserve">only defend and garner offense off of the hypothetical implementation of a policy that brings about the state of affairs where in a democracy, voting ought to be compulsory </w:t>
      </w:r>
      <w:r w:rsidRPr="00F767F1">
        <w:rPr>
          <w:rFonts w:eastAsia="Times New Roman"/>
        </w:rPr>
        <w:t>– they don’t.</w:t>
      </w:r>
    </w:p>
    <w:p w14:paraId="55011D2C" w14:textId="77777777" w:rsidR="0030241D" w:rsidRPr="00F767F1" w:rsidRDefault="0030241D" w:rsidP="0030241D">
      <w:pPr>
        <w:pStyle w:val="Heading4"/>
        <w:rPr>
          <w:rFonts w:cs="Calibri"/>
        </w:rPr>
      </w:pPr>
      <w:r w:rsidRPr="00F767F1">
        <w:rPr>
          <w:rFonts w:cs="Calibri"/>
        </w:rPr>
        <w:t>Resolved means a policy</w:t>
      </w:r>
    </w:p>
    <w:p w14:paraId="26C8F9ED" w14:textId="77777777" w:rsidR="0030241D" w:rsidRPr="00F767F1" w:rsidRDefault="0030241D" w:rsidP="0030241D">
      <w:pPr>
        <w:rPr>
          <w:rStyle w:val="StyleUnderline"/>
          <w:b/>
          <w:sz w:val="16"/>
        </w:rPr>
      </w:pPr>
      <w:r w:rsidRPr="00F767F1">
        <w:rPr>
          <w:rStyle w:val="StyleUnderline"/>
        </w:rPr>
        <w:t>Words and Phrases 64</w:t>
      </w:r>
      <w:r w:rsidRPr="00F767F1">
        <w:t xml:space="preserve"> Words and Phrases Permanent Edition. “Resolved”. 1964.</w:t>
      </w:r>
    </w:p>
    <w:p w14:paraId="41EF4CDB" w14:textId="45EE52F7" w:rsidR="0030241D" w:rsidRDefault="0030241D" w:rsidP="0030241D">
      <w:r w:rsidRPr="00F767F1">
        <w:rPr>
          <w:rStyle w:val="StyleUnderline"/>
        </w:rPr>
        <w:t>Definition of the word “</w:t>
      </w:r>
      <w:r w:rsidRPr="00151001">
        <w:rPr>
          <w:rStyle w:val="StyleUnderline"/>
          <w:highlight w:val="green"/>
        </w:rPr>
        <w:t>resolve</w:t>
      </w:r>
      <w:r w:rsidRPr="00F767F1">
        <w:rPr>
          <w:rStyle w:val="StyleUnderline"/>
        </w:rPr>
        <w:t xml:space="preserve">,” given by Webster </w:t>
      </w:r>
      <w:r w:rsidRPr="00151001">
        <w:rPr>
          <w:rStyle w:val="StyleUnderline"/>
          <w:highlight w:val="green"/>
        </w:rPr>
        <w:t>is</w:t>
      </w:r>
      <w:r w:rsidRPr="00F767F1">
        <w:rPr>
          <w:rStyle w:val="StyleUnderline"/>
        </w:rPr>
        <w:t xml:space="preserve"> “to express an opinion or </w:t>
      </w:r>
      <w:r w:rsidRPr="00151001">
        <w:rPr>
          <w:rStyle w:val="StyleUnderline"/>
          <w:highlight w:val="green"/>
        </w:rPr>
        <w:t>determination by</w:t>
      </w:r>
      <w:r w:rsidRPr="00F767F1">
        <w:rPr>
          <w:rStyle w:val="StyleUnderline"/>
        </w:rPr>
        <w:t xml:space="preserve"> resolution or vote; as ‘it was resolved by the </w:t>
      </w:r>
      <w:r w:rsidRPr="00151001">
        <w:rPr>
          <w:rStyle w:val="StyleUnderline"/>
          <w:highlight w:val="green"/>
        </w:rPr>
        <w:t>legislature</w:t>
      </w:r>
      <w:r w:rsidRPr="00F767F1">
        <w:t>;” It is of similar force to the word “enact,” which is defined by Bouvier as meaning “</w:t>
      </w:r>
      <w:r w:rsidRPr="00151001">
        <w:rPr>
          <w:rStyle w:val="StyleUnderline"/>
          <w:highlight w:val="green"/>
        </w:rPr>
        <w:t>to establish by law</w:t>
      </w:r>
      <w:r w:rsidRPr="00F767F1">
        <w:t xml:space="preserve">”. </w:t>
      </w:r>
    </w:p>
    <w:p w14:paraId="62F1B521" w14:textId="77777777" w:rsidR="005C40CA" w:rsidRDefault="005C40CA" w:rsidP="0030241D"/>
    <w:p w14:paraId="1464374B" w14:textId="77777777" w:rsidR="0030241D" w:rsidRDefault="0030241D" w:rsidP="0030241D">
      <w:pPr>
        <w:pStyle w:val="Heading4"/>
      </w:pPr>
      <w:r>
        <w:t>Vote neg:</w:t>
      </w:r>
    </w:p>
    <w:p w14:paraId="63A9E188" w14:textId="77777777" w:rsidR="0030241D" w:rsidRDefault="0030241D" w:rsidP="0030241D">
      <w:pPr>
        <w:pStyle w:val="Heading4"/>
      </w:pPr>
      <w:r>
        <w:t xml:space="preserve">1] Preparation – repacking the topic gives the </w:t>
      </w:r>
      <w:proofErr w:type="spellStart"/>
      <w:r>
        <w:t>aff</w:t>
      </w:r>
      <w:proofErr w:type="spellEnd"/>
      <w:r>
        <w:t xml:space="preserve"> a huge edge, they can prepare for months on an issue that catches us by surprise and delink all policy based </w:t>
      </w:r>
      <w:proofErr w:type="spellStart"/>
      <w:r>
        <w:t>disads</w:t>
      </w:r>
      <w:proofErr w:type="spellEnd"/>
      <w:r>
        <w:t xml:space="preserve"> and counterplans which is functionally all the topic lit. Preparation is better than thinking on your feet- research demonstrates pedagogical humility and research skills are the only portable debate training – the process of debate outweighs the content – only our </w:t>
      </w:r>
      <w:proofErr w:type="spellStart"/>
      <w:r>
        <w:t>interp</w:t>
      </w:r>
      <w:proofErr w:type="spellEnd"/>
      <w:r>
        <w:t xml:space="preserve"> generates the argumentative skills needed to rigorously defend their affirmative out of round and create engaged citizens who have the self-reflexivity to advocate for positive change</w:t>
      </w:r>
    </w:p>
    <w:p w14:paraId="073DFB79" w14:textId="77777777" w:rsidR="0030241D" w:rsidRDefault="0030241D" w:rsidP="0030241D">
      <w:pPr>
        <w:pStyle w:val="Heading4"/>
      </w:pPr>
      <w:r>
        <w:t xml:space="preserve">2] Truth testing – you can’t vote on the case outweighs T because lack of preparation prevents rigorous testing of the AC claims. If we win fairness we don’t have to “outweigh” other impacts </w:t>
      </w:r>
    </w:p>
    <w:p w14:paraId="0212C58E" w14:textId="38901893" w:rsidR="0030241D" w:rsidRDefault="0030241D" w:rsidP="0030241D">
      <w:pPr>
        <w:pStyle w:val="Heading4"/>
      </w:pPr>
      <w:r>
        <w:t xml:space="preserve">3] read the </w:t>
      </w:r>
      <w:proofErr w:type="spellStart"/>
      <w:r>
        <w:t>aff</w:t>
      </w:r>
      <w:proofErr w:type="spellEnd"/>
      <w:r>
        <w:t xml:space="preserve"> as a TVA solves- space is bad so women leaders should ban private appropriation</w:t>
      </w:r>
    </w:p>
    <w:p w14:paraId="25318000" w14:textId="77777777" w:rsidR="0030241D" w:rsidRPr="00C75149" w:rsidRDefault="0030241D" w:rsidP="0030241D"/>
    <w:p w14:paraId="7708484E" w14:textId="77777777" w:rsidR="0030241D" w:rsidRDefault="0030241D" w:rsidP="0030241D">
      <w:pPr>
        <w:pStyle w:val="Heading4"/>
      </w:pPr>
      <w:r>
        <w:lastRenderedPageBreak/>
        <w:t>Paradigm issues:</w:t>
      </w:r>
    </w:p>
    <w:p w14:paraId="13CAD40C" w14:textId="77777777" w:rsidR="0030241D" w:rsidRDefault="0030241D" w:rsidP="0030241D">
      <w:pPr>
        <w:pStyle w:val="Heading4"/>
        <w:rPr>
          <w:rFonts w:cs="Calibri"/>
        </w:rPr>
      </w:pPr>
      <w:r>
        <w:t xml:space="preserve">1] Fairness is an intrinsic good and the only possible impact to your ballot -- debate is a game: forced winner/loser, competitive norms, and the tournament invite prove. The ballot can’t change our </w:t>
      </w:r>
      <w:proofErr w:type="gramStart"/>
      <w:r>
        <w:t>subjectivities</w:t>
      </w:r>
      <w:proofErr w:type="gramEnd"/>
      <w:r>
        <w:t xml:space="preserve"> </w:t>
      </w:r>
      <w:r w:rsidRPr="00F767F1">
        <w:rPr>
          <w:rFonts w:cs="Calibri"/>
        </w:rPr>
        <w:t>but it can rectify skews which means the only impact to a ballot is fairness and deciding who wins</w:t>
      </w:r>
      <w:r>
        <w:rPr>
          <w:rFonts w:cs="Calibri"/>
        </w:rPr>
        <w:t>.</w:t>
      </w:r>
    </w:p>
    <w:p w14:paraId="67357FA3" w14:textId="77777777" w:rsidR="0030241D" w:rsidRDefault="0030241D" w:rsidP="0030241D">
      <w:pPr>
        <w:pStyle w:val="Heading4"/>
      </w:pPr>
      <w:r>
        <w:t xml:space="preserve">2] Drop the debater – T indicts their method of engagement and proves we couldn’t engage fairly with their </w:t>
      </w:r>
      <w:proofErr w:type="spellStart"/>
      <w:r>
        <w:t>aff</w:t>
      </w:r>
      <w:proofErr w:type="spellEnd"/>
      <w:r>
        <w:t xml:space="preserve"> – cross apply truth testing </w:t>
      </w:r>
    </w:p>
    <w:p w14:paraId="0A6E81A9" w14:textId="77777777" w:rsidR="0030241D" w:rsidRDefault="0030241D" w:rsidP="0030241D">
      <w:pPr>
        <w:pStyle w:val="Heading4"/>
      </w:pPr>
      <w:r>
        <w:t xml:space="preserve">3] Competing </w:t>
      </w:r>
      <w:proofErr w:type="spellStart"/>
      <w:r>
        <w:t>interps</w:t>
      </w:r>
      <w:proofErr w:type="spellEnd"/>
      <w:r>
        <w:t xml:space="preserve"> – reasonability is arbitrary, you can’t be reasonably topical, and causes a race to the bottom of questionable argumentation.</w:t>
      </w:r>
    </w:p>
    <w:p w14:paraId="4C70E405" w14:textId="77777777" w:rsidR="0030241D" w:rsidRDefault="0030241D" w:rsidP="0030241D">
      <w:pPr>
        <w:pStyle w:val="Heading4"/>
      </w:pPr>
      <w:r>
        <w:t>4] RVIs and impact turns encourage all in on theory which decks substance and incentivize baiting theory with abusive practices.</w:t>
      </w:r>
      <w:r w:rsidRPr="00E857A3">
        <w:t xml:space="preserve"> </w:t>
      </w:r>
    </w:p>
    <w:p w14:paraId="21E8736D" w14:textId="77777777" w:rsidR="0030241D" w:rsidRDefault="0030241D" w:rsidP="0030241D">
      <w:pPr>
        <w:pStyle w:val="Heading4"/>
        <w:rPr>
          <w:rFonts w:cs="Calibri"/>
        </w:rPr>
      </w:pPr>
      <w:r>
        <w:rPr>
          <w:rFonts w:cs="Calibri"/>
        </w:rPr>
        <w:t xml:space="preserve">5] </w:t>
      </w:r>
      <w:r w:rsidRPr="00F767F1">
        <w:rPr>
          <w:rFonts w:cs="Calibri"/>
        </w:rPr>
        <w:t>No impact turns—exclusions are inevitable because we only have 45 minutes so it’s best to draw those exclusions along reciprocal lines to ensure a role for the negative</w:t>
      </w:r>
    </w:p>
    <w:p w14:paraId="54CEBFA5" w14:textId="77777777" w:rsidR="0030241D" w:rsidRDefault="0030241D" w:rsidP="0030241D">
      <w:pPr>
        <w:pStyle w:val="Heading4"/>
      </w:pPr>
    </w:p>
    <w:p w14:paraId="458FCD1D" w14:textId="77777777" w:rsidR="0030241D" w:rsidRDefault="0030241D" w:rsidP="0030241D">
      <w:pPr>
        <w:pStyle w:val="Heading4"/>
      </w:pPr>
    </w:p>
    <w:p w14:paraId="4501CB4D" w14:textId="1A9AF403" w:rsidR="004C6BC8" w:rsidRDefault="004C6BC8" w:rsidP="00C15411">
      <w:pPr>
        <w:pStyle w:val="Heading3"/>
      </w:pPr>
      <w:r>
        <w:lastRenderedPageBreak/>
        <w:t>2</w:t>
      </w:r>
    </w:p>
    <w:p w14:paraId="70E12C1A" w14:textId="00A072F8" w:rsidR="004C6BC8" w:rsidRDefault="004C6BC8" w:rsidP="004C6BC8">
      <w:pPr>
        <w:pStyle w:val="Heading4"/>
      </w:pPr>
      <w:r>
        <w:t xml:space="preserve">permissibility </w:t>
      </w:r>
      <w:proofErr w:type="gramStart"/>
      <w:r>
        <w:t>negate</w:t>
      </w:r>
      <w:proofErr w:type="gramEnd"/>
      <w:r>
        <w:t xml:space="preserve">– a] the </w:t>
      </w:r>
      <w:proofErr w:type="spellStart"/>
      <w:r>
        <w:t>aff</w:t>
      </w:r>
      <w:proofErr w:type="spellEnd"/>
      <w:r>
        <w:t xml:space="preserve"> has to prove an obligation to depart from the </w:t>
      </w:r>
      <w:proofErr w:type="spellStart"/>
      <w:r>
        <w:t>squo</w:t>
      </w:r>
      <w:proofErr w:type="spellEnd"/>
      <w:r>
        <w:t>, if they don’t then we’ve done our job, b] they get to choose to defend anything they want – if they don’t win then we’ve done the better debating</w:t>
      </w:r>
    </w:p>
    <w:p w14:paraId="266747F2" w14:textId="77777777" w:rsidR="004C6BC8" w:rsidRPr="00013152" w:rsidRDefault="004C6BC8" w:rsidP="004C6BC8">
      <w:pPr>
        <w:pStyle w:val="Heading4"/>
        <w:rPr>
          <w:rStyle w:val="Style13ptBold"/>
        </w:rPr>
      </w:pPr>
      <w:r>
        <w:rPr>
          <w:rStyle w:val="Style13ptBold"/>
        </w:rPr>
        <w:t>Negate</w:t>
      </w:r>
      <w:r w:rsidRPr="00013152">
        <w:rPr>
          <w:rStyle w:val="Style13ptBold"/>
        </w:rPr>
        <w:t xml:space="preserve"> on presumption –</w:t>
      </w:r>
    </w:p>
    <w:p w14:paraId="633FDD10" w14:textId="0BEDE4B1" w:rsidR="004C6BC8" w:rsidRDefault="004C6BC8" w:rsidP="004C6BC8">
      <w:pPr>
        <w:pStyle w:val="Heading4"/>
        <w:rPr>
          <w:rStyle w:val="Style13ptBold"/>
          <w:b/>
          <w:sz w:val="28"/>
          <w:szCs w:val="28"/>
        </w:rPr>
      </w:pPr>
      <w:r w:rsidRPr="00536B9E">
        <w:rPr>
          <w:rStyle w:val="Style13ptBold"/>
          <w:b/>
          <w:sz w:val="28"/>
          <w:szCs w:val="28"/>
        </w:rPr>
        <w:t xml:space="preserve">[A] Voting </w:t>
      </w:r>
      <w:proofErr w:type="spellStart"/>
      <w:r w:rsidRPr="00536B9E">
        <w:rPr>
          <w:rStyle w:val="Style13ptBold"/>
          <w:b/>
          <w:sz w:val="28"/>
          <w:szCs w:val="28"/>
        </w:rPr>
        <w:t>aff</w:t>
      </w:r>
      <w:proofErr w:type="spellEnd"/>
      <w:r w:rsidRPr="00536B9E">
        <w:rPr>
          <w:rStyle w:val="Style13ptBold"/>
          <w:b/>
          <w:sz w:val="28"/>
          <w:szCs w:val="28"/>
        </w:rPr>
        <w:t xml:space="preserve"> relies on neoliberal meritocracy – wins equate to </w:t>
      </w:r>
      <w:proofErr w:type="gramStart"/>
      <w:r w:rsidRPr="00536B9E">
        <w:rPr>
          <w:rStyle w:val="Style13ptBold"/>
          <w:b/>
          <w:sz w:val="28"/>
          <w:szCs w:val="28"/>
        </w:rPr>
        <w:t>visibility,</w:t>
      </w:r>
      <w:proofErr w:type="gramEnd"/>
      <w:r w:rsidRPr="00536B9E">
        <w:rPr>
          <w:rStyle w:val="Style13ptBold"/>
          <w:b/>
          <w:sz w:val="28"/>
          <w:szCs w:val="28"/>
        </w:rPr>
        <w:t xml:space="preserve"> the ballot is an act of recognition. This attachment to the ballot is cruelly optimistic because nothing leaves this round nor does it affect subjectivities – it just pits us against each other without breaking the game.</w:t>
      </w:r>
      <w:r w:rsidR="005F3E43">
        <w:rPr>
          <w:rStyle w:val="Style13ptBold"/>
          <w:b/>
          <w:sz w:val="28"/>
          <w:szCs w:val="28"/>
        </w:rPr>
        <w:t xml:space="preserve"> </w:t>
      </w:r>
    </w:p>
    <w:p w14:paraId="2410A577" w14:textId="665858D3" w:rsidR="004C6BC8" w:rsidRPr="00536B9E" w:rsidRDefault="004C6BC8" w:rsidP="004C6BC8">
      <w:pPr>
        <w:pStyle w:val="Heading4"/>
        <w:rPr>
          <w:rStyle w:val="Style13ptBold"/>
          <w:b/>
          <w:sz w:val="28"/>
          <w:szCs w:val="28"/>
        </w:rPr>
      </w:pPr>
      <w:bookmarkStart w:id="0" w:name="_GoBack"/>
      <w:bookmarkEnd w:id="0"/>
      <w:r w:rsidRPr="00536B9E">
        <w:rPr>
          <w:rStyle w:val="Style13ptBold"/>
          <w:b/>
          <w:sz w:val="28"/>
          <w:szCs w:val="28"/>
        </w:rPr>
        <w:t xml:space="preserve">[B] It’s not enough to just assert that we should resist </w:t>
      </w:r>
      <w:proofErr w:type="spellStart"/>
      <w:r>
        <w:rPr>
          <w:rStyle w:val="Style13ptBold"/>
          <w:b/>
          <w:sz w:val="28"/>
          <w:szCs w:val="28"/>
        </w:rPr>
        <w:t>heteronorm</w:t>
      </w:r>
      <w:proofErr w:type="spellEnd"/>
      <w:r w:rsidRPr="00536B9E">
        <w:rPr>
          <w:rStyle w:val="Style13ptBold"/>
          <w:b/>
          <w:sz w:val="28"/>
          <w:szCs w:val="28"/>
        </w:rPr>
        <w:t xml:space="preserve">– they don’t have any explanation for how voting </w:t>
      </w:r>
      <w:proofErr w:type="spellStart"/>
      <w:r w:rsidRPr="00536B9E">
        <w:rPr>
          <w:rStyle w:val="Style13ptBold"/>
          <w:b/>
          <w:sz w:val="28"/>
          <w:szCs w:val="28"/>
        </w:rPr>
        <w:t>aff</w:t>
      </w:r>
      <w:proofErr w:type="spellEnd"/>
      <w:r w:rsidRPr="00536B9E">
        <w:rPr>
          <w:rStyle w:val="Style13ptBold"/>
          <w:b/>
          <w:sz w:val="28"/>
          <w:szCs w:val="28"/>
        </w:rPr>
        <w:t xml:space="preserve"> for their method spills-up to institutional change or provides a strategy for making debate better writ-large for other people.</w:t>
      </w:r>
    </w:p>
    <w:p w14:paraId="2DA87E94" w14:textId="77777777" w:rsidR="004C6BC8" w:rsidRPr="00536B9E" w:rsidRDefault="004C6BC8" w:rsidP="004C6BC8">
      <w:pPr>
        <w:pStyle w:val="Heading4"/>
        <w:rPr>
          <w:rStyle w:val="Style13ptBold"/>
          <w:b/>
          <w:sz w:val="28"/>
          <w:szCs w:val="28"/>
        </w:rPr>
      </w:pPr>
      <w:r w:rsidRPr="00536B9E">
        <w:rPr>
          <w:rStyle w:val="Style13ptBold"/>
          <w:b/>
          <w:sz w:val="28"/>
          <w:szCs w:val="28"/>
        </w:rPr>
        <w:t>[C] Five dictionaries define affirm as to prove true which means they must prove the resolution true and the judge’s obligation is to vote on the resolution’s truth or falsity. That negates – they haven’t met their burden since they don’t engage in the resolution and thus have no offense.</w:t>
      </w:r>
    </w:p>
    <w:p w14:paraId="340CBE05" w14:textId="77777777" w:rsidR="004C6BC8" w:rsidRPr="00536B9E" w:rsidRDefault="004C6BC8" w:rsidP="004C6BC8">
      <w:pPr>
        <w:pStyle w:val="Heading4"/>
        <w:rPr>
          <w:rStyle w:val="Style13ptBold"/>
          <w:b/>
          <w:sz w:val="28"/>
          <w:szCs w:val="28"/>
        </w:rPr>
      </w:pPr>
      <w:r w:rsidRPr="00536B9E">
        <w:rPr>
          <w:rStyle w:val="Style13ptBold"/>
          <w:b/>
          <w:sz w:val="28"/>
          <w:szCs w:val="28"/>
        </w:rPr>
        <w:t xml:space="preserve">[Dictionary.com – maintain as true, Merriam Webster – to say that something is true, Vocabulary.com – to affirm something is to confirm that it is true, Oxford dictionaries – accept the validity of, </w:t>
      </w:r>
      <w:proofErr w:type="spellStart"/>
      <w:r w:rsidRPr="00536B9E">
        <w:rPr>
          <w:rStyle w:val="Style13ptBold"/>
          <w:b/>
          <w:sz w:val="28"/>
          <w:szCs w:val="28"/>
        </w:rPr>
        <w:t>Thefreedictionary</w:t>
      </w:r>
      <w:proofErr w:type="spellEnd"/>
      <w:r w:rsidRPr="00536B9E">
        <w:rPr>
          <w:rStyle w:val="Style13ptBold"/>
          <w:b/>
          <w:sz w:val="28"/>
          <w:szCs w:val="28"/>
        </w:rPr>
        <w:t xml:space="preserve"> – assert to be true]</w:t>
      </w:r>
    </w:p>
    <w:p w14:paraId="58681EE9" w14:textId="77777777" w:rsidR="00E71B16" w:rsidRDefault="00E71B16" w:rsidP="00E71B16">
      <w:pPr>
        <w:pStyle w:val="Heading4"/>
      </w:pPr>
      <w:r>
        <w:t>Independently use a comparative worlds paradigm</w:t>
      </w:r>
    </w:p>
    <w:p w14:paraId="2D76B1C1" w14:textId="77777777" w:rsidR="00E71B16" w:rsidRDefault="00E71B16" w:rsidP="00E71B16">
      <w:r>
        <w:t xml:space="preserve">1] Real world – People actually enact the policy options they debate about, which would be how comparative worlds would debate it.  Real world is key for education and also ow on proximity to debate- </w:t>
      </w:r>
    </w:p>
    <w:p w14:paraId="3D8DFC2D" w14:textId="77777777" w:rsidR="00E71B16" w:rsidRPr="00D54598" w:rsidRDefault="00E71B16" w:rsidP="00E71B16">
      <w:r>
        <w:t xml:space="preserve">2] Inclusivity- debate is not just a space for debates on gender; other things and literature is excluded under their </w:t>
      </w:r>
      <w:proofErr w:type="spellStart"/>
      <w:r>
        <w:t>rotb</w:t>
      </w:r>
      <w:proofErr w:type="spellEnd"/>
      <w:r>
        <w:t xml:space="preserve">; ow on accessibility </w:t>
      </w:r>
      <w:proofErr w:type="spellStart"/>
      <w:r>
        <w:t>bc</w:t>
      </w:r>
      <w:proofErr w:type="spellEnd"/>
      <w:r>
        <w:t xml:space="preserve"> it means some people who </w:t>
      </w:r>
      <w:proofErr w:type="spellStart"/>
      <w:r>
        <w:t>cant</w:t>
      </w:r>
      <w:proofErr w:type="spellEnd"/>
      <w:r>
        <w:t xml:space="preserve"> access gender lit or didn’t prep it would be excluded; also means better for clash because more arguments can be interacted with </w:t>
      </w:r>
      <w:proofErr w:type="spellStart"/>
      <w:r>
        <w:t>eachother</w:t>
      </w:r>
      <w:proofErr w:type="spellEnd"/>
    </w:p>
    <w:p w14:paraId="49569781" w14:textId="77777777" w:rsidR="004C6BC8" w:rsidRPr="004C6BC8" w:rsidRDefault="004C6BC8" w:rsidP="004C6BC8"/>
    <w:p w14:paraId="0965C734" w14:textId="77777777" w:rsidR="004C6BC8" w:rsidRPr="00B622C5" w:rsidRDefault="004C6BC8" w:rsidP="004C6BC8">
      <w:pPr>
        <w:pStyle w:val="Heading4"/>
      </w:pPr>
      <w:r w:rsidRPr="00B622C5">
        <w:lastRenderedPageBreak/>
        <w:t>The starting point of morality is practical reason.</w:t>
      </w:r>
    </w:p>
    <w:p w14:paraId="2097BCC8" w14:textId="77777777" w:rsidR="004C6BC8" w:rsidRPr="00B622C5" w:rsidRDefault="004C6BC8" w:rsidP="004C6BC8">
      <w:pPr>
        <w:pStyle w:val="Heading4"/>
      </w:pPr>
      <w:r w:rsidRPr="00B622C5">
        <w:t xml:space="preserve">1] Regress: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w:t>
      </w:r>
    </w:p>
    <w:p w14:paraId="7832028B" w14:textId="77777777" w:rsidR="004C6BC8" w:rsidRPr="00B622C5" w:rsidRDefault="004C6BC8" w:rsidP="004C6BC8">
      <w:pPr>
        <w:pStyle w:val="Heading4"/>
      </w:pPr>
      <w:r w:rsidRPr="00B622C5">
        <w:t xml:space="preserve">2] Action theory: only evaluating action through reason solves since reason is key to evaluate intent, </w:t>
      </w:r>
      <w:r w:rsidRPr="00B622C5">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3198900C" w14:textId="77777777" w:rsidR="004C6BC8" w:rsidRDefault="004C6BC8" w:rsidP="004C6BC8">
      <w:pPr>
        <w:pStyle w:val="Heading4"/>
      </w:pPr>
      <w:r w:rsidRPr="00B622C5">
        <w:t xml:space="preserve">And, reason must be universal – </w:t>
      </w:r>
      <w:r>
        <w:t xml:space="preserve">[A] </w:t>
      </w:r>
      <w:r w:rsidRPr="00B622C5">
        <w:t>a reason for one agent is a reason for another agent. I can’t say 2+2=4 is true for me but not for you – that’s incoherent.</w:t>
      </w:r>
    </w:p>
    <w:p w14:paraId="44DAF872" w14:textId="77777777" w:rsidR="004C6BC8" w:rsidRPr="000049C5" w:rsidRDefault="004C6BC8" w:rsidP="004C6BC8">
      <w:pPr>
        <w:pStyle w:val="Heading4"/>
        <w:spacing w:before="2" w:after="2" w:line="240" w:lineRule="auto"/>
        <w:rPr>
          <w:rFonts w:cs="Times New Roman"/>
          <w:color w:val="000000" w:themeColor="text1"/>
        </w:rPr>
      </w:pPr>
      <w:r>
        <w:rPr>
          <w:rFonts w:cs="Times New Roman"/>
          <w:color w:val="000000" w:themeColor="text1"/>
        </w:rPr>
        <w:t xml:space="preserve">[B] </w:t>
      </w:r>
      <w:r w:rsidRPr="00A84118">
        <w:rPr>
          <w:rFonts w:cs="Times New Roman"/>
          <w:color w:val="000000" w:themeColor="text1"/>
        </w:rPr>
        <w:t>any non-universalizable norm justifies someone’s ability to impede on your ends i.e. if I want to eat ice cream, I must recognize that others may affect my pursuit of that end and demand the value of my end be recognized by others.</w:t>
      </w:r>
    </w:p>
    <w:p w14:paraId="7E04E4D2" w14:textId="77777777" w:rsidR="001E55C1" w:rsidRDefault="004C6BC8" w:rsidP="004C6BC8">
      <w:pPr>
        <w:pStyle w:val="Heading4"/>
      </w:pPr>
      <w:r w:rsidRPr="00B622C5">
        <w:rPr>
          <w:rFonts w:cs="Times New Roman"/>
        </w:rPr>
        <w:t xml:space="preserve">Thus, counter-methodology: Vote negative to engage in a liberation strategy of universal reason. This entails a starting point where we abstract from individual perspectives to understand the </w:t>
      </w:r>
      <w:proofErr w:type="gramStart"/>
      <w:r w:rsidRPr="00B622C5">
        <w:rPr>
          <w:rFonts w:cs="Times New Roman"/>
        </w:rPr>
        <w:t>universal, and</w:t>
      </w:r>
      <w:proofErr w:type="gramEnd"/>
      <w:r w:rsidRPr="00B622C5">
        <w:rPr>
          <w:rFonts w:cs="Times New Roman"/>
        </w:rPr>
        <w:t xml:space="preserve"> use this starting point to apply it to empirical institutions and agents. No perms: Uniquely non-sensical in a method debate: a] </w:t>
      </w:r>
      <w:r w:rsidRPr="00B622C5">
        <w:t xml:space="preserve">It assumes a notion of fiat that doesn’t make sense without a plan. The 1AC role of the ballot forefronts the performative and methodological which a permutation steals away b] non-T </w:t>
      </w:r>
      <w:proofErr w:type="spellStart"/>
      <w:r w:rsidRPr="00B622C5">
        <w:t>affs</w:t>
      </w:r>
      <w:proofErr w:type="spellEnd"/>
      <w:r w:rsidRPr="00B622C5">
        <w:t xml:space="preserve"> shouldn’t get perms since they can defend literally anything in the world – thus the burden is on them to prove their advocacy is the best solution to the problem they propose. </w:t>
      </w:r>
    </w:p>
    <w:p w14:paraId="3B0F1474" w14:textId="77777777" w:rsidR="001E55C1" w:rsidRDefault="001E55C1" w:rsidP="004C6BC8">
      <w:pPr>
        <w:pStyle w:val="Heading4"/>
      </w:pPr>
    </w:p>
    <w:p w14:paraId="28D0EAA3" w14:textId="77777777" w:rsidR="004C6BC8" w:rsidRDefault="004C6BC8" w:rsidP="004C6BC8">
      <w:pPr>
        <w:pStyle w:val="Heading4"/>
      </w:pPr>
      <w:r>
        <w:t>Prefer:</w:t>
      </w:r>
    </w:p>
    <w:p w14:paraId="71C648AD" w14:textId="51F03E32" w:rsidR="004C6BC8" w:rsidRDefault="004C6BC8" w:rsidP="004C6BC8">
      <w:pPr>
        <w:pStyle w:val="Heading4"/>
        <w:rPr>
          <w:rFonts w:eastAsiaTheme="minorEastAsia"/>
        </w:rPr>
      </w:pPr>
      <w:r w:rsidRPr="000049C5">
        <w:t>Performativity:</w:t>
      </w:r>
      <w:r w:rsidRPr="00EC244C">
        <w:t xml:space="preserve"> </w:t>
      </w:r>
      <w:r w:rsidRPr="00F060EA">
        <w:t>freedom is the key to the process of justification of arguments</w:t>
      </w:r>
      <w:r>
        <w:t xml:space="preserve"> through talking freely</w:t>
      </w:r>
      <w:r w:rsidRPr="00F060EA">
        <w:t xml:space="preserve">. Willing that we should abide by their ethical theory presupposes that we own ourselves in the first place. Thus, denying self-ownership in the round automatically implies the truth of the </w:t>
      </w:r>
      <w:proofErr w:type="spellStart"/>
      <w:r w:rsidRPr="00F060EA">
        <w:t>aff</w:t>
      </w:r>
      <w:proofErr w:type="spellEnd"/>
      <w:r w:rsidRPr="00F060EA">
        <w:t xml:space="preserve"> framework.</w:t>
      </w:r>
      <w:r w:rsidRPr="00F060EA">
        <w:rPr>
          <w:rFonts w:eastAsiaTheme="minorEastAsia"/>
        </w:rPr>
        <w:t xml:space="preserve">  </w:t>
      </w:r>
    </w:p>
    <w:p w14:paraId="088EEB1F" w14:textId="3E55BB90" w:rsidR="00FB5B8A" w:rsidRDefault="00FB5B8A" w:rsidP="00FB5B8A"/>
    <w:p w14:paraId="5649FBB0" w14:textId="77777777" w:rsidR="00FB5B8A" w:rsidRPr="00CF7742" w:rsidRDefault="00FB5B8A" w:rsidP="00FB5B8A">
      <w:pPr>
        <w:pStyle w:val="Heading4"/>
        <w:rPr>
          <w:rFonts w:cs="Calibri"/>
        </w:rPr>
      </w:pPr>
      <w:r w:rsidRPr="00CF7742">
        <w:rPr>
          <w:rFonts w:cs="Calibri"/>
        </w:rPr>
        <w:lastRenderedPageBreak/>
        <w:t>Humans naturally aspire to be rational and impulsively attempt to reason from a perspective that transcends their unique circumstance – proves my framework is key to a stable concept of agency. This hijacks other frameworks because they presuppose a consistent concept of an agent; without a clearly defined agent, ethics have nothing to guide and fail.</w:t>
      </w:r>
    </w:p>
    <w:p w14:paraId="6F4985FF" w14:textId="77777777" w:rsidR="00FB5B8A" w:rsidRPr="00CF7742" w:rsidRDefault="00FB5B8A" w:rsidP="00FB5B8A">
      <w:pPr>
        <w:spacing w:after="0" w:line="240" w:lineRule="auto"/>
        <w:rPr>
          <w:rFonts w:eastAsia="Arial"/>
        </w:rPr>
      </w:pPr>
      <w:proofErr w:type="spellStart"/>
      <w:r w:rsidRPr="00CF7742">
        <w:rPr>
          <w:b/>
          <w:sz w:val="26"/>
          <w:szCs w:val="26"/>
        </w:rPr>
        <w:t>Velleman</w:t>
      </w:r>
      <w:proofErr w:type="spellEnd"/>
      <w:r w:rsidRPr="00CF7742">
        <w:rPr>
          <w:b/>
          <w:sz w:val="26"/>
          <w:szCs w:val="26"/>
        </w:rPr>
        <w:t xml:space="preserve"> 05</w:t>
      </w:r>
      <w:r w:rsidRPr="00CF7742">
        <w:rPr>
          <w:sz w:val="26"/>
          <w:szCs w:val="26"/>
        </w:rPr>
        <w:t xml:space="preserve"> </w:t>
      </w:r>
      <w:r w:rsidRPr="00CF7742">
        <w:t xml:space="preserve">David J. </w:t>
      </w:r>
      <w:proofErr w:type="spellStart"/>
      <w:r w:rsidRPr="00CF7742">
        <w:rPr>
          <w:rFonts w:eastAsia="Arial"/>
        </w:rPr>
        <w:t>Velleman</w:t>
      </w:r>
      <w:proofErr w:type="spellEnd"/>
      <w:r w:rsidRPr="00CF7742">
        <w:t>. [</w:t>
      </w:r>
      <w:r w:rsidRPr="00CF7742">
        <w:rPr>
          <w:rFonts w:eastAsia="Arial"/>
        </w:rPr>
        <w:t xml:space="preserve">J. David </w:t>
      </w:r>
      <w:proofErr w:type="spellStart"/>
      <w:r w:rsidRPr="00CF7742">
        <w:rPr>
          <w:rFonts w:eastAsia="Arial"/>
        </w:rPr>
        <w:t>Velleman</w:t>
      </w:r>
      <w:proofErr w:type="spellEnd"/>
      <w:r w:rsidRPr="00CF7742">
        <w:rPr>
          <w:rFonts w:eastAsia="Arial"/>
        </w:rPr>
        <w:t xml:space="preserve"> is Professor of Philosophy and Bioethics at New York University and Miller Research Professor of Philosophy at Johns Hopkins University. He primarily works in the areas of ethics, moral psychology, and related areas such as the philosophy of action, and practical reasoning], “A Brief Introduction to Kantian Ethics.” </w:t>
      </w:r>
      <w:r w:rsidRPr="00CF7742">
        <w:rPr>
          <w:rFonts w:eastAsia="Arial"/>
          <w:i/>
        </w:rPr>
        <w:t>Self to Self</w:t>
      </w:r>
      <w:r w:rsidRPr="00CF7742">
        <w:rPr>
          <w:rFonts w:eastAsia="Arial"/>
        </w:rPr>
        <w:t xml:space="preserve">. Cambridge: Cambridge UP, 2005, </w:t>
      </w:r>
      <w:hyperlink r:id="rId32" w:history="1">
        <w:r w:rsidRPr="00CF7742">
          <w:rPr>
            <w:rStyle w:val="Hyperlink"/>
            <w:rFonts w:eastAsia="Arial"/>
          </w:rPr>
          <w:t>https://www.cambridge.org/us/academic/subjects/philosophy/logic/self-self-selected-essays?format=HB&amp;isbn=9780521854290</w:t>
        </w:r>
      </w:hyperlink>
      <w:r w:rsidRPr="00CF7742">
        <w:rPr>
          <w:rFonts w:eastAsia="Arial"/>
        </w:rPr>
        <w:t xml:space="preserve"> SHS AK</w:t>
      </w:r>
    </w:p>
    <w:p w14:paraId="72A67986" w14:textId="77777777" w:rsidR="00FB5B8A" w:rsidRPr="00CF7742" w:rsidRDefault="00FB5B8A" w:rsidP="00FB5B8A">
      <w:pPr>
        <w:rPr>
          <w:u w:val="single"/>
        </w:rPr>
      </w:pPr>
      <w:r w:rsidRPr="00CF7742">
        <w:rPr>
          <w:sz w:val="16"/>
        </w:rPr>
        <w:t xml:space="preserve">Why not accept "I don't feel like it" as a reason on this occasion while resolving to reject it on all others? </w:t>
      </w:r>
      <w:proofErr w:type="gramStart"/>
      <w:r w:rsidRPr="00CF7742">
        <w:rPr>
          <w:sz w:val="16"/>
        </w:rPr>
        <w:t>Again</w:t>
      </w:r>
      <w:proofErr w:type="gramEnd"/>
      <w:r w:rsidRPr="00CF7742">
        <w:rPr>
          <w:sz w:val="16"/>
        </w:rPr>
        <w:t xml:space="preserve"> the answer is clear</w:t>
      </w:r>
      <w:r w:rsidRPr="00CF7742">
        <w:rPr>
          <w:u w:val="single"/>
        </w:rPr>
        <w:t>. If a consideration counts as a reason for acting, then it counts as a reason whenever it is true.</w:t>
      </w:r>
      <w:r w:rsidRPr="00CF7742">
        <w:rPr>
          <w:sz w:val="16"/>
        </w:rPr>
        <w:t xml:space="preserve"> And on almost any morning, it's true that you don't feel like swimming. Yet if a reason is a consideration that counts as a reason whenever it's true, then why not dispense with reasons so defined? Why do you feel compelled to act for that sort of consideration? Since you don't feel like swimming, you might just roll over and go back to sleep, without bothering to find some fact about the present occasion from which you're willing to draw similar implications whenever it is true. How odd, to skip exercise in order to sleep and then to lose sleep anyway over finding a reason not to exercise! ~ Kant offered an explanation for this oddity. </w:t>
      </w:r>
      <w:r w:rsidRPr="00CF7742">
        <w:rPr>
          <w:u w:val="single"/>
        </w:rPr>
        <w:t xml:space="preserve">His explanation was that </w:t>
      </w:r>
      <w:r w:rsidRPr="00CF7742">
        <w:rPr>
          <w:highlight w:val="green"/>
          <w:u w:val="single"/>
        </w:rPr>
        <w:t>acting for reasons is</w:t>
      </w:r>
      <w:r w:rsidRPr="00CF7742">
        <w:rPr>
          <w:u w:val="single"/>
        </w:rPr>
        <w:t xml:space="preserve"> essential to </w:t>
      </w:r>
      <w:proofErr w:type="gramStart"/>
      <w:r w:rsidRPr="00CF7742">
        <w:rPr>
          <w:u w:val="single"/>
        </w:rPr>
        <w:t>being</w:t>
      </w:r>
      <w:proofErr w:type="gramEnd"/>
      <w:r w:rsidRPr="00CF7742">
        <w:rPr>
          <w:u w:val="single"/>
        </w:rPr>
        <w:t xml:space="preserve"> a person, </w:t>
      </w:r>
      <w:r w:rsidRPr="00CF7742">
        <w:rPr>
          <w:highlight w:val="green"/>
          <w:u w:val="single"/>
        </w:rPr>
        <w:t>something</w:t>
      </w:r>
      <w:r w:rsidRPr="00CF7742">
        <w:rPr>
          <w:u w:val="single"/>
        </w:rPr>
        <w:t xml:space="preserve"> to which </w:t>
      </w:r>
      <w:r w:rsidRPr="00CF7742">
        <w:rPr>
          <w:highlight w:val="green"/>
          <w:u w:val="single"/>
        </w:rPr>
        <w:t>you unavoidably aspire</w:t>
      </w:r>
      <w:r w:rsidRPr="00CF7742">
        <w:rPr>
          <w:u w:val="single"/>
        </w:rPr>
        <w:t>. In order to be a person, you must have an approach to the world that is sufficiently coherent and constant to qualify as a single, continuing point-of-view</w:t>
      </w:r>
      <w:r w:rsidRPr="00CF7742">
        <w:rPr>
          <w:sz w:val="16"/>
        </w:rPr>
        <w:t xml:space="preserve">. And part of what gives you a single, continuing point-of-view is your acceptance of particular considerations as having the force of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acting for reasons in a broader context, as part of what makes you a person. One of Kant's greatest insights, however, is that a unified, persisting person is something that you are because it is something that you aspire to be. Antecedently to this aspiration, you are merely aware that you are capable of being a person. </w:t>
      </w:r>
      <w:r w:rsidRPr="00CF7742">
        <w:rPr>
          <w:u w:val="single"/>
        </w:rPr>
        <w:t xml:space="preserve">But any creature aware that it is capable of being a person, in Kant's view, is ipso facto capable of appreciating the value of being </w:t>
      </w:r>
      <w:r w:rsidRPr="00CF7742">
        <w:rPr>
          <w:highlight w:val="green"/>
          <w:u w:val="single"/>
        </w:rPr>
        <w:t>a</w:t>
      </w:r>
      <w:r w:rsidRPr="00CF7742">
        <w:rPr>
          <w:u w:val="single"/>
        </w:rPr>
        <w:t xml:space="preserve"> </w:t>
      </w:r>
      <w:r w:rsidRPr="00CF7742">
        <w:rPr>
          <w:highlight w:val="green"/>
          <w:u w:val="single"/>
        </w:rPr>
        <w:t>person</w:t>
      </w:r>
      <w:r w:rsidRPr="00CF7742">
        <w:rPr>
          <w:u w:val="single"/>
        </w:rPr>
        <w:t xml:space="preserve"> and </w:t>
      </w:r>
      <w:r w:rsidRPr="00CF7742">
        <w:rPr>
          <w:highlight w:val="green"/>
          <w:u w:val="single"/>
        </w:rPr>
        <w:t>is</w:t>
      </w:r>
      <w:r w:rsidRPr="00CF7742">
        <w:rPr>
          <w:u w:val="single"/>
        </w:rPr>
        <w:t xml:space="preserve"> therefore ineluctably </w:t>
      </w:r>
      <w:r w:rsidRPr="00CF7742">
        <w:rPr>
          <w:highlight w:val="green"/>
          <w:u w:val="single"/>
        </w:rPr>
        <w:t>drawn toward</w:t>
      </w:r>
      <w:r w:rsidRPr="00CF7742">
        <w:rPr>
          <w:u w:val="single"/>
        </w:rPr>
        <w:t xml:space="preserve"> personhood. The value of being a person in the present context is precisely that of </w:t>
      </w:r>
      <w:r w:rsidRPr="00CF7742">
        <w:rPr>
          <w:highlight w:val="green"/>
          <w:u w:val="single"/>
        </w:rPr>
        <w:t>attaining a perspective that transcends that of your current</w:t>
      </w:r>
      <w:r w:rsidRPr="00CF7742">
        <w:rPr>
          <w:u w:val="single"/>
        </w:rPr>
        <w:t xml:space="preserve">, momentary </w:t>
      </w:r>
      <w:r w:rsidRPr="00CF7742">
        <w:rPr>
          <w:highlight w:val="green"/>
          <w:u w:val="single"/>
        </w:rPr>
        <w:t>self. Right now, you would rather sleep than swim, but</w:t>
      </w:r>
      <w:r w:rsidRPr="00CF7742">
        <w:rPr>
          <w:u w:val="single"/>
        </w:rPr>
        <w:t xml:space="preserve"> </w:t>
      </w:r>
      <w:r w:rsidRPr="00CF7742">
        <w:rPr>
          <w:highlight w:val="green"/>
          <w:u w:val="single"/>
        </w:rPr>
        <w:t>you also know that if you</w:t>
      </w:r>
      <w:r w:rsidRPr="00CF7742">
        <w:rPr>
          <w:u w:val="single"/>
        </w:rPr>
        <w:t xml:space="preserve"> roll over and </w:t>
      </w:r>
      <w:r w:rsidRPr="00CF7742">
        <w:rPr>
          <w:highlight w:val="green"/>
          <w:u w:val="single"/>
        </w:rPr>
        <w:t>sleep, you will wake up wishing that you had swum</w:t>
      </w:r>
      <w:r w:rsidRPr="00CF7742">
        <w:rPr>
          <w:u w:val="single"/>
        </w:rPr>
        <w:t xml:space="preserve"> instead. </w:t>
      </w:r>
      <w:r w:rsidRPr="00CF7742">
        <w:rPr>
          <w:highlight w:val="green"/>
          <w:u w:val="single"/>
        </w:rPr>
        <w:t xml:space="preserve">Your impulse to </w:t>
      </w:r>
      <w:r w:rsidRPr="00CF7742">
        <w:rPr>
          <w:u w:val="single"/>
        </w:rPr>
        <w:t xml:space="preserve">decide on the basis of </w:t>
      </w:r>
      <w:r w:rsidRPr="00CF7742">
        <w:rPr>
          <w:highlight w:val="green"/>
          <w:u w:val="single"/>
        </w:rPr>
        <w:t>reason</w:t>
      </w:r>
      <w:r w:rsidRPr="00CF7742">
        <w:rPr>
          <w:u w:val="single"/>
        </w:rPr>
        <w:t xml:space="preserve">s </w:t>
      </w:r>
      <w:r w:rsidRPr="00CF7742">
        <w:rPr>
          <w:highlight w:val="green"/>
          <w:u w:val="single"/>
        </w:rPr>
        <w:t>is</w:t>
      </w:r>
      <w:r w:rsidRPr="00CF7742">
        <w:rPr>
          <w:u w:val="single"/>
        </w:rPr>
        <w:t xml:space="preserve">, at bottom, </w:t>
      </w:r>
      <w:r w:rsidRPr="00CF7742">
        <w:rPr>
          <w:highlight w:val="green"/>
          <w:u w:val="single"/>
        </w:rPr>
        <w:t>an impulse to transcend</w:t>
      </w:r>
      <w:r w:rsidRPr="00CF7742">
        <w:rPr>
          <w:u w:val="single"/>
        </w:rPr>
        <w:t xml:space="preserve"> these </w:t>
      </w:r>
      <w:r w:rsidRPr="00CF7742">
        <w:rPr>
          <w:highlight w:val="green"/>
          <w:u w:val="single"/>
        </w:rPr>
        <w:t xml:space="preserve">momentary points-of-view, by attaining a </w:t>
      </w:r>
      <w:r w:rsidRPr="00CF7742">
        <w:rPr>
          <w:u w:val="single"/>
        </w:rPr>
        <w:t xml:space="preserve">single, </w:t>
      </w:r>
      <w:r w:rsidRPr="00CF7742">
        <w:rPr>
          <w:highlight w:val="green"/>
          <w:u w:val="single"/>
        </w:rPr>
        <w:t xml:space="preserve">constant </w:t>
      </w:r>
      <w:r w:rsidRPr="00CF7742">
        <w:rPr>
          <w:u w:val="single"/>
        </w:rPr>
        <w:t>perspective that can subsume both of them.</w:t>
      </w:r>
      <w:r w:rsidRPr="00CF7742">
        <w:rPr>
          <w:sz w:val="16"/>
        </w:rPr>
        <w:t xml:space="preserve"> It's like the impulse to attain a higher vantage point that overlooks the restricted standpoints on the ground below. </w:t>
      </w:r>
      <w:r w:rsidRPr="00CF7742">
        <w:rPr>
          <w:u w:val="single"/>
        </w:rPr>
        <w:t xml:space="preserve">This higher vantage point is neither your current perspective of wanting to sleep, nor your later perspective of wishing you had swum, but a </w:t>
      </w:r>
      <w:r w:rsidRPr="00CF7742">
        <w:rPr>
          <w:highlight w:val="green"/>
          <w:u w:val="single"/>
        </w:rPr>
        <w:t>timeless perspective</w:t>
      </w:r>
      <w:r w:rsidRPr="00CF7742">
        <w:rPr>
          <w:u w:val="single"/>
        </w:rPr>
        <w:t xml:space="preserve"> from which you can reflect on now-wanting-this and later-wishing-that, a perspective from which you can attach constant practical implications to these considerations and come to a stable, all-things-considered judgment.</w:t>
      </w:r>
    </w:p>
    <w:p w14:paraId="7A096A8F" w14:textId="77777777" w:rsidR="00FB5B8A" w:rsidRPr="00FB5B8A" w:rsidRDefault="00FB5B8A" w:rsidP="00FB5B8A"/>
    <w:p w14:paraId="5EDF1067" w14:textId="77777777" w:rsidR="004C6BC8" w:rsidRPr="000049C5" w:rsidRDefault="004C6BC8" w:rsidP="004C6BC8">
      <w:pPr>
        <w:pStyle w:val="Heading4"/>
      </w:pPr>
      <w:r>
        <w:lastRenderedPageBreak/>
        <w:t>Negate:</w:t>
      </w:r>
    </w:p>
    <w:p w14:paraId="2E852D7D" w14:textId="77777777" w:rsidR="004C6BC8" w:rsidRPr="00B622C5" w:rsidRDefault="004C6BC8" w:rsidP="004C6BC8">
      <w:pPr>
        <w:pStyle w:val="Heading4"/>
      </w:pPr>
      <w:r>
        <w:rPr>
          <w:shd w:val="clear" w:color="auto" w:fill="FFFFFF"/>
        </w:rPr>
        <w:t xml:space="preserve">[1] </w:t>
      </w:r>
      <w:r w:rsidRPr="00B622C5">
        <w:t xml:space="preserve">Only </w:t>
      </w:r>
      <w:proofErr w:type="spellStart"/>
      <w:r w:rsidRPr="00B622C5">
        <w:t>univeralizable</w:t>
      </w:r>
      <w:proofErr w:type="spellEnd"/>
      <w:r w:rsidRPr="00B622C5">
        <w:t xml:space="preserve"> reason can effectively explain the perspectives of agents – that’s the best method for combatting oppression.</w:t>
      </w:r>
    </w:p>
    <w:p w14:paraId="462EE7BB" w14:textId="77777777" w:rsidR="004C6BC8" w:rsidRPr="00B622C5" w:rsidRDefault="004C6BC8" w:rsidP="004C6BC8">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107CCA2D" w14:textId="77777777" w:rsidR="004C6BC8" w:rsidRPr="00B622C5" w:rsidRDefault="004C6BC8" w:rsidP="004C6BC8">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particular desires</w:t>
      </w:r>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in a given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cannot consistently will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1E64E0A3" w14:textId="39AC4CD6" w:rsidR="004C6BC8" w:rsidRDefault="004C6BC8" w:rsidP="004C6BC8">
      <w:pPr>
        <w:pStyle w:val="Heading4"/>
      </w:pPr>
    </w:p>
    <w:p w14:paraId="2D67BCF3" w14:textId="396FFE6A" w:rsidR="004C6BC8" w:rsidRPr="004071A3" w:rsidRDefault="004C6BC8" w:rsidP="004C6BC8">
      <w:r>
        <w:t xml:space="preserve"> [2] Negate, the appropriation of outer space by private entities is just </w:t>
      </w:r>
    </w:p>
    <w:p w14:paraId="7FC87A89" w14:textId="77777777" w:rsidR="004C6BC8" w:rsidRDefault="004C6BC8" w:rsidP="004C6BC8">
      <w:pPr>
        <w:pStyle w:val="Heading4"/>
        <w:spacing w:before="0"/>
        <w:rPr>
          <w:rFonts w:ascii="Times New Roman" w:hAnsi="Times New Roman" w:cs="Times New Roman"/>
          <w:sz w:val="24"/>
        </w:rPr>
      </w:pPr>
      <w:r>
        <w:rPr>
          <w:rFonts w:cs="Calibri"/>
        </w:rPr>
        <w:lastRenderedPageBreak/>
        <w:t xml:space="preserve">Acquisition of property can never be unjust – to create rights violations, there must already be an owner of the property being violated, but that presupposes its appropriation by another entity. </w:t>
      </w:r>
    </w:p>
    <w:p w14:paraId="4911C5D1" w14:textId="77777777" w:rsidR="004C6BC8" w:rsidRPr="009D349B" w:rsidRDefault="004C6BC8" w:rsidP="004C6BC8">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33" w:history="1">
        <w:r w:rsidRPr="009647D6">
          <w:rPr>
            <w:rStyle w:val="Hyperlink"/>
          </w:rPr>
          <w:t>https://www.cambridge.org/core/journals/social-philosophy-and-policy/article/abs/there-is-no-such-thing-as-an-unjust-initial-acquisition/5C744D6D5C525E711EC75F75BF7109D1)[brackets</w:t>
        </w:r>
      </w:hyperlink>
      <w:r>
        <w:t xml:space="preserve"> for gen </w:t>
      </w:r>
      <w:proofErr w:type="spellStart"/>
      <w:r>
        <w:t>lang</w:t>
      </w:r>
      <w:proofErr w:type="spellEnd"/>
      <w:r>
        <w:t>]</w:t>
      </w:r>
      <w:r w:rsidRPr="009D349B">
        <w:t>//</w:t>
      </w:r>
      <w:proofErr w:type="spellStart"/>
      <w:r w:rsidRPr="009D349B">
        <w:t>phs</w:t>
      </w:r>
      <w:proofErr w:type="spellEnd"/>
      <w:r w:rsidRPr="009D349B">
        <w:t xml:space="preserve"> </w:t>
      </w:r>
      <w:proofErr w:type="spellStart"/>
      <w:r w:rsidRPr="009D349B">
        <w:t>st</w:t>
      </w:r>
      <w:proofErr w:type="spellEnd"/>
    </w:p>
    <w:p w14:paraId="49DEBA11" w14:textId="77777777" w:rsidR="004C6BC8" w:rsidRDefault="004C6BC8" w:rsidP="004C6BC8">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 xml:space="preserve">Such a wrong would in the nature of the case </w:t>
      </w:r>
      <w:r w:rsidRPr="009D349B">
        <w:rPr>
          <w:rStyle w:val="Emphasis"/>
        </w:rPr>
        <w:lastRenderedPageBreak/>
        <w:t>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6588EC27" w14:textId="15668086" w:rsidR="004C6BC8" w:rsidRDefault="004C6BC8" w:rsidP="004C6BC8">
      <w:pPr>
        <w:pStyle w:val="Heading4"/>
        <w:rPr>
          <w:rFonts w:cs="Calibri"/>
        </w:rPr>
      </w:pPr>
    </w:p>
    <w:p w14:paraId="185D4516" w14:textId="77777777" w:rsidR="004613E4" w:rsidRPr="004613E4" w:rsidRDefault="004613E4" w:rsidP="004613E4"/>
    <w:p w14:paraId="1FC72E15" w14:textId="523B340F" w:rsidR="004C6BC8" w:rsidRDefault="00B55D08" w:rsidP="00F601E6">
      <w:pPr>
        <w:rPr>
          <w:lang w:eastAsia="zh-CN"/>
        </w:rPr>
      </w:pPr>
      <w:r>
        <w:rPr>
          <w:lang w:eastAsia="zh-CN"/>
        </w:rPr>
        <w:t>3</w:t>
      </w:r>
    </w:p>
    <w:p w14:paraId="650EAEC5" w14:textId="77777777" w:rsidR="00B55D08" w:rsidRPr="009B5A78" w:rsidRDefault="00B55D08" w:rsidP="00B55D08">
      <w:pPr>
        <w:rPr>
          <w:sz w:val="32"/>
          <w:szCs w:val="32"/>
          <w:lang w:eastAsia="zh-CN"/>
        </w:rPr>
      </w:pPr>
      <w:r w:rsidRPr="009B5A78">
        <w:rPr>
          <w:rFonts w:hint="eastAsia"/>
          <w:sz w:val="32"/>
          <w:szCs w:val="32"/>
          <w:lang w:eastAsia="zh-CN"/>
        </w:rPr>
        <w:t>我</w:t>
      </w:r>
      <w:r w:rsidRPr="009B5A78">
        <w:rPr>
          <w:rFonts w:ascii="Microsoft YaHei" w:eastAsia="Microsoft YaHei" w:hAnsi="Microsoft YaHei" w:cs="Microsoft YaHei" w:hint="eastAsia"/>
          <w:sz w:val="32"/>
          <w:szCs w:val="32"/>
          <w:lang w:eastAsia="zh-CN"/>
        </w:rPr>
        <w:t>总</w:t>
      </w:r>
      <w:r w:rsidRPr="009B5A78">
        <w:rPr>
          <w:rFonts w:hint="eastAsia"/>
          <w:sz w:val="32"/>
          <w:szCs w:val="32"/>
          <w:lang w:eastAsia="zh-CN"/>
        </w:rPr>
        <w:t>是很</w:t>
      </w:r>
      <w:r w:rsidRPr="009B5A78">
        <w:rPr>
          <w:rFonts w:ascii="Microsoft YaHei" w:eastAsia="Microsoft YaHei" w:hAnsi="Microsoft YaHei" w:cs="Microsoft YaHei" w:hint="eastAsia"/>
          <w:sz w:val="32"/>
          <w:szCs w:val="32"/>
          <w:lang w:eastAsia="zh-CN"/>
        </w:rPr>
        <w:t>伤</w:t>
      </w:r>
      <w:r w:rsidRPr="009B5A78">
        <w:rPr>
          <w:rFonts w:hint="eastAsia"/>
          <w:sz w:val="32"/>
          <w:szCs w:val="32"/>
          <w:lang w:eastAsia="zh-CN"/>
        </w:rPr>
        <w:t>心</w:t>
      </w:r>
    </w:p>
    <w:p w14:paraId="7F53A68F" w14:textId="77777777" w:rsidR="00B55D08" w:rsidRPr="009B5A78" w:rsidRDefault="00B55D08" w:rsidP="00B55D08">
      <w:pPr>
        <w:rPr>
          <w:sz w:val="32"/>
          <w:szCs w:val="32"/>
          <w:lang w:eastAsia="zh-CN"/>
        </w:rPr>
      </w:pPr>
      <w:r w:rsidRPr="009B5A78">
        <w:rPr>
          <w:rFonts w:hint="eastAsia"/>
          <w:sz w:val="32"/>
          <w:szCs w:val="32"/>
          <w:lang w:eastAsia="zh-CN"/>
        </w:rPr>
        <w:t>一切都</w:t>
      </w:r>
      <w:r w:rsidRPr="009B5A78">
        <w:rPr>
          <w:rFonts w:ascii="Microsoft YaHei" w:eastAsia="Microsoft YaHei" w:hAnsi="Microsoft YaHei" w:cs="Microsoft YaHei" w:hint="eastAsia"/>
          <w:sz w:val="32"/>
          <w:szCs w:val="32"/>
          <w:lang w:eastAsia="zh-CN"/>
        </w:rPr>
        <w:t>让</w:t>
      </w:r>
      <w:r w:rsidRPr="009B5A78">
        <w:rPr>
          <w:rFonts w:hint="eastAsia"/>
          <w:sz w:val="32"/>
          <w:szCs w:val="32"/>
          <w:lang w:eastAsia="zh-CN"/>
        </w:rPr>
        <w:t>我不开心</w:t>
      </w:r>
    </w:p>
    <w:p w14:paraId="4729CAD6" w14:textId="77777777" w:rsidR="00B55D08" w:rsidRPr="009B5A78" w:rsidRDefault="00B55D08" w:rsidP="00B55D08">
      <w:pPr>
        <w:rPr>
          <w:sz w:val="32"/>
          <w:szCs w:val="32"/>
          <w:lang w:eastAsia="zh-CN"/>
        </w:rPr>
      </w:pPr>
      <w:r w:rsidRPr="009B5A78">
        <w:rPr>
          <w:rFonts w:hint="eastAsia"/>
          <w:sz w:val="32"/>
          <w:szCs w:val="32"/>
          <w:lang w:eastAsia="zh-CN"/>
        </w:rPr>
        <w:t>我希望找到幸福</w:t>
      </w:r>
    </w:p>
    <w:p w14:paraId="29575C92" w14:textId="77777777" w:rsidR="00B55D08" w:rsidRPr="009B5A78" w:rsidRDefault="00B55D08" w:rsidP="00B55D08">
      <w:pPr>
        <w:rPr>
          <w:sz w:val="32"/>
          <w:szCs w:val="32"/>
          <w:lang w:eastAsia="zh-CN"/>
        </w:rPr>
      </w:pPr>
      <w:r w:rsidRPr="009B5A78">
        <w:rPr>
          <w:rFonts w:hint="eastAsia"/>
          <w:sz w:val="32"/>
          <w:szCs w:val="32"/>
          <w:lang w:eastAsia="zh-CN"/>
        </w:rPr>
        <w:t>我喜</w:t>
      </w:r>
      <w:r w:rsidRPr="009B5A78">
        <w:rPr>
          <w:rFonts w:ascii="Microsoft YaHei" w:eastAsia="Microsoft YaHei" w:hAnsi="Microsoft YaHei" w:cs="Microsoft YaHei" w:hint="eastAsia"/>
          <w:sz w:val="32"/>
          <w:szCs w:val="32"/>
          <w:lang w:eastAsia="zh-CN"/>
        </w:rPr>
        <w:t>欢</w:t>
      </w:r>
      <w:r w:rsidRPr="009B5A78">
        <w:rPr>
          <w:rFonts w:hint="eastAsia"/>
          <w:sz w:val="32"/>
          <w:szCs w:val="32"/>
          <w:lang w:eastAsia="zh-CN"/>
        </w:rPr>
        <w:t>做</w:t>
      </w:r>
      <w:r w:rsidRPr="009B5A78">
        <w:rPr>
          <w:rFonts w:ascii="Microsoft YaHei" w:eastAsia="Microsoft YaHei" w:hAnsi="Microsoft YaHei" w:cs="Microsoft YaHei" w:hint="eastAsia"/>
          <w:sz w:val="32"/>
          <w:szCs w:val="32"/>
          <w:lang w:eastAsia="zh-CN"/>
        </w:rPr>
        <w:t>饭</w:t>
      </w:r>
      <w:r w:rsidRPr="009B5A78">
        <w:rPr>
          <w:rFonts w:hint="eastAsia"/>
          <w:sz w:val="32"/>
          <w:szCs w:val="32"/>
          <w:lang w:eastAsia="zh-CN"/>
        </w:rPr>
        <w:t>和吃</w:t>
      </w:r>
      <w:r w:rsidRPr="009B5A78">
        <w:rPr>
          <w:rFonts w:ascii="Microsoft YaHei" w:eastAsia="Microsoft YaHei" w:hAnsi="Microsoft YaHei" w:cs="Microsoft YaHei" w:hint="eastAsia"/>
          <w:sz w:val="32"/>
          <w:szCs w:val="32"/>
          <w:lang w:eastAsia="zh-CN"/>
        </w:rPr>
        <w:t>东</w:t>
      </w:r>
      <w:r w:rsidRPr="009B5A78">
        <w:rPr>
          <w:rFonts w:hint="eastAsia"/>
          <w:sz w:val="32"/>
          <w:szCs w:val="32"/>
          <w:lang w:eastAsia="zh-CN"/>
        </w:rPr>
        <w:t>西</w:t>
      </w:r>
    </w:p>
    <w:p w14:paraId="178704F0" w14:textId="77777777" w:rsidR="00B55D08" w:rsidRDefault="00B55D08" w:rsidP="00B55D08">
      <w:pPr>
        <w:rPr>
          <w:rFonts w:ascii="Microsoft YaHei" w:eastAsia="Microsoft YaHei" w:hAnsi="Microsoft YaHei" w:cs="Microsoft YaHei"/>
          <w:sz w:val="32"/>
          <w:szCs w:val="32"/>
        </w:rPr>
      </w:pPr>
      <w:proofErr w:type="spellStart"/>
      <w:r w:rsidRPr="009B5A78">
        <w:rPr>
          <w:rFonts w:hint="eastAsia"/>
          <w:sz w:val="32"/>
          <w:szCs w:val="32"/>
        </w:rPr>
        <w:t>但</w:t>
      </w:r>
      <w:r w:rsidRPr="009B5A78">
        <w:rPr>
          <w:rFonts w:ascii="Microsoft YaHei" w:eastAsia="Microsoft YaHei" w:hAnsi="Microsoft YaHei" w:cs="Microsoft YaHei" w:hint="eastAsia"/>
          <w:sz w:val="32"/>
          <w:szCs w:val="32"/>
        </w:rPr>
        <w:t>这还</w:t>
      </w:r>
      <w:r w:rsidRPr="009B5A78">
        <w:rPr>
          <w:rFonts w:hint="eastAsia"/>
          <w:sz w:val="32"/>
          <w:szCs w:val="32"/>
        </w:rPr>
        <w:t>不</w:t>
      </w:r>
      <w:r w:rsidRPr="009B5A78">
        <w:rPr>
          <w:rFonts w:ascii="Microsoft YaHei" w:eastAsia="Microsoft YaHei" w:hAnsi="Microsoft YaHei" w:cs="Microsoft YaHei" w:hint="eastAsia"/>
          <w:sz w:val="32"/>
          <w:szCs w:val="32"/>
        </w:rPr>
        <w:t>够</w:t>
      </w:r>
      <w:proofErr w:type="spellEnd"/>
    </w:p>
    <w:p w14:paraId="31D531FF" w14:textId="77777777" w:rsidR="00B55D08" w:rsidRPr="009B5A78" w:rsidRDefault="00B55D08" w:rsidP="00B55D08">
      <w:r>
        <w:t xml:space="preserve">This outweighs because I’m an underrepresented minority- it does more to break from the white hetero sphere of the </w:t>
      </w:r>
      <w:proofErr w:type="spellStart"/>
      <w:r>
        <w:t>aff</w:t>
      </w:r>
      <w:proofErr w:type="spellEnd"/>
    </w:p>
    <w:p w14:paraId="2520594D" w14:textId="77777777" w:rsidR="00B55D08" w:rsidRDefault="00B55D08" w:rsidP="00F601E6"/>
    <w:p w14:paraId="69AE6D96" w14:textId="49FBBA3B" w:rsidR="00B55D08" w:rsidRDefault="00B55D08" w:rsidP="00B55D08">
      <w:pPr>
        <w:pStyle w:val="Heading2"/>
      </w:pPr>
      <w:r>
        <w:lastRenderedPageBreak/>
        <w:t>4</w:t>
      </w:r>
    </w:p>
    <w:p w14:paraId="5057219E" w14:textId="39B1940C" w:rsidR="004C6BC8" w:rsidRDefault="004C6BC8" w:rsidP="00F601E6"/>
    <w:p w14:paraId="432E5322" w14:textId="41D54E17" w:rsidR="00D54598" w:rsidRPr="00494887" w:rsidRDefault="00D54598" w:rsidP="00D54598">
      <w:pPr>
        <w:pStyle w:val="Heading4"/>
      </w:pPr>
      <w:r w:rsidRPr="00494887">
        <w:t>The term witch, bewitching, and witchcraft is used to describe how women don’t fit traditional roles</w:t>
      </w:r>
      <w:r>
        <w:t>. You should drop them for their in round discourse because misogyny creates an unsafe debate space where no one can participate in the benefits of the activity</w:t>
      </w:r>
      <w:r w:rsidR="00C15411">
        <w:t>. You can achieve liberation without using the word “witch”, just say “other”</w:t>
      </w:r>
    </w:p>
    <w:p w14:paraId="633826E7" w14:textId="77777777" w:rsidR="00D54598" w:rsidRPr="00494887" w:rsidRDefault="00D54598" w:rsidP="00D54598">
      <w:pPr>
        <w:rPr>
          <w:b/>
          <w:bCs/>
          <w:sz w:val="26"/>
          <w:szCs w:val="26"/>
        </w:rPr>
      </w:pPr>
      <w:r w:rsidRPr="00494887">
        <w:rPr>
          <w:b/>
          <w:bCs/>
          <w:sz w:val="26"/>
          <w:szCs w:val="26"/>
        </w:rPr>
        <w:t>Smith 16</w:t>
      </w:r>
      <w:r>
        <w:rPr>
          <w:b/>
          <w:bCs/>
          <w:sz w:val="26"/>
          <w:szCs w:val="26"/>
        </w:rPr>
        <w:t xml:space="preserve"> </w:t>
      </w:r>
      <w:r w:rsidRPr="00494887">
        <w:rPr>
          <w:sz w:val="21"/>
          <w:szCs w:val="21"/>
        </w:rPr>
        <w:t>[Michelle Smith, 1-5-2016, "Witches both mad and bad: a loaded word with an ugly history," Conversation, https://theconversation.com/witches-both-mad-and-bad-a-loaded-word-with-an-ugly-history-52804]</w:t>
      </w:r>
    </w:p>
    <w:p w14:paraId="7C3946CD" w14:textId="77777777" w:rsidR="00D54598" w:rsidRPr="002904E3" w:rsidRDefault="00D54598" w:rsidP="00D54598">
      <w:pPr>
        <w:rPr>
          <w:b/>
          <w:bCs/>
          <w:u w:val="single"/>
        </w:rPr>
      </w:pPr>
      <w:r w:rsidRPr="00D54598">
        <w:rPr>
          <w:b/>
          <w:bCs/>
          <w:u w:val="single"/>
        </w:rPr>
        <w:t xml:space="preserve">Bewitching women </w:t>
      </w:r>
      <w:r w:rsidRPr="00D54598">
        <w:rPr>
          <w:sz w:val="16"/>
        </w:rPr>
        <w:t>Throughout</w:t>
      </w:r>
      <w:r w:rsidRPr="00494887">
        <w:rPr>
          <w:sz w:val="16"/>
        </w:rPr>
        <w:t xml:space="preserve"> Western history, women have typically been denied the right to own property, become literate or educated, pursue careers, participate in politics, or make decisions independently of their husbands. Within this context of men’s control over women, the one limited power that women possessed was their ability to be sexually attractive to men. It is therefore no surprise that beauty is linked with witchcraft in language. </w:t>
      </w:r>
      <w:r w:rsidRPr="002904E3">
        <w:rPr>
          <w:b/>
          <w:bCs/>
          <w:u w:val="single"/>
        </w:rPr>
        <w:t xml:space="preserve">A number of terms that relate to women’s ability to appear desirable have magical connotations. Most obviously, </w:t>
      </w:r>
      <w:r w:rsidRPr="002904E3">
        <w:rPr>
          <w:b/>
          <w:bCs/>
          <w:highlight w:val="green"/>
          <w:u w:val="single"/>
        </w:rPr>
        <w:t>a woman can be “bewitching” in her power to lure men</w:t>
      </w:r>
      <w:r w:rsidRPr="002904E3">
        <w:rPr>
          <w:b/>
          <w:bCs/>
          <w:u w:val="single"/>
        </w:rPr>
        <w:t>.</w:t>
      </w:r>
      <w:r w:rsidRPr="00494887">
        <w:rPr>
          <w:sz w:val="16"/>
        </w:rPr>
        <w:t xml:space="preserve"> In addition, the word “glamour”, which we associate with stylish women, originally referred to the occult and a spell that made the viewer see an object or person differently to its actual appearance. </w:t>
      </w:r>
      <w:r w:rsidRPr="002904E3">
        <w:rPr>
          <w:b/>
          <w:bCs/>
          <w:highlight w:val="green"/>
          <w:u w:val="single"/>
        </w:rPr>
        <w:t>Cultural stereotypes of witches as old</w:t>
      </w:r>
      <w:r w:rsidRPr="002904E3">
        <w:rPr>
          <w:b/>
          <w:bCs/>
          <w:u w:val="single"/>
        </w:rPr>
        <w:t xml:space="preserve">, ugly, and childless situate the </w:t>
      </w:r>
      <w:r w:rsidRPr="002904E3">
        <w:rPr>
          <w:b/>
          <w:bCs/>
          <w:highlight w:val="green"/>
          <w:u w:val="single"/>
        </w:rPr>
        <w:t>witch as the antithesis of everything a desirable woman should be.</w:t>
      </w:r>
      <w:r w:rsidRPr="002904E3">
        <w:rPr>
          <w:b/>
          <w:bCs/>
          <w:u w:val="single"/>
        </w:rPr>
        <w:t xml:space="preserve"> </w:t>
      </w:r>
      <w:proofErr w:type="gramStart"/>
      <w:r w:rsidRPr="00494887">
        <w:rPr>
          <w:sz w:val="16"/>
        </w:rPr>
        <w:t>Nevertheless</w:t>
      </w:r>
      <w:proofErr w:type="gramEnd"/>
      <w:r w:rsidRPr="00494887">
        <w:rPr>
          <w:sz w:val="16"/>
        </w:rPr>
        <w:t xml:space="preserve"> Diana </w:t>
      </w:r>
      <w:proofErr w:type="spellStart"/>
      <w:r w:rsidRPr="00494887">
        <w:rPr>
          <w:sz w:val="16"/>
        </w:rPr>
        <w:t>Purkiss</w:t>
      </w:r>
      <w:proofErr w:type="spellEnd"/>
      <w:r w:rsidRPr="00494887">
        <w:rPr>
          <w:sz w:val="16"/>
        </w:rPr>
        <w:t xml:space="preserve"> has shown that the Early Modern witch was not only a patriarchal creation. She explains that women, in some ways like those who are now embracing the “Mad F—king Witches” title</w:t>
      </w:r>
      <w:r w:rsidRPr="00494887">
        <w:rPr>
          <w:sz w:val="16"/>
          <w:highlight w:val="green"/>
        </w:rPr>
        <w:t>,</w:t>
      </w:r>
      <w:r w:rsidRPr="00494887">
        <w:rPr>
          <w:sz w:val="16"/>
        </w:rPr>
        <w:t xml:space="preserve"> </w:t>
      </w:r>
      <w:r w:rsidRPr="002904E3">
        <w:rPr>
          <w:b/>
          <w:bCs/>
          <w:u w:val="single"/>
        </w:rPr>
        <w:t>Other women have also sent up Dutton’s text, sharing photos of household brooms on their doorsteps as well as images of witches in popular culture.</w:t>
      </w:r>
      <w:r w:rsidRPr="00494887">
        <w:rPr>
          <w:sz w:val="16"/>
        </w:rPr>
        <w:t xml:space="preserve"> It even won international attention, with a tweet from the account of American TV superhero Jessica Jones</w:t>
      </w:r>
      <w:r w:rsidRPr="002904E3">
        <w:rPr>
          <w:b/>
          <w:bCs/>
          <w:u w:val="single"/>
        </w:rPr>
        <w:t xml:space="preserve">. While Maiden and others have embraced </w:t>
      </w:r>
      <w:r w:rsidRPr="002904E3">
        <w:rPr>
          <w:b/>
          <w:bCs/>
          <w:highlight w:val="green"/>
          <w:u w:val="single"/>
        </w:rPr>
        <w:t>the term “</w:t>
      </w:r>
      <w:r w:rsidRPr="00494887">
        <w:rPr>
          <w:sz w:val="16"/>
        </w:rPr>
        <w:t>mad</w:t>
      </w:r>
      <w:r w:rsidRPr="002904E3">
        <w:rPr>
          <w:b/>
          <w:bCs/>
          <w:u w:val="single"/>
        </w:rPr>
        <w:t xml:space="preserve"> </w:t>
      </w:r>
      <w:r w:rsidRPr="002904E3">
        <w:rPr>
          <w:b/>
          <w:bCs/>
          <w:highlight w:val="green"/>
          <w:u w:val="single"/>
        </w:rPr>
        <w:t>witch”, there’s little doubt that it was intended as an insult.</w:t>
      </w:r>
      <w:r w:rsidRPr="002904E3">
        <w:rPr>
          <w:b/>
          <w:bCs/>
          <w:u w:val="single"/>
        </w:rPr>
        <w:t xml:space="preserve"> </w:t>
      </w:r>
      <w:r w:rsidRPr="002904E3">
        <w:rPr>
          <w:b/>
          <w:bCs/>
          <w:highlight w:val="green"/>
          <w:u w:val="single"/>
        </w:rPr>
        <w:t xml:space="preserve">Labelling a </w:t>
      </w:r>
      <w:proofErr w:type="gramStart"/>
      <w:r w:rsidRPr="002904E3">
        <w:rPr>
          <w:b/>
          <w:bCs/>
          <w:highlight w:val="green"/>
          <w:u w:val="single"/>
        </w:rPr>
        <w:t>woman</w:t>
      </w:r>
      <w:proofErr w:type="gramEnd"/>
      <w:r w:rsidRPr="002904E3">
        <w:rPr>
          <w:b/>
          <w:bCs/>
          <w:highlight w:val="green"/>
          <w:u w:val="single"/>
        </w:rPr>
        <w:t xml:space="preserve"> a</w:t>
      </w:r>
      <w:r w:rsidRPr="002904E3">
        <w:rPr>
          <w:b/>
          <w:bCs/>
          <w:u w:val="single"/>
        </w:rPr>
        <w:t xml:space="preserve"> “</w:t>
      </w:r>
      <w:r w:rsidRPr="00494887">
        <w:rPr>
          <w:sz w:val="16"/>
        </w:rPr>
        <w:t>mad</w:t>
      </w:r>
      <w:r w:rsidRPr="002904E3">
        <w:rPr>
          <w:b/>
          <w:bCs/>
          <w:u w:val="single"/>
        </w:rPr>
        <w:t xml:space="preserve"> </w:t>
      </w:r>
      <w:r w:rsidRPr="002904E3">
        <w:rPr>
          <w:b/>
          <w:bCs/>
          <w:highlight w:val="green"/>
          <w:u w:val="single"/>
        </w:rPr>
        <w:t>witch</w:t>
      </w:r>
      <w:r w:rsidRPr="002904E3">
        <w:rPr>
          <w:b/>
          <w:bCs/>
          <w:u w:val="single"/>
        </w:rPr>
        <w:t xml:space="preserve">” </w:t>
      </w:r>
      <w:r w:rsidRPr="002904E3">
        <w:rPr>
          <w:b/>
          <w:bCs/>
          <w:highlight w:val="green"/>
          <w:u w:val="single"/>
        </w:rPr>
        <w:t>brings</w:t>
      </w:r>
      <w:r w:rsidRPr="002904E3">
        <w:rPr>
          <w:b/>
          <w:bCs/>
          <w:u w:val="single"/>
        </w:rPr>
        <w:t xml:space="preserve"> with it </w:t>
      </w:r>
      <w:r w:rsidRPr="002904E3">
        <w:rPr>
          <w:b/>
          <w:bCs/>
          <w:highlight w:val="green"/>
          <w:u w:val="single"/>
        </w:rPr>
        <w:t>unmistakable discomfort and hatred</w:t>
      </w:r>
      <w:r w:rsidRPr="002904E3">
        <w:rPr>
          <w:b/>
          <w:bCs/>
          <w:u w:val="single"/>
        </w:rPr>
        <w:t>. It is a name that was applied to former Prime Minister Julia Gillard on the infamous “</w:t>
      </w:r>
      <w:r w:rsidRPr="002904E3">
        <w:rPr>
          <w:b/>
          <w:bCs/>
          <w:highlight w:val="green"/>
          <w:u w:val="single"/>
        </w:rPr>
        <w:t>Ditch the witch</w:t>
      </w:r>
      <w:r w:rsidRPr="002904E3">
        <w:rPr>
          <w:b/>
          <w:bCs/>
          <w:u w:val="single"/>
        </w:rPr>
        <w:t xml:space="preserve">” placard, </w:t>
      </w:r>
      <w:r w:rsidRPr="002904E3">
        <w:rPr>
          <w:b/>
          <w:bCs/>
          <w:highlight w:val="green"/>
          <w:u w:val="single"/>
        </w:rPr>
        <w:t>providing a clear instance</w:t>
      </w:r>
      <w:r w:rsidRPr="002904E3">
        <w:rPr>
          <w:b/>
          <w:bCs/>
          <w:u w:val="single"/>
        </w:rPr>
        <w:t xml:space="preserve"> of </w:t>
      </w:r>
      <w:r w:rsidRPr="002904E3">
        <w:rPr>
          <w:b/>
          <w:bCs/>
          <w:highlight w:val="green"/>
          <w:u w:val="single"/>
        </w:rPr>
        <w:t>how the word continues to be evoked for strong women who do not embrace traditional feminine roles in the home.</w:t>
      </w:r>
    </w:p>
    <w:p w14:paraId="6052793C" w14:textId="77777777" w:rsidR="00B55D08" w:rsidRDefault="00B55D08" w:rsidP="00D54598">
      <w:pPr>
        <w:rPr>
          <w:rStyle w:val="Style13ptBold"/>
        </w:rPr>
      </w:pPr>
    </w:p>
    <w:sectPr w:rsidR="00B55D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D37494"/>
    <w:multiLevelType w:val="hybridMultilevel"/>
    <w:tmpl w:val="854424DA"/>
    <w:lvl w:ilvl="0" w:tplc="8E6EB2B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5A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651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E55C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0241D"/>
    <w:rsid w:val="00304393"/>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3E4"/>
    <w:rsid w:val="0047482C"/>
    <w:rsid w:val="00475436"/>
    <w:rsid w:val="0048047E"/>
    <w:rsid w:val="00482AF9"/>
    <w:rsid w:val="00496BB2"/>
    <w:rsid w:val="004B37B4"/>
    <w:rsid w:val="004B72B4"/>
    <w:rsid w:val="004C0314"/>
    <w:rsid w:val="004C0D3D"/>
    <w:rsid w:val="004C213E"/>
    <w:rsid w:val="004C376C"/>
    <w:rsid w:val="004C657F"/>
    <w:rsid w:val="004C6BC8"/>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61B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0CA"/>
    <w:rsid w:val="005C4515"/>
    <w:rsid w:val="005C5602"/>
    <w:rsid w:val="005C74A6"/>
    <w:rsid w:val="005D3B4D"/>
    <w:rsid w:val="005D615C"/>
    <w:rsid w:val="005E1860"/>
    <w:rsid w:val="005F063B"/>
    <w:rsid w:val="005F192D"/>
    <w:rsid w:val="005F24C8"/>
    <w:rsid w:val="005F26AF"/>
    <w:rsid w:val="005F3E43"/>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A2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5A7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D08"/>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411"/>
    <w:rsid w:val="00C203FA"/>
    <w:rsid w:val="00C244F5"/>
    <w:rsid w:val="00C3164F"/>
    <w:rsid w:val="00C31B5E"/>
    <w:rsid w:val="00C34D3E"/>
    <w:rsid w:val="00C35B37"/>
    <w:rsid w:val="00C3747A"/>
    <w:rsid w:val="00C37F29"/>
    <w:rsid w:val="00C56DCC"/>
    <w:rsid w:val="00C57075"/>
    <w:rsid w:val="00C72AFE"/>
    <w:rsid w:val="00C80FD0"/>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598"/>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B1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B8A"/>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CB7B05"/>
  <w14:defaultImageDpi w14:val="300"/>
  <w15:docId w15:val="{0078EBA4-A335-2641-B8C9-4EB21D964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1B16"/>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E71B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1B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1B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CD - Cite,no read,No Spacing211,No Spacing12,No Spacing2111,ta,small space,Heading 2 Char2 Char,TAG,Heading 2 Char1 Char Char,Heading 2 Char Char Char Char,No Spacing112,No Spacing1121,Tags"/>
    <w:basedOn w:val="Normal"/>
    <w:next w:val="Normal"/>
    <w:link w:val="Heading4Char"/>
    <w:uiPriority w:val="9"/>
    <w:unhideWhenUsed/>
    <w:qFormat/>
    <w:rsid w:val="00E71B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1B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1B16"/>
  </w:style>
  <w:style w:type="character" w:customStyle="1" w:styleId="Heading1Char">
    <w:name w:val="Heading 1 Char"/>
    <w:aliases w:val="Pocket Char"/>
    <w:basedOn w:val="DefaultParagraphFont"/>
    <w:link w:val="Heading1"/>
    <w:uiPriority w:val="9"/>
    <w:rsid w:val="00E71B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1B1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1B1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CD - Cite Char,no read Char,No Spacing211 Char,No Spacing12 Char,No Spacing2111 Char,ta Char,small space Char,Heading 2 Char2 Char Char,TAG Char"/>
    <w:basedOn w:val="DefaultParagraphFont"/>
    <w:link w:val="Heading4"/>
    <w:uiPriority w:val="9"/>
    <w:rsid w:val="00E71B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1B16"/>
    <w:rPr>
      <w:b/>
      <w:sz w:val="22"/>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E71B16"/>
    <w:rPr>
      <w:b w:val="0"/>
      <w:sz w:val="24"/>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Box"/>
    <w:basedOn w:val="DefaultParagraphFont"/>
    <w:link w:val="Emphasis1"/>
    <w:uiPriority w:val="20"/>
    <w:qFormat/>
    <w:rsid w:val="00E71B16"/>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E71B16"/>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E71B16"/>
    <w:rPr>
      <w:color w:val="auto"/>
      <w:u w:val="none"/>
    </w:rPr>
  </w:style>
  <w:style w:type="paragraph" w:styleId="DocumentMap">
    <w:name w:val="Document Map"/>
    <w:basedOn w:val="Normal"/>
    <w:link w:val="DocumentMapChar"/>
    <w:uiPriority w:val="99"/>
    <w:semiHidden/>
    <w:unhideWhenUsed/>
    <w:rsid w:val="00E71B1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71B16"/>
    <w:rPr>
      <w:rFonts w:ascii="Lucida Grande" w:hAnsi="Lucida Grande" w:cs="Lucida Grande"/>
    </w:rPr>
  </w:style>
  <w:style w:type="paragraph" w:customStyle="1" w:styleId="Emphasis1">
    <w:name w:val="Emphasis1"/>
    <w:basedOn w:val="Normal"/>
    <w:link w:val="Emphasis"/>
    <w:autoRedefine/>
    <w:uiPriority w:val="20"/>
    <w:qFormat/>
    <w:rsid w:val="009B5A78"/>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bdr w:val="single" w:sz="8" w:space="0" w:color="auto"/>
    </w:rPr>
  </w:style>
  <w:style w:type="paragraph" w:customStyle="1" w:styleId="textbold">
    <w:name w:val="text bold"/>
    <w:basedOn w:val="Normal"/>
    <w:uiPriority w:val="20"/>
    <w:qFormat/>
    <w:rsid w:val="004C6BC8"/>
    <w:pPr>
      <w:ind w:left="720"/>
      <w:jc w:val="both"/>
    </w:pPr>
    <w:rPr>
      <w:b/>
      <w:iCs/>
      <w:u w:val="single"/>
      <w:bdr w:val="single" w:sz="8" w:space="0" w:color="auto"/>
    </w:rPr>
  </w:style>
  <w:style w:type="paragraph" w:customStyle="1" w:styleId="CardIndented">
    <w:name w:val="Card (Indented)"/>
    <w:basedOn w:val="Normal"/>
    <w:link w:val="CardIndentedChar"/>
    <w:qFormat/>
    <w:rsid w:val="004C6BC8"/>
    <w:pPr>
      <w:ind w:left="288"/>
    </w:pPr>
    <w:rPr>
      <w:rFonts w:eastAsiaTheme="minorHAnsi"/>
      <w:szCs w:val="22"/>
    </w:rPr>
  </w:style>
  <w:style w:type="character" w:customStyle="1" w:styleId="CardIndentedChar">
    <w:name w:val="Card (Indented) Char"/>
    <w:basedOn w:val="DefaultParagraphFont"/>
    <w:link w:val="CardIndented"/>
    <w:rsid w:val="004C6BC8"/>
    <w:rPr>
      <w:rFonts w:ascii="Calibri" w:eastAsiaTheme="minorHAnsi" w:hAnsi="Calibri" w:cs="Calibri"/>
      <w:szCs w:val="22"/>
    </w:rPr>
  </w:style>
  <w:style w:type="character" w:customStyle="1" w:styleId="StyleStyle4CharTimesNewRoman11pt">
    <w:name w:val="Style Style4 Char + Times New Roman 11 pt"/>
    <w:basedOn w:val="DefaultParagraphFont"/>
    <w:rsid w:val="004C6BC8"/>
    <w:rPr>
      <w:rFonts w:ascii="Times New Roman" w:hAnsi="Times New Roman"/>
      <w:sz w:val="20"/>
      <w:szCs w:val="24"/>
      <w:u w:val="single"/>
      <w:lang w:val="en-US" w:eastAsia="en-US" w:bidi="ar-SA"/>
    </w:rPr>
  </w:style>
  <w:style w:type="paragraph" w:styleId="ListParagraph">
    <w:name w:val="List Paragraph"/>
    <w:basedOn w:val="Normal"/>
    <w:uiPriority w:val="34"/>
    <w:qFormat/>
    <w:rsid w:val="00D54598"/>
    <w:pPr>
      <w:ind w:left="720"/>
      <w:contextualSpacing/>
    </w:pPr>
  </w:style>
  <w:style w:type="character" w:customStyle="1" w:styleId="noprint">
    <w:name w:val="noprint"/>
    <w:basedOn w:val="DefaultParagraphFont"/>
    <w:rsid w:val="005C40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430755">
      <w:bodyDiv w:val="1"/>
      <w:marLeft w:val="0"/>
      <w:marRight w:val="0"/>
      <w:marTop w:val="0"/>
      <w:marBottom w:val="0"/>
      <w:divBdr>
        <w:top w:val="none" w:sz="0" w:space="0" w:color="auto"/>
        <w:left w:val="none" w:sz="0" w:space="0" w:color="auto"/>
        <w:bottom w:val="none" w:sz="0" w:space="0" w:color="auto"/>
        <w:right w:val="none" w:sz="0" w:space="0" w:color="auto"/>
      </w:divBdr>
    </w:div>
    <w:div w:id="11189127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Gilles_Deleuze" TargetMode="External"/><Relationship Id="rId18" Type="http://schemas.openxmlformats.org/officeDocument/2006/relationships/hyperlink" Target="https://en.wikipedia.org/wiki/Simone_de_Beauvoir" TargetMode="External"/><Relationship Id="rId26" Type="http://schemas.openxmlformats.org/officeDocument/2006/relationships/hyperlink" Target="https://en.wikipedia.org/wiki/Francis_Ponge" TargetMode="External"/><Relationship Id="rId3" Type="http://schemas.openxmlformats.org/officeDocument/2006/relationships/customXml" Target="../customXml/item3.xml"/><Relationship Id="rId21" Type="http://schemas.openxmlformats.org/officeDocument/2006/relationships/hyperlink" Target="https://en.wikipedia.org/wiki/Michel_Leiri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n.wikipedia.org/wiki/Michel_Foucault" TargetMode="External"/><Relationship Id="rId17" Type="http://schemas.openxmlformats.org/officeDocument/2006/relationships/hyperlink" Target="https://en.wikipedia.org/wiki/Roland_Barthes" TargetMode="External"/><Relationship Id="rId25" Type="http://schemas.openxmlformats.org/officeDocument/2006/relationships/hyperlink" Target="https://en.wikipedia.org/wiki/Jean-Fran%C3%A7ois_Lyotard" TargetMode="External"/><Relationship Id="rId33"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customXml" Target="../customXml/item2.xml"/><Relationship Id="rId16" Type="http://schemas.openxmlformats.org/officeDocument/2006/relationships/hyperlink" Target="https://en.wikipedia.org/wiki/Louis_Althusser" TargetMode="External"/><Relationship Id="rId20" Type="http://schemas.openxmlformats.org/officeDocument/2006/relationships/hyperlink" Target="https://en.wikipedia.org/wiki/F%C3%A9lix_Guattari" TargetMode="External"/><Relationship Id="rId29" Type="http://schemas.openxmlformats.org/officeDocument/2006/relationships/hyperlink" Target="https://en.wikipedia.org/wiki/French_petition_against_age_of_consent_law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Intellectual" TargetMode="External"/><Relationship Id="rId24" Type="http://schemas.openxmlformats.org/officeDocument/2006/relationships/hyperlink" Target="https://en.wikipedia.org/wiki/Jacques_Ranci%C3%A8re" TargetMode="External"/><Relationship Id="rId32" Type="http://schemas.openxmlformats.org/officeDocument/2006/relationships/hyperlink" Target="https://www.cambridge.org/us/academic/subjects/philosophy/logic/self-self-selected-essays?format=HB&amp;isbn=9780521854290" TargetMode="External"/><Relationship Id="rId5" Type="http://schemas.openxmlformats.org/officeDocument/2006/relationships/numbering" Target="numbering.xml"/><Relationship Id="rId15" Type="http://schemas.openxmlformats.org/officeDocument/2006/relationships/hyperlink" Target="https://en.wikipedia.org/wiki/Louis_Aragon" TargetMode="External"/><Relationship Id="rId23" Type="http://schemas.openxmlformats.org/officeDocument/2006/relationships/hyperlink" Target="https://en.wikipedia.org/wiki/Philippe_Sollers" TargetMode="External"/><Relationship Id="rId28" Type="http://schemas.openxmlformats.org/officeDocument/2006/relationships/hyperlink" Target="https://en.wikipedia.org/wiki/Petition" TargetMode="External"/><Relationship Id="rId10" Type="http://schemas.openxmlformats.org/officeDocument/2006/relationships/hyperlink" Target="https://en.wikipedia.org/wiki/Age_of_consent" TargetMode="External"/><Relationship Id="rId19" Type="http://schemas.openxmlformats.org/officeDocument/2006/relationships/hyperlink" Target="https://en.wikipedia.org/wiki/Jean-Paul_Sartre" TargetMode="External"/><Relationship Id="rId31" Type="http://schemas.openxmlformats.org/officeDocument/2006/relationships/hyperlink" Target="https://en.wikipedia.org/wiki/Age_of_consent_reform" TargetMode="External"/><Relationship Id="rId4" Type="http://schemas.openxmlformats.org/officeDocument/2006/relationships/customXml" Target="../customXml/item4.xml"/><Relationship Id="rId9" Type="http://schemas.openxmlformats.org/officeDocument/2006/relationships/hyperlink" Target="https://en.wikipedia.org/wiki/French_parliament" TargetMode="External"/><Relationship Id="rId14" Type="http://schemas.openxmlformats.org/officeDocument/2006/relationships/hyperlink" Target="https://en.wikipedia.org/wiki/Jacques_Derrida" TargetMode="External"/><Relationship Id="rId22" Type="http://schemas.openxmlformats.org/officeDocument/2006/relationships/hyperlink" Target="https://en.wikipedia.org/wiki/Alain_Robbe-Grillet" TargetMode="External"/><Relationship Id="rId27" Type="http://schemas.openxmlformats.org/officeDocument/2006/relationships/hyperlink" Target="https://en.wikipedia.org/w/index.php?title=Bernard_Besret&amp;action=edit&amp;redlink=1" TargetMode="External"/><Relationship Id="rId30" Type="http://schemas.openxmlformats.org/officeDocument/2006/relationships/hyperlink" Target="https://en.wikipedia.org/wiki/Statutory_rape"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3BABF28-C860-9D48-A17F-5A670AFCB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11</Pages>
  <Words>3918</Words>
  <Characters>22338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13</cp:revision>
  <dcterms:created xsi:type="dcterms:W3CDTF">2022-01-28T18:54:00Z</dcterms:created>
  <dcterms:modified xsi:type="dcterms:W3CDTF">2022-01-29T14:22:00Z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