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57D62" w14:textId="6FD031CE" w:rsidR="00EF6F9A" w:rsidRPr="00292DE7" w:rsidRDefault="00EF6F9A" w:rsidP="00EF6F9A">
      <w:pPr>
        <w:pStyle w:val="Heading2"/>
        <w:rPr>
          <w:rFonts w:cs="Times New Roman"/>
        </w:rPr>
      </w:pPr>
      <w:bookmarkStart w:id="0" w:name="_GoBack"/>
      <w:bookmarkEnd w:id="0"/>
      <w:r>
        <w:rPr>
          <w:rFonts w:cs="Times New Roman"/>
        </w:rPr>
        <w:t>Affect!</w:t>
      </w:r>
    </w:p>
    <w:p w14:paraId="5597D598" w14:textId="77777777" w:rsidR="00EF6F9A" w:rsidRPr="00F94DD6" w:rsidRDefault="00EF6F9A" w:rsidP="00EF6F9A">
      <w:pPr>
        <w:pStyle w:val="Heading4"/>
      </w:pPr>
      <w:r w:rsidRPr="00F94DD6">
        <w:rPr>
          <w:u w:val="single"/>
        </w:rPr>
        <w:t>Affect, the ability to experience and to be experienced, is the only constitutive feature</w:t>
      </w:r>
      <w:r w:rsidRPr="00F94DD6">
        <w:t xml:space="preserve">: I am experiencing my Word doc, my opponent, just as much as you are experiencing me. There is no way to escape affection. </w:t>
      </w:r>
    </w:p>
    <w:p w14:paraId="3CE9FC83" w14:textId="77777777" w:rsidR="00EF6F9A" w:rsidRPr="00F94DD6" w:rsidRDefault="00EF6F9A" w:rsidP="00EF6F9A">
      <w:pPr>
        <w:pStyle w:val="Heading4"/>
      </w:pPr>
      <w:r w:rsidRPr="00F94DD6">
        <w:rPr>
          <w:rFonts w:cs="Times New Roman"/>
        </w:rPr>
        <w:t>Thinking is only a feature of me and doesn’t determine the subject. Subjectivity is fluid—</w:t>
      </w:r>
      <w:r w:rsidRPr="00F94DD6">
        <w:t xml:space="preserve">the only intrinsic feature of the subject is that everything is changing, thus stable subjecthood fails. Emphasis on particular aspects of subjectivity only drives division in the proletariat. </w:t>
      </w:r>
    </w:p>
    <w:p w14:paraId="778914B0" w14:textId="77777777" w:rsidR="00EF6F9A" w:rsidRDefault="00EF6F9A" w:rsidP="00EF6F9A">
      <w:pPr>
        <w:pStyle w:val="Heading4"/>
        <w:rPr>
          <w:rFonts w:cs="Times New Roman"/>
        </w:rPr>
      </w:pPr>
      <w:r w:rsidRPr="00F94DD6">
        <w:rPr>
          <w:rFonts w:cs="Times New Roman"/>
        </w:rPr>
        <w:t>There are two kinds of affect, active and reactive— Active affect allows us to extend and compose our own boundaries whereas reactive affect only indicates our body’s ability to be affected.</w:t>
      </w:r>
      <w:r>
        <w:rPr>
          <w:rFonts w:cs="Times New Roman"/>
        </w:rPr>
        <w:t xml:space="preserve"> </w:t>
      </w:r>
      <w:r w:rsidRPr="007F2F51">
        <w:rPr>
          <w:rFonts w:cs="Times New Roman"/>
        </w:rPr>
        <w:t>Everything is constituted by relationality: so all negations manifest themselves as affirmation since the relations certainly existed and are valid, so all negation collapses to an affirmation of affective encounters.</w:t>
      </w:r>
      <w:r>
        <w:rPr>
          <w:rFonts w:cs="Times New Roman"/>
        </w:rPr>
        <w:t xml:space="preserve">  </w:t>
      </w:r>
    </w:p>
    <w:p w14:paraId="60EBA1BE" w14:textId="77777777" w:rsidR="00EF6F9A" w:rsidRPr="007A34FE" w:rsidRDefault="00EF6F9A" w:rsidP="00EF6F9A">
      <w:pPr>
        <w:pStyle w:val="Heading4"/>
        <w:rPr>
          <w:rFonts w:cs="Times New Roman"/>
        </w:rPr>
      </w:pPr>
      <w:r w:rsidRPr="00F94DD6">
        <w:rPr>
          <w:rFonts w:cs="Times New Roman"/>
        </w:rPr>
        <w:t>Embracing active affect is key to breaking free from the pervasive state mindset and instead creating spaces for resistance and radical change so that we can reform the state</w:t>
      </w:r>
    </w:p>
    <w:p w14:paraId="4AA8CEF7" w14:textId="77777777" w:rsidR="00EF6F9A" w:rsidRPr="00292DE7" w:rsidRDefault="00EF6F9A" w:rsidP="00EF6F9A">
      <w:pPr>
        <w:pStyle w:val="Heading4"/>
        <w:rPr>
          <w:rFonts w:cs="Times New Roman"/>
        </w:rPr>
      </w:pPr>
      <w:r w:rsidRPr="00292DE7">
        <w:rPr>
          <w:rFonts w:cs="Times New Roman"/>
        </w:rPr>
        <w:t xml:space="preserve">Thus, the standard and role of the ballot is to embrace a politics of active affect. To clarify, we reject things that reinforce stability or the majoritarian subject. Current systems of education only serve to produce majoritarian bodies that are unable to think outside the system and who become increasingly recognizable, killing the potential for any resistance.  </w:t>
      </w:r>
    </w:p>
    <w:p w14:paraId="4918A482" w14:textId="77777777" w:rsidR="00EF6F9A" w:rsidRPr="00292DE7" w:rsidRDefault="00EF6F9A" w:rsidP="00EF6F9A">
      <w:pPr>
        <w:rPr>
          <w:sz w:val="12"/>
          <w:szCs w:val="12"/>
        </w:rPr>
      </w:pPr>
      <w:r w:rsidRPr="00292DE7">
        <w:rPr>
          <w:rStyle w:val="Style13ptBold"/>
        </w:rPr>
        <w:t>Wallins</w:t>
      </w:r>
      <w:r w:rsidRPr="00292DE7">
        <w:rPr>
          <w:sz w:val="12"/>
          <w:szCs w:val="12"/>
        </w:rPr>
        <w:t>, Jason. “Deleuze and Guattari, Politics and Education.” Bloomsbur Publishing, 20</w:t>
      </w:r>
      <w:r w:rsidRPr="00292DE7">
        <w:rPr>
          <w:rStyle w:val="Style13ptBold"/>
        </w:rPr>
        <w:t>14</w:t>
      </w:r>
      <w:r w:rsidRPr="00292DE7">
        <w:rPr>
          <w:sz w:val="12"/>
          <w:szCs w:val="12"/>
        </w:rPr>
        <w:t>, Pgs. 119-121 SHS KS</w:t>
      </w:r>
    </w:p>
    <w:p w14:paraId="516BF3B4" w14:textId="77777777" w:rsidR="00EF6F9A" w:rsidRPr="00292DE7" w:rsidRDefault="00EF6F9A" w:rsidP="00EF6F9A">
      <w:pPr>
        <w:rPr>
          <w:rStyle w:val="StyleUnderline"/>
        </w:rPr>
      </w:pPr>
      <w:r w:rsidRPr="00292DE7">
        <w:rPr>
          <w:sz w:val="16"/>
        </w:rPr>
        <w:t>As a social machine through which ‘labour power and the socius as a whole is manufactured’</w:t>
      </w:r>
      <w:r w:rsidRPr="00292DE7">
        <w:rPr>
          <w:rStyle w:val="StyleUnderline"/>
        </w:rPr>
        <w:t xml:space="preserve">, </w:t>
      </w:r>
      <w:r w:rsidRPr="00292DE7">
        <w:rPr>
          <w:rStyle w:val="Emphasis"/>
          <w:highlight w:val="cyan"/>
        </w:rPr>
        <w:t>schooling figures in the production of social territories that already anticipate a certain kind of people</w:t>
      </w:r>
      <w:r w:rsidRPr="00292DE7">
        <w:rPr>
          <w:sz w:val="16"/>
        </w:rPr>
        <w:t xml:space="preserve"> (Guattari, 2009, p. 47). </w:t>
      </w:r>
      <w:r w:rsidRPr="00292DE7">
        <w:rPr>
          <w:rStyle w:val="StyleUnderline"/>
        </w:rPr>
        <w:t>And what kind of people does orthodox schooling seek to produce but a ‘molar public’, or, rather, a public regulated in the abstract image of segmentary social categories</w:t>
      </w:r>
      <w:r w:rsidRPr="00292DE7">
        <w:rPr>
          <w:sz w:val="16"/>
        </w:rPr>
        <w:t xml:space="preserve"> (age, gender, ethnicity, class, rank, achievement) (Deleuze and Guattari, 1987)? Such an aspiration is intimately wed to the territorializing powers of the State, for as Deleuze and Guattari argue (1983), </w:t>
      </w:r>
      <w:r w:rsidRPr="00292DE7">
        <w:rPr>
          <w:rStyle w:val="StyleUnderline"/>
        </w:rPr>
        <w:t>State power first requires a ‘representational subject’ as both an abstract and unconscious model in relation to which one is taught to desire</w:t>
      </w:r>
      <w:r w:rsidRPr="00292DE7">
        <w:rPr>
          <w:sz w:val="16"/>
        </w:rPr>
        <w:t xml:space="preserve">. As Massumi (2002) writes, </w:t>
      </w:r>
      <w:r w:rsidRPr="00292DE7">
        <w:rPr>
          <w:rStyle w:val="Emphasis"/>
          <w:highlight w:val="cyan"/>
        </w:rPr>
        <w:t>‘the subject is made to be in conformity with the systems that produces it, such that the subject reproduces the system</w:t>
      </w:r>
      <w:r w:rsidRPr="00292DE7">
        <w:rPr>
          <w:sz w:val="16"/>
        </w:rPr>
        <w:t xml:space="preserve">’ (p. 6). </w:t>
      </w:r>
      <w:r w:rsidRPr="00292DE7">
        <w:rPr>
          <w:rStyle w:val="StyleUnderline"/>
        </w:rPr>
        <w:t xml:space="preserve">Where </w:t>
      </w:r>
      <w:r w:rsidRPr="00292DE7">
        <w:rPr>
          <w:rStyle w:val="Emphasis"/>
          <w:highlight w:val="cyan"/>
        </w:rPr>
        <w:t>education</w:t>
      </w:r>
      <w:r w:rsidRPr="00292DE7">
        <w:rPr>
          <w:rStyle w:val="StyleUnderline"/>
        </w:rPr>
        <w:t xml:space="preserve"> </w:t>
      </w:r>
      <w:r w:rsidRPr="00292DE7">
        <w:rPr>
          <w:rStyle w:val="Emphasis"/>
          <w:highlight w:val="cyan"/>
        </w:rPr>
        <w:t>has</w:t>
      </w:r>
      <w:r w:rsidRPr="00292DE7">
        <w:rPr>
          <w:rStyle w:val="StyleUnderline"/>
        </w:rPr>
        <w:t xml:space="preserve"> historically </w:t>
      </w:r>
      <w:r w:rsidRPr="00292DE7">
        <w:rPr>
          <w:rStyle w:val="Emphasis"/>
          <w:highlight w:val="cyan"/>
        </w:rPr>
        <w:t>functioned</w:t>
      </w:r>
      <w:r w:rsidRPr="00292DE7">
        <w:rPr>
          <w:rStyle w:val="StyleUnderline"/>
        </w:rPr>
        <w:t xml:space="preserve"> to regulate institutional life according to such segmentary molar codes, its modes of production have taken </w:t>
      </w:r>
      <w:r w:rsidRPr="00292DE7">
        <w:rPr>
          <w:rStyle w:val="Emphasis"/>
          <w:highlight w:val="cyan"/>
        </w:rPr>
        <w:t>as</w:t>
      </w:r>
      <w:r w:rsidRPr="00292DE7">
        <w:rPr>
          <w:rStyle w:val="StyleUnderline"/>
        </w:rPr>
        <w:t xml:space="preserve"> their teleological goal </w:t>
      </w:r>
      <w:r w:rsidRPr="00292DE7">
        <w:rPr>
          <w:rStyle w:val="Emphasis"/>
          <w:highlight w:val="cyan"/>
        </w:rPr>
        <w:t>the production of a ‘majoritarian people’</w:t>
      </w:r>
      <w:r w:rsidRPr="00292DE7">
        <w:rPr>
          <w:rStyle w:val="StyleUnderline"/>
        </w:rPr>
        <w:t>, or, more accurately</w:t>
      </w:r>
      <w:r w:rsidRPr="00292DE7">
        <w:rPr>
          <w:rStyle w:val="Emphasis"/>
          <w:highlight w:val="cyan"/>
        </w:rPr>
        <w:t>, a people circuited to their representational self-similarity according to State thought</w:t>
      </w:r>
      <w:r w:rsidRPr="00292DE7">
        <w:rPr>
          <w:rStyle w:val="StyleUnderline"/>
        </w:rPr>
        <w:t>.</w:t>
      </w:r>
      <w:r w:rsidRPr="00292DE7">
        <w:rPr>
          <w:sz w:val="16"/>
        </w:rPr>
        <w:t xml:space="preserve"> This is, in part, the threat that Aoki (2005) identifies in the planned curriculum and its projection of an abstract essentialism upon a diversity of concrete educational assemblages (a school, a class, a curriculum, etc.). Apropos Deleuze, Aoki argues that </w:t>
      </w:r>
      <w:r w:rsidRPr="00292DE7">
        <w:rPr>
          <w:rStyle w:val="StyleUnderline"/>
        </w:rPr>
        <w:t xml:space="preserve">the standardization of education has effectively reduced difference to a matter of difference in degree. That is, in reference to the stratifying power of the planned curriculum, Aoki avers that </w:t>
      </w:r>
      <w:r w:rsidRPr="00292DE7">
        <w:rPr>
          <w:rStyle w:val="Emphasis"/>
          <w:highlight w:val="cyan"/>
        </w:rPr>
        <w:t>difference is always</w:t>
      </w:r>
      <w:r w:rsidRPr="00292DE7">
        <w:rPr>
          <w:rStyle w:val="Emphasis"/>
        </w:rPr>
        <w:t xml:space="preserve">-already </w:t>
      </w:r>
      <w:r w:rsidRPr="00292DE7">
        <w:rPr>
          <w:rStyle w:val="Emphasis"/>
          <w:highlight w:val="cyan"/>
        </w:rPr>
        <w:t xml:space="preserve">linked to an abstract image to which pedagogy ought to aspire and in conformity to which its operations become recognizable </w:t>
      </w:r>
      <w:r w:rsidRPr="00292DE7">
        <w:rPr>
          <w:rStyle w:val="Emphasis"/>
        </w:rPr>
        <w:t>as ‘education’ per se.</w:t>
      </w:r>
      <w:r w:rsidRPr="00292DE7">
        <w:rPr>
          <w:rStyle w:val="StyleUnderline"/>
        </w:rPr>
        <w:t xml:space="preserve"> </w:t>
      </w:r>
      <w:r w:rsidRPr="00292DE7">
        <w:rPr>
          <w:sz w:val="16"/>
        </w:rPr>
        <w:t xml:space="preserve">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w:t>
      </w:r>
      <w:r w:rsidRPr="00292DE7">
        <w:rPr>
          <w:rStyle w:val="Emphasis"/>
        </w:rPr>
        <w:t>the people are missing in education</w:t>
      </w:r>
      <w:r w:rsidRPr="00292DE7">
        <w:rPr>
          <w:sz w:val="16"/>
        </w:rPr>
        <w:t xml:space="preserve">? That is, </w:t>
      </w:r>
      <w:r w:rsidRPr="00292DE7">
        <w:rPr>
          <w:rStyle w:val="StyleUnderline"/>
        </w:rPr>
        <w:t>where education aspires to invest desire in the production of a ‘majoritarian’ or ‘molar’ public, the prospect of thinking singularities are stayed, not only through the paucity of enunciatory forms and images available for thinking education in the first place, but further, through the organization of the school’s enunciatory machines into vehicles of representation that repeat in molarizing forms of self-reflection, ‘majoritarian’ perspective, and dominant circuits of desiring-investment.</w:t>
      </w:r>
      <w:r w:rsidRPr="00292DE7">
        <w:rPr>
          <w:sz w:val="16"/>
        </w:rPr>
        <w:t xml:space="preserve"> Herein, the impulse of standardization obliterates alternative subject formations and the modes of counter-signifying enunciation that might palpate them. </w:t>
      </w:r>
      <w:r w:rsidRPr="00292DE7">
        <w:rPr>
          <w:rStyle w:val="StyleUnderline"/>
        </w:rPr>
        <w:t>Repelling the singular, the ‘majoritarian’ and standardizing impulse of education takes as its ‘fundamental’ mode of production the reification of common sense, or, rather, the territorialization of thought according to that which is given</w:t>
      </w:r>
      <w:r w:rsidRPr="00292DE7">
        <w:rPr>
          <w:sz w:val="16"/>
        </w:rPr>
        <w:t xml:space="preserve"> (that which everyone already knows). </w:t>
      </w:r>
      <w:r w:rsidRPr="00292DE7">
        <w:rPr>
          <w:rStyle w:val="StyleUnderline"/>
        </w:rPr>
        <w:t xml:space="preserve">Figuring in a mode ‘of identification that brings diversity in general to bear upon the form of the Same’, </w:t>
      </w:r>
      <w:r w:rsidRPr="00292DE7">
        <w:rPr>
          <w:rStyle w:val="Emphasis"/>
        </w:rPr>
        <w:t>common sense functions to stabilize patterns of social production by tethering them to molar orders of meaning and dominant regimes of social signification</w:t>
      </w:r>
      <w:r w:rsidRPr="00292DE7">
        <w:rPr>
          <w:sz w:val="16"/>
        </w:rPr>
        <w:t xml:space="preserve"> (Deleuze, 1990, p. 78). As Daignault argues, in so far as it repels the anomalous by reterritorializing it within prior systems of representation, common sense constitutes a significant and lingering problem in contemporary </w:t>
      </w:r>
      <w:r w:rsidRPr="00292DE7">
        <w:rPr>
          <w:rStyle w:val="Emphasis"/>
          <w:highlight w:val="cyan"/>
        </w:rPr>
        <w:t>education</w:t>
      </w:r>
      <w:r w:rsidRPr="00292DE7">
        <w:rPr>
          <w:sz w:val="16"/>
        </w:rPr>
        <w:t xml:space="preserve"> (Hwu, 2004). </w:t>
      </w:r>
      <w:r w:rsidRPr="00292DE7">
        <w:rPr>
          <w:rStyle w:val="StyleUnderline"/>
        </w:rPr>
        <w:t>Its function</w:t>
      </w:r>
      <w:r w:rsidRPr="00292DE7">
        <w:rPr>
          <w:sz w:val="16"/>
        </w:rPr>
        <w:t xml:space="preserve">, Daignault alludes apropos Serres, </w:t>
      </w:r>
      <w:r w:rsidRPr="00292DE7">
        <w:rPr>
          <w:rStyle w:val="Emphasis"/>
          <w:highlight w:val="cyan"/>
        </w:rPr>
        <w:t>is oriented to the annihilation of difference.</w:t>
      </w:r>
      <w:r w:rsidRPr="00292DE7">
        <w:rPr>
          <w:rStyle w:val="StyleUnderline"/>
        </w:rPr>
        <w:t xml:space="preserve"> Hence, where the conceptualization of ‘public’ </w:t>
      </w:r>
      <w:r w:rsidRPr="00292DE7">
        <w:rPr>
          <w:rStyle w:val="Emphasis"/>
          <w:highlight w:val="cyan"/>
        </w:rPr>
        <w:t>education</w:t>
      </w:r>
      <w:r w:rsidRPr="00292DE7">
        <w:rPr>
          <w:rStyle w:val="StyleUnderline"/>
        </w:rPr>
        <w:t xml:space="preserve"> is founded in common sense, </w:t>
      </w:r>
      <w:r w:rsidRPr="00292DE7">
        <w:rPr>
          <w:rStyle w:val="Emphasis"/>
        </w:rPr>
        <w:t>potentials for political action</w:t>
      </w:r>
      <w:r w:rsidRPr="00292DE7">
        <w:rPr>
          <w:rStyle w:val="StyleUnderline"/>
        </w:rPr>
        <w:t xml:space="preserve"> through tactics of proliferation, disjunction, and singularization are radically delimited and captured within prior territorialities of use</w:t>
      </w:r>
      <w:r w:rsidRPr="00292DE7">
        <w:rPr>
          <w:sz w:val="16"/>
        </w:rPr>
        <w:t xml:space="preserve"> (Foucault, 1983, p. xiii). </w:t>
      </w:r>
      <w:r w:rsidRPr="00292DE7">
        <w:rPr>
          <w:rStyle w:val="StyleUnderline"/>
        </w:rPr>
        <w:t xml:space="preserve">The problem of this scenario is clear: </w:t>
      </w:r>
      <w:r w:rsidRPr="00292DE7">
        <w:rPr>
          <w:rStyle w:val="Emphasis"/>
        </w:rPr>
        <w:t>common sense</w:t>
      </w:r>
      <w:r w:rsidRPr="00292DE7">
        <w:rPr>
          <w:rStyle w:val="StyleUnderline"/>
        </w:rPr>
        <w:t xml:space="preserv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w:t>
      </w:r>
      <w:r w:rsidRPr="00292DE7">
        <w:rPr>
          <w:rStyle w:val="Emphasis"/>
          <w:highlight w:val="cyan"/>
        </w:rPr>
        <w:t xml:space="preserve">fails to produce conditions for thinking in a manner that is not already anticipated </w:t>
      </w:r>
      <w:r w:rsidRPr="00292DE7">
        <w:rPr>
          <w:rStyle w:val="Emphasis"/>
        </w:rPr>
        <w:t>by such referential ‘possibilities’</w:t>
      </w:r>
      <w:r w:rsidRPr="00292DE7">
        <w:rPr>
          <w:rStyle w:val="StyleUnderline"/>
        </w:rPr>
        <w:t>.</w:t>
      </w:r>
      <w:r w:rsidRPr="00292DE7">
        <w:rPr>
          <w:sz w:val="16"/>
        </w:rPr>
        <w:t xml:space="preserve"> Hence, while antithetical to the espoused purpose of schooling, </w:t>
      </w:r>
      <w:r w:rsidRPr="00292DE7">
        <w:rPr>
          <w:rStyle w:val="StyleUnderline"/>
        </w:rPr>
        <w:t>the majoritarian impulse of the school has yet to produce conditions for thinking</w:t>
      </w:r>
      <w:r w:rsidRPr="00292DE7">
        <w:rPr>
          <w:sz w:val="16"/>
        </w:rPr>
        <w:t xml:space="preserve"> – at least in the Deleuzian (2000) sense whereupon thought proceeds from </w:t>
      </w:r>
      <w:r w:rsidRPr="00292DE7">
        <w:rPr>
          <w:rStyle w:val="StyleUnderline"/>
        </w:rPr>
        <w:t>a necessary violence to those habits of repetition with which thought becomes contracted.</w:t>
      </w:r>
    </w:p>
    <w:p w14:paraId="3571307C" w14:textId="77777777" w:rsidR="00EF6F9A" w:rsidRPr="00292DE7" w:rsidRDefault="00EF6F9A" w:rsidP="00EF6F9A">
      <w:pPr>
        <w:pStyle w:val="Heading4"/>
        <w:rPr>
          <w:rFonts w:cs="Times New Roman"/>
        </w:rPr>
      </w:pPr>
      <w:r w:rsidRPr="00292DE7">
        <w:rPr>
          <w:rFonts w:cs="Times New Roman"/>
        </w:rPr>
        <w:t xml:space="preserve">Prefer additionally: </w:t>
      </w:r>
    </w:p>
    <w:p w14:paraId="525DD4B2" w14:textId="77777777" w:rsidR="00EF6F9A" w:rsidRPr="00292DE7" w:rsidRDefault="00EF6F9A" w:rsidP="00EF6F9A">
      <w:pPr>
        <w:pStyle w:val="Heading4"/>
        <w:rPr>
          <w:rFonts w:cs="Times New Roman"/>
        </w:rPr>
      </w:pPr>
      <w:r w:rsidRPr="00292DE7">
        <w:rPr>
          <w:rFonts w:cs="Times New Roman"/>
        </w:rPr>
        <w:t>[1] The state is a neutral tool but can be used as a destructive force of reactive desire as it can codify and regulate all social interactions as well as destroy those deemed deviant. Robinson 09</w:t>
      </w:r>
    </w:p>
    <w:p w14:paraId="74B58DB9" w14:textId="77777777" w:rsidR="00EF6F9A" w:rsidRPr="00292DE7" w:rsidRDefault="00EF6F9A" w:rsidP="00EF6F9A">
      <w:pPr>
        <w:rPr>
          <w:sz w:val="12"/>
          <w:szCs w:val="12"/>
        </w:rPr>
      </w:pPr>
      <w:r w:rsidRPr="00292DE7">
        <w:rPr>
          <w:sz w:val="12"/>
          <w:szCs w:val="12"/>
        </w:rPr>
        <w:t>Andrew. Andrew Robinson is a political theorist and activist based in the UK. His book Power, Resistance and Conflict in the Contemporary World: Social Movements, Networks and Hierarchies (co-authored with Athina Karatzogianni) was published in Sep 2009 by Routledge. “In Theory Why Deleuze (still) matters: States, war-machines and radical transformation”. Ceasefire. September 10th</w:t>
      </w:r>
    </w:p>
    <w:p w14:paraId="740AE2F9" w14:textId="77777777" w:rsidR="00EF6F9A" w:rsidRDefault="00EF6F9A" w:rsidP="00EF6F9A">
      <w:pPr>
        <w:spacing w:line="240" w:lineRule="auto"/>
        <w:rPr>
          <w:sz w:val="16"/>
        </w:rPr>
      </w:pPr>
      <w:r w:rsidRPr="0004086B">
        <w:rPr>
          <w:sz w:val="16"/>
        </w:rPr>
        <w:t xml:space="preserve">In this article, I have chosen to concentrate on the conceptual pairing of states and war-machines as a way of understanding the differences between autonomous social networks and hierarchical, repressive formations. Deleuze and Guattari view the ‘state’ as a particular kind of institutional regime derived from a set of social relations which can be traced to a way of seeing focused on the construction of fixities and representation. There is thus a basic form of the state (a “state-form”) in spite of the differences among specific states. Since Deleuze and Guattari’s theory is primarily relational and processual, the state exists primarily as a process rather than a thing. </w:t>
      </w:r>
      <w:r w:rsidRPr="00292DE7">
        <w:rPr>
          <w:b/>
          <w:highlight w:val="cyan"/>
          <w:u w:val="single"/>
        </w:rPr>
        <w:t>The state</w:t>
      </w:r>
      <w:r w:rsidRPr="00292DE7">
        <w:rPr>
          <w:b/>
          <w:u w:val="single"/>
        </w:rPr>
        <w:t xml:space="preserve">-form </w:t>
      </w:r>
      <w:r w:rsidRPr="00292DE7">
        <w:rPr>
          <w:b/>
          <w:highlight w:val="cyan"/>
          <w:u w:val="single"/>
        </w:rPr>
        <w:t>is defined by the processes</w:t>
      </w:r>
      <w:r w:rsidRPr="00292DE7">
        <w:rPr>
          <w:b/>
          <w:u w:val="single"/>
        </w:rPr>
        <w:t xml:space="preserve"> or practices </w:t>
      </w:r>
      <w:r w:rsidRPr="00292DE7">
        <w:rPr>
          <w:b/>
          <w:highlight w:val="cyan"/>
          <w:u w:val="single"/>
        </w:rPr>
        <w:t>of ‘overcoding’,</w:t>
      </w:r>
      <w:r w:rsidRPr="00292DE7">
        <w:rPr>
          <w:b/>
          <w:highlight w:val="green"/>
          <w:u w:val="single"/>
        </w:rPr>
        <w:t xml:space="preserve"> </w:t>
      </w:r>
      <w:r w:rsidRPr="00292DE7">
        <w:rPr>
          <w:b/>
          <w:u w:val="single"/>
        </w:rPr>
        <w:t xml:space="preserve">‘despotic </w:t>
      </w:r>
      <w:r w:rsidRPr="00292DE7">
        <w:rPr>
          <w:b/>
          <w:highlight w:val="cyan"/>
          <w:u w:val="single"/>
        </w:rPr>
        <w:t>signification’ and ‘machinic enslavement’</w:t>
      </w:r>
      <w:r w:rsidRPr="00292DE7">
        <w:rPr>
          <w:b/>
          <w:u w:val="single"/>
        </w:rPr>
        <w:t>.</w:t>
      </w:r>
      <w:r w:rsidRPr="0004086B">
        <w:rPr>
          <w:sz w:val="16"/>
        </w:rPr>
        <w:t xml:space="preserve"> These attributes can be explained one at a time. The concept of </w:t>
      </w:r>
      <w:r w:rsidRPr="00292DE7">
        <w:rPr>
          <w:b/>
          <w:u w:val="single"/>
        </w:rPr>
        <w:t xml:space="preserve">despotic </w:t>
      </w:r>
      <w:r w:rsidRPr="00292DE7">
        <w:rPr>
          <w:b/>
          <w:highlight w:val="cyan"/>
          <w:u w:val="single"/>
        </w:rPr>
        <w:t>signification</w:t>
      </w:r>
      <w:r w:rsidRPr="0004086B">
        <w:rPr>
          <w:sz w:val="16"/>
        </w:rPr>
        <w:t xml:space="preserve">, derived from Lacan’s idea of the master-signifier, </w:t>
      </w:r>
      <w:r w:rsidRPr="00292DE7">
        <w:rPr>
          <w:b/>
          <w:highlight w:val="cyan"/>
          <w:u w:val="single"/>
        </w:rPr>
        <w:t>suggests</w:t>
      </w:r>
      <w:r w:rsidRPr="00292DE7">
        <w:rPr>
          <w:b/>
          <w:u w:val="single"/>
        </w:rPr>
        <w:t xml:space="preserve"> that</w:t>
      </w:r>
      <w:r w:rsidRPr="0004086B">
        <w:rPr>
          <w:sz w:val="16"/>
        </w:rPr>
        <w:t xml:space="preserve">, in statist thought, </w:t>
      </w:r>
      <w:r w:rsidRPr="00292DE7">
        <w:rPr>
          <w:b/>
          <w:highlight w:val="cyan"/>
          <w:u w:val="single"/>
        </w:rPr>
        <w:t>a</w:t>
      </w:r>
      <w:r w:rsidRPr="00292DE7">
        <w:rPr>
          <w:b/>
          <w:u w:val="single"/>
        </w:rPr>
        <w:t xml:space="preserve"> particular </w:t>
      </w:r>
      <w:r w:rsidRPr="00292DE7">
        <w:rPr>
          <w:b/>
          <w:highlight w:val="cyan"/>
          <w:u w:val="single"/>
        </w:rPr>
        <w:t>signifier</w:t>
      </w:r>
      <w:r w:rsidRPr="00292DE7">
        <w:rPr>
          <w:b/>
          <w:u w:val="single"/>
        </w:rPr>
        <w:t xml:space="preserve"> is </w:t>
      </w:r>
      <w:r w:rsidRPr="00292DE7">
        <w:rPr>
          <w:b/>
          <w:highlight w:val="cyan"/>
          <w:u w:val="single"/>
        </w:rPr>
        <w:t>elevated to the status of standing for the whole, and the other</w:t>
      </w:r>
      <w:r w:rsidRPr="00292DE7">
        <w:rPr>
          <w:b/>
          <w:u w:val="single"/>
        </w:rPr>
        <w:t xml:space="preserve"> of this signifier</w:t>
      </w:r>
      <w:r w:rsidRPr="0004086B">
        <w:rPr>
          <w:sz w:val="16"/>
        </w:rPr>
        <w:t xml:space="preserve"> (remembering that signification is necessarily differential) </w:t>
      </w:r>
      <w:r w:rsidRPr="00292DE7">
        <w:rPr>
          <w:b/>
          <w:highlight w:val="cyan"/>
          <w:u w:val="single"/>
        </w:rPr>
        <w:t>is defined as radically excluded</w:t>
      </w:r>
      <w:r w:rsidRPr="00292DE7">
        <w:rPr>
          <w:b/>
          <w:u w:val="single"/>
        </w:rPr>
        <w:t>.</w:t>
      </w:r>
      <w:r w:rsidRPr="0004086B">
        <w:rPr>
          <w:sz w:val="16"/>
        </w:rPr>
        <w:t xml:space="preserve"> ‘</w:t>
      </w:r>
      <w:r w:rsidRPr="00292DE7">
        <w:rPr>
          <w:b/>
          <w:u w:val="single"/>
        </w:rPr>
        <w:t>Overcoding</w:t>
      </w:r>
      <w:r w:rsidRPr="0004086B">
        <w:rPr>
          <w:sz w:val="16"/>
        </w:rPr>
        <w:t xml:space="preserve">’ </w:t>
      </w:r>
      <w:r w:rsidRPr="00292DE7">
        <w:rPr>
          <w:b/>
          <w:u w:val="single"/>
        </w:rPr>
        <w:t>consists in the imposition of</w:t>
      </w:r>
      <w:r w:rsidRPr="0004086B">
        <w:rPr>
          <w:sz w:val="16"/>
        </w:rPr>
        <w:t xml:space="preserve"> the regime of </w:t>
      </w:r>
      <w:r w:rsidRPr="00292DE7">
        <w:rPr>
          <w:b/>
          <w:u w:val="single"/>
        </w:rPr>
        <w:t>meanings arising from this fixing of representations on the various processes through which social life and desire operate.</w:t>
      </w:r>
      <w:r w:rsidRPr="0004086B">
        <w:rPr>
          <w:sz w:val="16"/>
        </w:rPr>
        <w:t xml:space="preserve"> In contrast to the deep penetration which occurs in capitalism, states often do this fairly lightly, but with brutality around the edges. Hence for instance, </w:t>
      </w:r>
      <w:r w:rsidRPr="00292DE7">
        <w:rPr>
          <w:b/>
          <w:u w:val="single"/>
        </w:rPr>
        <w:t>in historical despotic states, the inclusion of peripheral areas only required their symbolic subordination, and not any real impact on everyday life in these areas. Overcoding</w:t>
      </w:r>
      <w:r w:rsidRPr="0004086B">
        <w:rPr>
          <w:sz w:val="16"/>
        </w:rPr>
        <w:t xml:space="preserve"> also, however, </w:t>
      </w:r>
      <w:r w:rsidRPr="00292DE7">
        <w:rPr>
          <w:b/>
          <w:u w:val="single"/>
        </w:rPr>
        <w:t>entails the destruction of anything which cannot be represented</w:t>
      </w:r>
      <w:r w:rsidRPr="0004086B">
        <w:rPr>
          <w:sz w:val="16"/>
        </w:rPr>
        <w:t xml:space="preserve"> or encoded. ‘</w:t>
      </w:r>
      <w:r w:rsidRPr="00292DE7">
        <w:rPr>
          <w:b/>
          <w:u w:val="single"/>
        </w:rPr>
        <w:t>Machinic enslavement</w:t>
      </w:r>
      <w:r w:rsidRPr="0004086B">
        <w:rPr>
          <w:sz w:val="16"/>
        </w:rPr>
        <w:t xml:space="preserve">’ </w:t>
      </w:r>
      <w:r w:rsidRPr="00292DE7">
        <w:rPr>
          <w:b/>
          <w:u w:val="single"/>
        </w:rPr>
        <w:t>occurs when</w:t>
      </w:r>
      <w:r w:rsidRPr="0004086B">
        <w:rPr>
          <w:sz w:val="16"/>
        </w:rPr>
        <w:t xml:space="preserve"> assembled groups of social relations and desires, known in Deleuzian theory as </w:t>
      </w:r>
      <w:r w:rsidRPr="00292DE7">
        <w:rPr>
          <w:b/>
          <w:u w:val="single"/>
        </w:rPr>
        <w:t>‘machines’, are rendered subordinate to the regulatory function of the despotic signifier and hence incorporated in an overarching totality.</w:t>
      </w:r>
      <w:r w:rsidRPr="0004086B">
        <w:rPr>
          <w:sz w:val="16"/>
        </w:rPr>
        <w:t xml:space="preserve"> </w:t>
      </w:r>
      <w:r w:rsidRPr="00292DE7">
        <w:rPr>
          <w:b/>
          <w:u w:val="single"/>
        </w:rPr>
        <w:t>This</w:t>
      </w:r>
      <w:r w:rsidRPr="0004086B">
        <w:rPr>
          <w:sz w:val="16"/>
        </w:rPr>
        <w:t xml:space="preserve"> process </w:t>
      </w:r>
      <w:r w:rsidRPr="00292DE7">
        <w:rPr>
          <w:b/>
          <w:u w:val="single"/>
        </w:rPr>
        <w:t>identifies Deleuze</w:t>
      </w:r>
      <w:r w:rsidRPr="0004086B">
        <w:rPr>
          <w:sz w:val="16"/>
        </w:rPr>
        <w:t xml:space="preserve"> and Guattari’s view of the state-form </w:t>
      </w:r>
      <w:r w:rsidRPr="00292DE7">
        <w:rPr>
          <w:b/>
          <w:u w:val="single"/>
        </w:rPr>
        <w:t>with Mumford’s idea of the megamachine, with the state operating as a kind of absorbing and enclosing totality</w:t>
      </w:r>
      <w:r w:rsidRPr="0004086B">
        <w:rPr>
          <w:sz w:val="16"/>
        </w:rPr>
        <w:t xml:space="preserve">, a bit like the Borg in Star Trek, </w:t>
      </w:r>
      <w:r w:rsidRPr="00292DE7">
        <w:rPr>
          <w:b/>
          <w:u w:val="single"/>
        </w:rPr>
        <w:t>eating up</w:t>
      </w:r>
      <w:r w:rsidRPr="0004086B">
        <w:rPr>
          <w:sz w:val="16"/>
        </w:rPr>
        <w:t xml:space="preserve"> and assimilating </w:t>
      </w:r>
      <w:r w:rsidRPr="00292DE7">
        <w:rPr>
          <w:b/>
          <w:u w:val="single"/>
        </w:rPr>
        <w:t>the social networks with which it comes into contact</w:t>
      </w:r>
      <w:r w:rsidRPr="0004086B">
        <w:rPr>
          <w:sz w:val="16"/>
        </w:rPr>
        <w:t xml:space="preserve">. Crucially, while these relations it absorbs often start out as horizontal, or as hierarchical only at a local level, their absorption rearranges them as vertical and hierarchical aggregates. </w:t>
      </w:r>
      <w:r w:rsidRPr="00292DE7">
        <w:rPr>
          <w:b/>
          <w:u w:val="single"/>
        </w:rPr>
        <w:t>It tends to destroy or reduce the intensity of horizontal connections, instead increasing the intensity of vertical subordination.</w:t>
      </w:r>
      <w:r w:rsidRPr="0004086B">
        <w:rPr>
          <w:sz w:val="16"/>
        </w:rPr>
        <w:t xml:space="preserve"> Take, for instance, the formation of the colonial state in Africa: loose social identities were rigidly reclassified as exclusive ethnicities, and these ethnicities were arranged in hierarchies (for instance, Tutsi as superior to Hutu) in ways which created rigid boundaries and oppressive relations culminating in today’s conflicts. According to this theory of the state-form, </w:t>
      </w:r>
      <w:r w:rsidRPr="00292DE7">
        <w:rPr>
          <w:b/>
          <w:highlight w:val="cyan"/>
          <w:u w:val="single"/>
        </w:rPr>
        <w:t>states are</w:t>
      </w:r>
      <w:r w:rsidRPr="0004086B">
        <w:rPr>
          <w:sz w:val="16"/>
        </w:rPr>
        <w:t xml:space="preserve"> at once </w:t>
      </w:r>
      <w:r w:rsidRPr="00292DE7">
        <w:rPr>
          <w:b/>
          <w:u w:val="single"/>
        </w:rPr>
        <w:t>‘</w:t>
      </w:r>
      <w:r w:rsidRPr="00292DE7">
        <w:rPr>
          <w:b/>
          <w:highlight w:val="cyan"/>
          <w:u w:val="single"/>
        </w:rPr>
        <w:t>isomorphic’, sharing a basic structure and function</w:t>
      </w:r>
      <w:r w:rsidRPr="0004086B">
        <w:rPr>
          <w:sz w:val="16"/>
        </w:rPr>
        <w:t xml:space="preserve">, and heterogeneous, </w:t>
      </w:r>
      <w:r w:rsidRPr="00292DE7">
        <w:rPr>
          <w:b/>
          <w:highlight w:val="cyan"/>
          <w:u w:val="single"/>
        </w:rPr>
        <w:t>differing</w:t>
      </w:r>
      <w:r w:rsidRPr="0004086B">
        <w:rPr>
          <w:sz w:val="16"/>
        </w:rPr>
        <w:t xml:space="preserve"> in how they express this structure. In particular, states vary </w:t>
      </w:r>
      <w:r w:rsidRPr="00292DE7">
        <w:rPr>
          <w:b/>
          <w:highlight w:val="cyan"/>
          <w:u w:val="single"/>
        </w:rPr>
        <w:t>in</w:t>
      </w:r>
      <w:r w:rsidRPr="00292DE7">
        <w:rPr>
          <w:b/>
          <w:u w:val="single"/>
        </w:rPr>
        <w:t xml:space="preserve"> terms of</w:t>
      </w:r>
      <w:r w:rsidRPr="0004086B">
        <w:rPr>
          <w:sz w:val="16"/>
        </w:rPr>
        <w:t xml:space="preserve"> the relative balance between </w:t>
      </w:r>
      <w:r w:rsidRPr="00292DE7">
        <w:rPr>
          <w:b/>
          <w:highlight w:val="cyan"/>
          <w:u w:val="single"/>
        </w:rPr>
        <w:t>‘adding’ and ‘subtracting axioms’</w:t>
      </w:r>
      <w:r w:rsidRPr="0004086B">
        <w:rPr>
          <w:sz w:val="16"/>
        </w:rPr>
        <w:t xml:space="preserve"> (capitalism is also seen as performing these two operations). </w:t>
      </w:r>
      <w:r w:rsidRPr="00292DE7">
        <w:rPr>
          <w:b/>
          <w:highlight w:val="cyan"/>
          <w:u w:val="single"/>
        </w:rPr>
        <w:t>An axiom</w:t>
      </w:r>
      <w:r w:rsidRPr="0004086B">
        <w:rPr>
          <w:sz w:val="16"/>
        </w:rPr>
        <w:t xml:space="preserve"> here </w:t>
      </w:r>
      <w:r w:rsidRPr="00292DE7">
        <w:rPr>
          <w:b/>
          <w:highlight w:val="cyan"/>
          <w:u w:val="single"/>
        </w:rPr>
        <w:t>refers to</w:t>
      </w:r>
      <w:r w:rsidRPr="0004086B">
        <w:rPr>
          <w:sz w:val="16"/>
        </w:rPr>
        <w:t xml:space="preserve"> the </w:t>
      </w:r>
      <w:r w:rsidRPr="00292DE7">
        <w:rPr>
          <w:b/>
          <w:highlight w:val="cyan"/>
          <w:u w:val="single"/>
        </w:rPr>
        <w:t>inclusion of a particular group</w:t>
      </w:r>
      <w:r w:rsidRPr="0004086B">
        <w:rPr>
          <w:sz w:val="16"/>
          <w:highlight w:val="cyan"/>
        </w:rPr>
        <w:t xml:space="preserve"> </w:t>
      </w:r>
      <w:r w:rsidRPr="0004086B">
        <w:rPr>
          <w:sz w:val="16"/>
        </w:rPr>
        <w:t xml:space="preserve">or social logic or set of desires as something </w:t>
      </w:r>
      <w:r w:rsidRPr="00292DE7">
        <w:rPr>
          <w:b/>
          <w:highlight w:val="cyan"/>
          <w:u w:val="single"/>
        </w:rPr>
        <w:t>recognised by a state</w:t>
      </w:r>
      <w:r w:rsidRPr="00292DE7">
        <w:rPr>
          <w:b/>
          <w:u w:val="single"/>
        </w:rPr>
        <w:t>: examples</w:t>
      </w:r>
      <w:r w:rsidRPr="0004086B">
        <w:rPr>
          <w:sz w:val="16"/>
        </w:rPr>
        <w:t xml:space="preserve"> of addition of axioms </w:t>
      </w:r>
      <w:r w:rsidRPr="00292DE7">
        <w:rPr>
          <w:b/>
          <w:u w:val="single"/>
        </w:rPr>
        <w:t>would be the recognition of minority rights</w:t>
      </w:r>
      <w:r w:rsidRPr="0004086B">
        <w:rPr>
          <w:sz w:val="16"/>
        </w:rPr>
        <w:t xml:space="preserve"> (e.g. gay rights), the recognition and systematic inclusion of minority groups in formal multiculturalism (e.g. Indian ‘scheduled castes’), the creation of niche markets for particular groups (e.g. ‘ethnic food’ sections in supermarkets), </w:t>
      </w:r>
      <w:r w:rsidRPr="00292DE7">
        <w:rPr>
          <w:b/>
          <w:u w:val="single"/>
        </w:rPr>
        <w:t>and the provision of inclusive services (e.g. support for independent living for people with disabilities</w:t>
      </w:r>
      <w:r w:rsidRPr="0004086B">
        <w:rPr>
          <w:sz w:val="16"/>
        </w:rPr>
        <w:t xml:space="preserve">). It is most marked in social-democratic kinds of states. </w:t>
      </w:r>
      <w:r w:rsidRPr="00292DE7">
        <w:rPr>
          <w:b/>
          <w:u w:val="single"/>
        </w:rPr>
        <w:t xml:space="preserve">The </w:t>
      </w:r>
      <w:r w:rsidRPr="00292DE7">
        <w:rPr>
          <w:b/>
          <w:highlight w:val="cyan"/>
          <w:u w:val="single"/>
        </w:rPr>
        <w:t>subtraction</w:t>
      </w:r>
      <w:r w:rsidRPr="0004086B">
        <w:rPr>
          <w:sz w:val="16"/>
        </w:rPr>
        <w:t xml:space="preserve"> of axioms </w:t>
      </w:r>
      <w:r w:rsidRPr="00292DE7">
        <w:rPr>
          <w:b/>
          <w:highlight w:val="cyan"/>
          <w:u w:val="single"/>
        </w:rPr>
        <w:t>consists in</w:t>
      </w:r>
      <w:r w:rsidRPr="00292DE7">
        <w:rPr>
          <w:b/>
          <w:u w:val="single"/>
        </w:rPr>
        <w:t xml:space="preserve"> the </w:t>
      </w:r>
      <w:r w:rsidRPr="00292DE7">
        <w:rPr>
          <w:b/>
          <w:highlight w:val="cyan"/>
          <w:u w:val="single"/>
        </w:rPr>
        <w:t>encoding of differences as problems to be suppressed</w:t>
      </w:r>
      <w:r w:rsidRPr="00292DE7">
        <w:rPr>
          <w:b/>
          <w:u w:val="single"/>
        </w:rPr>
        <w:t>,</w:t>
      </w:r>
      <w:r w:rsidRPr="0004086B">
        <w:rPr>
          <w:sz w:val="16"/>
        </w:rPr>
        <w:t xml:space="preserve"> for example in the classification of differences as crimes, </w:t>
      </w:r>
      <w:r w:rsidRPr="00292DE7">
        <w:rPr>
          <w:b/>
          <w:u w:val="single"/>
        </w:rPr>
        <w:t>the institutionalisation of unwanted minorities</w:t>
      </w:r>
      <w:r w:rsidRPr="0004086B">
        <w:rPr>
          <w:sz w:val="16"/>
        </w:rPr>
        <w:t xml:space="preserve"> (e.g. ‘sectioning’ people who are psychologically different), or the restriction of services to members of an in-group (excluding ‘disruptive’ children, denying council housing to migrants). This process reaches its culmination in totalitarian states. It is important to realise that </w:t>
      </w:r>
      <w:r w:rsidRPr="00292DE7">
        <w:rPr>
          <w:b/>
          <w:u w:val="single"/>
        </w:rPr>
        <w:t>in both cases, the state is expressing the logic of the state-form, finding ways to encode and represent differences; but that the effects of the two strategies on the freedom and social power of marginalised groups are very different.</w:t>
      </w:r>
      <w:r w:rsidRPr="0004086B">
        <w:rPr>
          <w:sz w:val="16"/>
        </w:rPr>
        <w:t xml:space="preserve"> </w:t>
      </w:r>
      <w:r w:rsidRPr="00292DE7">
        <w:rPr>
          <w:b/>
          <w:highlight w:val="cyan"/>
          <w:u w:val="single"/>
        </w:rPr>
        <w:t>The state is</w:t>
      </w:r>
      <w:r w:rsidRPr="00292DE7">
        <w:rPr>
          <w:b/>
          <w:u w:val="single"/>
        </w:rPr>
        <w:t xml:space="preserve"> also</w:t>
      </w:r>
      <w:r w:rsidRPr="0004086B">
        <w:rPr>
          <w:sz w:val="16"/>
        </w:rPr>
        <w:t xml:space="preserve"> viewed as </w:t>
      </w:r>
      <w:r w:rsidRPr="00292DE7">
        <w:rPr>
          <w:b/>
          <w:u w:val="single"/>
        </w:rPr>
        <w:t>a force of ‘</w:t>
      </w:r>
      <w:r w:rsidRPr="00292DE7">
        <w:rPr>
          <w:b/>
          <w:highlight w:val="cyan"/>
          <w:u w:val="single"/>
        </w:rPr>
        <w:t>antiproduction’</w:t>
      </w:r>
      <w:r w:rsidRPr="0004086B">
        <w:rPr>
          <w:sz w:val="16"/>
        </w:rPr>
        <w:t xml:space="preserve">. This term is defined </w:t>
      </w:r>
      <w:r w:rsidRPr="00292DE7">
        <w:rPr>
          <w:b/>
          <w:highlight w:val="cyan"/>
          <w:u w:val="single"/>
        </w:rPr>
        <w:t>against</w:t>
      </w:r>
      <w:r w:rsidRPr="0004086B">
        <w:rPr>
          <w:sz w:val="16"/>
        </w:rPr>
        <w:t xml:space="preserve"> the ‘productive’ or creative power Deleuze and Guattari believe resides in processes of </w:t>
      </w:r>
      <w:r w:rsidRPr="00292DE7">
        <w:rPr>
          <w:b/>
          <w:highlight w:val="cyan"/>
          <w:u w:val="single"/>
        </w:rPr>
        <w:t>desiring</w:t>
      </w:r>
      <w:r w:rsidRPr="0004086B">
        <w:rPr>
          <w:sz w:val="16"/>
        </w:rPr>
        <w:t xml:space="preserve">-production (the process through which desires are formed and connected to objects or others) </w:t>
      </w:r>
      <w:r w:rsidRPr="00292DE7">
        <w:rPr>
          <w:b/>
          <w:u w:val="single"/>
        </w:rPr>
        <w:t>and social production</w:t>
      </w:r>
      <w:r w:rsidRPr="0004086B">
        <w:rPr>
          <w:sz w:val="16"/>
        </w:rPr>
        <w:t xml:space="preserve"> (the process of constructing social ‘assemblages’ or networks). </w:t>
      </w:r>
      <w:r w:rsidRPr="00292DE7">
        <w:rPr>
          <w:b/>
          <w:u w:val="single"/>
        </w:rPr>
        <w:t>Desiring-production</w:t>
      </w:r>
      <w:r w:rsidRPr="0004086B">
        <w:rPr>
          <w:sz w:val="16"/>
        </w:rPr>
        <w:t xml:space="preserve"> tends to </w:t>
      </w:r>
      <w:r w:rsidRPr="00292DE7">
        <w:rPr>
          <w:b/>
          <w:u w:val="single"/>
        </w:rPr>
        <w:t>proliferate differences</w:t>
      </w:r>
      <w:r w:rsidRPr="0004086B">
        <w:rPr>
          <w:sz w:val="16"/>
        </w:rPr>
        <w:t xml:space="preserve">, </w:t>
      </w:r>
      <w:r w:rsidRPr="00292DE7">
        <w:rPr>
          <w:b/>
          <w:u w:val="single"/>
        </w:rPr>
        <w:t xml:space="preserve">because </w:t>
      </w:r>
      <w:r w:rsidRPr="00292DE7">
        <w:rPr>
          <w:b/>
          <w:highlight w:val="cyan"/>
          <w:u w:val="single"/>
        </w:rPr>
        <w:t>desire operates through flux</w:t>
      </w:r>
      <w:r w:rsidRPr="00292DE7">
        <w:rPr>
          <w:b/>
          <w:u w:val="single"/>
        </w:rPr>
        <w:t>es and breaks</w:t>
      </w:r>
      <w:r w:rsidRPr="0004086B">
        <w:rPr>
          <w:sz w:val="16"/>
        </w:rPr>
        <w:t xml:space="preserve">, overflowing particular boundaries. The state as machine of </w:t>
      </w:r>
      <w:r w:rsidRPr="00292DE7">
        <w:rPr>
          <w:b/>
          <w:highlight w:val="cyan"/>
          <w:u w:val="single"/>
        </w:rPr>
        <w:t xml:space="preserve">antiproduction operates to </w:t>
      </w:r>
      <w:r w:rsidRPr="00292DE7">
        <w:rPr>
          <w:b/>
          <w:u w:val="single"/>
        </w:rPr>
        <w:t>restrict</w:t>
      </w:r>
      <w:r w:rsidRPr="0004086B">
        <w:rPr>
          <w:sz w:val="16"/>
        </w:rPr>
        <w:t xml:space="preserve">, prevent or channel these </w:t>
      </w:r>
      <w:r w:rsidRPr="00292DE7">
        <w:rPr>
          <w:b/>
          <w:u w:val="single"/>
        </w:rPr>
        <w:t>flows of creative energy</w:t>
      </w:r>
      <w:r w:rsidRPr="0004086B">
        <w:rPr>
          <w:sz w:val="16"/>
        </w:rPr>
        <w:t xml:space="preserve"> so as </w:t>
      </w:r>
      <w:r w:rsidRPr="00292DE7">
        <w:rPr>
          <w:b/>
          <w:u w:val="single"/>
        </w:rPr>
        <w:t xml:space="preserve">to </w:t>
      </w:r>
      <w:r w:rsidRPr="00292DE7">
        <w:rPr>
          <w:b/>
          <w:highlight w:val="cyan"/>
          <w:u w:val="single"/>
        </w:rPr>
        <w:t>preserve fixed social forms and restrict</w:t>
      </w:r>
      <w:r w:rsidRPr="0004086B">
        <w:rPr>
          <w:sz w:val="16"/>
        </w:rPr>
        <w:t xml:space="preserve"> the extent of </w:t>
      </w:r>
      <w:r w:rsidRPr="00292DE7">
        <w:rPr>
          <w:b/>
          <w:highlight w:val="cyan"/>
          <w:u w:val="single"/>
        </w:rPr>
        <w:t>difference</w:t>
      </w:r>
      <w:r w:rsidRPr="0004086B">
        <w:rPr>
          <w:sz w:val="16"/>
        </w:rPr>
        <w:t xml:space="preserve"> which is able to exist, </w:t>
      </w:r>
      <w:r w:rsidRPr="00292DE7">
        <w:rPr>
          <w:b/>
          <w:u w:val="single"/>
        </w:rPr>
        <w:t>or</w:t>
      </w:r>
      <w:r w:rsidRPr="0004086B">
        <w:rPr>
          <w:sz w:val="16"/>
        </w:rPr>
        <w:t xml:space="preserve"> the </w:t>
      </w:r>
      <w:r w:rsidRPr="00292DE7">
        <w:rPr>
          <w:b/>
          <w:u w:val="single"/>
        </w:rPr>
        <w:t>connections</w:t>
      </w:r>
      <w:r w:rsidRPr="0004086B">
        <w:rPr>
          <w:sz w:val="16"/>
        </w:rPr>
        <w:t xml:space="preserve"> it is able to form. Hence, </w:t>
      </w:r>
      <w:r w:rsidRPr="00292DE7">
        <w:rPr>
          <w:b/>
          <w:u w:val="single"/>
        </w:rPr>
        <w:t>states try to restrict</w:t>
      </w:r>
      <w:r w:rsidRPr="0004086B">
        <w:rPr>
          <w:sz w:val="16"/>
        </w:rPr>
        <w:t xml:space="preserve"> and break down the </w:t>
      </w:r>
      <w:r w:rsidRPr="00292DE7">
        <w:rPr>
          <w:b/>
          <w:u w:val="single"/>
        </w:rPr>
        <w:t>coming-together of social networks by</w:t>
      </w:r>
      <w:r w:rsidRPr="0004086B">
        <w:rPr>
          <w:sz w:val="16"/>
        </w:rPr>
        <w:t xml:space="preserve"> prohibiting or </w:t>
      </w:r>
      <w:r w:rsidRPr="00292DE7">
        <w:rPr>
          <w:b/>
          <w:u w:val="single"/>
        </w:rPr>
        <w:t>making difficult the formation of hierarchical assemblages</w:t>
      </w:r>
      <w:r w:rsidRPr="0004086B">
        <w:rPr>
          <w:sz w:val="16"/>
        </w:rPr>
        <w:t xml:space="preserve">; it operates to block ‘subject-formation’ in terms of social groups, or the emergence of subjectivities which are not already encoded in dominant terms. </w:t>
      </w:r>
      <w:r w:rsidRPr="00292DE7">
        <w:rPr>
          <w:b/>
          <w:u w:val="single"/>
        </w:rPr>
        <w:t>Take</w:t>
      </w:r>
      <w:r w:rsidRPr="0004086B">
        <w:rPr>
          <w:sz w:val="16"/>
        </w:rPr>
        <w:t xml:space="preserve"> for instance the laws on </w:t>
      </w:r>
      <w:r w:rsidRPr="00292DE7">
        <w:rPr>
          <w:b/>
          <w:u w:val="single"/>
        </w:rPr>
        <w:t>‘dispersal’,</w:t>
      </w:r>
      <w:r w:rsidRPr="0004086B">
        <w:rPr>
          <w:sz w:val="16"/>
        </w:rPr>
        <w:t xml:space="preserve"> in which the </w:t>
      </w:r>
      <w:r w:rsidRPr="00292DE7">
        <w:rPr>
          <w:b/>
          <w:u w:val="single"/>
        </w:rPr>
        <w:t>British</w:t>
      </w:r>
      <w:r w:rsidRPr="0004086B">
        <w:rPr>
          <w:sz w:val="16"/>
        </w:rPr>
        <w:t xml:space="preserve"> state </w:t>
      </w:r>
      <w:r w:rsidRPr="00292DE7">
        <w:rPr>
          <w:b/>
          <w:u w:val="single"/>
        </w:rPr>
        <w:t>allows police to break up groups</w:t>
      </w:r>
      <w:r w:rsidRPr="0004086B">
        <w:rPr>
          <w:sz w:val="16"/>
        </w:rPr>
        <w:t xml:space="preserve"> (often of young people) </w:t>
      </w:r>
      <w:r w:rsidRPr="00292DE7">
        <w:rPr>
          <w:b/>
          <w:u w:val="single"/>
        </w:rPr>
        <w:t>congregating in public spaces.</w:t>
      </w:r>
      <w:r w:rsidRPr="0004086B">
        <w:rPr>
          <w:sz w:val="16"/>
        </w:rPr>
        <w:t xml:space="preserve"> Absurdly, </w:t>
      </w:r>
      <w:r w:rsidRPr="00292DE7">
        <w:rPr>
          <w:b/>
          <w:u w:val="single"/>
        </w:rPr>
        <w:t>the state defines</w:t>
      </w:r>
      <w:r w:rsidRPr="0004086B">
        <w:rPr>
          <w:sz w:val="16"/>
        </w:rPr>
        <w:t xml:space="preserve"> the social act of </w:t>
      </w:r>
      <w:r w:rsidRPr="00292DE7">
        <w:rPr>
          <w:b/>
          <w:u w:val="single"/>
        </w:rPr>
        <w:t xml:space="preserve">coming-together as anti-social, because it creates a space in which different kinds of social relations can be formed. </w:t>
      </w:r>
      <w:r w:rsidRPr="00292DE7">
        <w:rPr>
          <w:b/>
          <w:highlight w:val="cyan"/>
          <w:u w:val="single"/>
        </w:rPr>
        <w:t>The state wishes</w:t>
      </w:r>
      <w:r w:rsidRPr="0004086B">
        <w:rPr>
          <w:sz w:val="16"/>
          <w:highlight w:val="cyan"/>
        </w:rPr>
        <w:t xml:space="preserve"> </w:t>
      </w:r>
      <w:r w:rsidRPr="0004086B">
        <w:rPr>
          <w:sz w:val="16"/>
        </w:rPr>
        <w:t xml:space="preserve">to have </w:t>
      </w:r>
      <w:r w:rsidRPr="00292DE7">
        <w:rPr>
          <w:b/>
          <w:highlight w:val="cyan"/>
          <w:u w:val="single"/>
        </w:rPr>
        <w:t>a monopoly on how people interrelate</w:t>
      </w:r>
      <w:r w:rsidRPr="0004086B">
        <w:rPr>
          <w:sz w:val="16"/>
        </w:rPr>
        <w:t>, and so acts to prevent people from associating horizontally. Another example of antiproduction is the way that participation in imposed activities</w:t>
      </w:r>
    </w:p>
    <w:p w14:paraId="60B25288" w14:textId="77777777" w:rsidR="00EF6F9A" w:rsidRDefault="00EF6F9A" w:rsidP="00EF6F9A">
      <w:pPr>
        <w:pStyle w:val="Heading4"/>
        <w:rPr>
          <w:rFonts w:cs="Calibri"/>
        </w:rPr>
      </w:pPr>
    </w:p>
    <w:p w14:paraId="341510C9" w14:textId="77777777" w:rsidR="00EF6F9A" w:rsidRPr="00647A04" w:rsidRDefault="00EF6F9A" w:rsidP="00EF6F9A">
      <w:pPr>
        <w:pStyle w:val="Heading4"/>
        <w:rPr>
          <w:rFonts w:cs="Calibri"/>
        </w:rPr>
      </w:pPr>
      <w:r>
        <w:rPr>
          <w:rFonts w:cs="Calibri"/>
        </w:rPr>
        <w:t xml:space="preserve">2. </w:t>
      </w:r>
      <w:r w:rsidRPr="00647A04">
        <w:rPr>
          <w:rFonts w:cs="Calibri"/>
        </w:rPr>
        <w:t>The aff is key to adopt and test new resistance</w:t>
      </w:r>
      <w:r>
        <w:rPr>
          <w:rFonts w:cs="Calibri"/>
        </w:rPr>
        <w:t xml:space="preserve"> for students</w:t>
      </w:r>
      <w:r w:rsidRPr="00647A04">
        <w:rPr>
          <w:rFonts w:cs="Calibri"/>
        </w:rPr>
        <w:t xml:space="preserve"> as contemporary pedagogical sites – operating internally is essential to hearing from multiple perspectives and forming new affective relations</w:t>
      </w:r>
    </w:p>
    <w:p w14:paraId="2731BFA5" w14:textId="77777777" w:rsidR="00EF6F9A" w:rsidRPr="00647A04" w:rsidRDefault="00EF6F9A" w:rsidP="00EF6F9A">
      <w:pPr>
        <w:spacing w:after="0" w:line="240" w:lineRule="auto"/>
        <w:rPr>
          <w:color w:val="000000" w:themeColor="text1"/>
        </w:rPr>
      </w:pPr>
      <w:r w:rsidRPr="00647A04">
        <w:rPr>
          <w:rStyle w:val="Style13ptBold"/>
        </w:rPr>
        <w:t>Manning and Massumi 18</w:t>
      </w:r>
      <w:r w:rsidRPr="00647A04">
        <w:rPr>
          <w:color w:val="000000" w:themeColor="text1"/>
        </w:rPr>
        <w:t xml:space="preserve"> [Erin and Brian; “</w:t>
      </w:r>
      <w:r w:rsidRPr="00647A04">
        <w:rPr>
          <w:bCs/>
          <w:iCs/>
          <w:color w:val="000000" w:themeColor="text1"/>
          <w:szCs w:val="65"/>
        </w:rPr>
        <w:t xml:space="preserve">A Cryptoeconomy of Affect”; interviewed by Uriah Todoroff for The New Inquiry; </w:t>
      </w:r>
      <w:r w:rsidRPr="00647A04">
        <w:rPr>
          <w:rFonts w:eastAsia="Times New Roman"/>
          <w:color w:val="000000" w:themeColor="text1"/>
          <w:shd w:val="clear" w:color="auto" w:fill="FFFFFF"/>
        </w:rPr>
        <w:t>Massumi is known for his translations of French post-structuralist classics like Deleuze and Guattari’s </w:t>
      </w:r>
      <w:r w:rsidRPr="00647A04">
        <w:rPr>
          <w:rFonts w:eastAsia="Times New Roman"/>
          <w:i/>
          <w:iCs/>
          <w:color w:val="000000" w:themeColor="text1"/>
          <w:shd w:val="clear" w:color="auto" w:fill="FFFFFF"/>
        </w:rPr>
        <w:t>A Thousand Plateaus</w:t>
      </w:r>
      <w:r w:rsidRPr="00647A04">
        <w:rPr>
          <w:rFonts w:eastAsia="Times New Roman"/>
          <w:color w:val="000000" w:themeColor="text1"/>
          <w:shd w:val="clear" w:color="auto" w:fill="FFFFFF"/>
        </w:rPr>
        <w:t> (1987); Manning is a prolific author whose last published book was </w:t>
      </w:r>
      <w:r w:rsidRPr="00647A04">
        <w:rPr>
          <w:rFonts w:eastAsia="Times New Roman"/>
          <w:i/>
          <w:iCs/>
          <w:color w:val="000000" w:themeColor="text1"/>
          <w:shd w:val="clear" w:color="auto" w:fill="FFFFFF"/>
        </w:rPr>
        <w:t>The Minor Gesture</w:t>
      </w:r>
      <w:r w:rsidRPr="00647A04">
        <w:rPr>
          <w:rFonts w:eastAsia="Times New Roman"/>
          <w:color w:val="000000" w:themeColor="text1"/>
          <w:shd w:val="clear" w:color="auto" w:fill="FFFFFF"/>
        </w:rPr>
        <w:t xml:space="preserve"> (2016). They work together at the SenseLab in Montreal, a research laboratory Manning created to experiment with collective pedagogy. The lab provides a base for intellectual and creative activity that is intended to spin off into projects that grow or die according to their own momentum.; </w:t>
      </w:r>
      <w:r w:rsidRPr="005713D0">
        <w:rPr>
          <w:rStyle w:val="Hyperlink"/>
          <w:color w:val="000000" w:themeColor="text1"/>
        </w:rPr>
        <w:t>https://thenewinquiry.com/a-cryptoeconomy-of-affect/</w:t>
      </w:r>
      <w:r w:rsidRPr="00647A04">
        <w:rPr>
          <w:color w:val="000000" w:themeColor="text1"/>
        </w:rPr>
        <w:t>; BP]</w:t>
      </w:r>
    </w:p>
    <w:p w14:paraId="3A91E180" w14:textId="77777777" w:rsidR="00EF6F9A" w:rsidRPr="00647A04" w:rsidRDefault="00EF6F9A" w:rsidP="00EF6F9A">
      <w:pPr>
        <w:shd w:val="clear" w:color="auto" w:fill="FFFFFF"/>
        <w:spacing w:before="100" w:beforeAutospacing="1" w:after="360" w:line="276" w:lineRule="auto"/>
        <w:rPr>
          <w:rFonts w:eastAsia="Times New Roman"/>
          <w:color w:val="000000" w:themeColor="text1"/>
          <w:sz w:val="16"/>
        </w:rPr>
      </w:pPr>
      <w:r w:rsidRPr="00647A04">
        <w:rPr>
          <w:rFonts w:eastAsia="Times New Roman"/>
          <w:color w:val="000000" w:themeColor="text1"/>
          <w:sz w:val="16"/>
        </w:rPr>
        <w:t>There are people all over the world we don’t know who are doing this kind of work, who are creating ways of working together, inventing new forms of collaboration, engaging with complex ecological models of encounter, who are inventing new forms of value. We never believe we are alone doing this work. The question we have isn’t the usual start-up question of how to scale up, it’s how do we create techniques for the registering of that which doesn’t register? The 3E Process Seed Bank is deeply allied to the question of what else learning and living can be, having grown out of its sister project the Three Ecologies Institute. We actually began there, with the Three Ecologies Institute, working from Félix Guattari’s definition of the three ecologies as the conceptual (psychic, mental), the environmental, and the social. It was only two years ago that we realized that thinking value transversally across the three ecologies required us to also take financial value into account. We see the 3E as a kind of intensifier of modes of thinking and living dedicated to inventing ways that we can continue to learn together, regardless of our age, background, or learning style. We don’t see it as an opposite to the university; we see it as a parasite. You could put the emphasis on the site: a para-site</w:t>
      </w:r>
      <w:r w:rsidRPr="00647A04">
        <w:rPr>
          <w:rStyle w:val="Heading3Char"/>
          <w:rFonts w:cs="Calibri"/>
          <w:color w:val="000000" w:themeColor="text1"/>
        </w:rPr>
        <w:t xml:space="preserve">, </w:t>
      </w:r>
      <w:r w:rsidRPr="0004086B">
        <w:rPr>
          <w:rStyle w:val="Heading3Char"/>
          <w:rFonts w:cs="Calibri"/>
          <w:color w:val="000000" w:themeColor="text1"/>
          <w:highlight w:val="cyan"/>
        </w:rPr>
        <w:t>a para-institution</w:t>
      </w:r>
      <w:r w:rsidRPr="00647A04">
        <w:rPr>
          <w:rFonts w:eastAsia="Times New Roman"/>
          <w:color w:val="000000" w:themeColor="text1"/>
          <w:sz w:val="16"/>
        </w:rPr>
        <w:t xml:space="preserve"> that </w:t>
      </w:r>
      <w:r w:rsidRPr="0004086B">
        <w:rPr>
          <w:rStyle w:val="Heading3Char"/>
          <w:rFonts w:cs="Calibri"/>
          <w:color w:val="000000" w:themeColor="text1"/>
          <w:highlight w:val="cyan"/>
        </w:rPr>
        <w:t>maintains relations with the</w:t>
      </w:r>
      <w:r w:rsidRPr="00647A04">
        <w:rPr>
          <w:rFonts w:eastAsia="Times New Roman"/>
          <w:color w:val="000000" w:themeColor="text1"/>
          <w:sz w:val="16"/>
        </w:rPr>
        <w:t xml:space="preserve"> institution of the </w:t>
      </w:r>
      <w:r w:rsidRPr="0004086B">
        <w:rPr>
          <w:rStyle w:val="Heading3Char"/>
          <w:rFonts w:cs="Calibri"/>
          <w:color w:val="000000" w:themeColor="text1"/>
          <w:highlight w:val="cyan"/>
        </w:rPr>
        <w:t>university</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but operates by a different logic</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It would be</w:t>
      </w:r>
      <w:r w:rsidRPr="00647A04">
        <w:rPr>
          <w:rFonts w:eastAsia="Times New Roman"/>
          <w:color w:val="000000" w:themeColor="text1"/>
          <w:sz w:val="16"/>
        </w:rPr>
        <w:t xml:space="preserve"> very </w:t>
      </w:r>
      <w:r w:rsidRPr="0004086B">
        <w:rPr>
          <w:rStyle w:val="Heading3Char"/>
          <w:rFonts w:cs="Calibri"/>
          <w:color w:val="000000" w:themeColor="text1"/>
          <w:highlight w:val="cyan"/>
        </w:rPr>
        <w:t>naive</w:t>
      </w:r>
      <w:r w:rsidRPr="00647A04">
        <w:rPr>
          <w:rFonts w:eastAsia="Times New Roman"/>
          <w:color w:val="000000" w:themeColor="text1"/>
          <w:sz w:val="16"/>
        </w:rPr>
        <w:t xml:space="preserve"> of us </w:t>
      </w:r>
      <w:r w:rsidRPr="0004086B">
        <w:rPr>
          <w:rStyle w:val="Heading3Char"/>
          <w:rFonts w:cs="Calibri"/>
          <w:color w:val="000000" w:themeColor="text1"/>
          <w:highlight w:val="cyan"/>
        </w:rPr>
        <w:t>to think you could</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just walk out of capitalism</w:t>
      </w:r>
      <w:r w:rsidRPr="00647A04">
        <w:rPr>
          <w:rFonts w:eastAsia="Times New Roman"/>
          <w:color w:val="000000" w:themeColor="text1"/>
          <w:sz w:val="16"/>
        </w:rPr>
        <w:t xml:space="preserve">. We’re not that naive. Neoliberalism is our natural environment. </w:t>
      </w:r>
      <w:r w:rsidRPr="0004086B">
        <w:rPr>
          <w:rStyle w:val="Heading3Char"/>
          <w:rFonts w:cs="Calibri"/>
          <w:color w:val="000000" w:themeColor="text1"/>
          <w:highlight w:val="cyan"/>
        </w:rPr>
        <w:t>We</w:t>
      </w:r>
      <w:r w:rsidRPr="00647A04">
        <w:rPr>
          <w:rFonts w:eastAsia="Times New Roman"/>
          <w:color w:val="000000" w:themeColor="text1"/>
          <w:sz w:val="16"/>
        </w:rPr>
        <w:t xml:space="preserve"> therefore </w:t>
      </w:r>
      <w:r w:rsidRPr="0004086B">
        <w:rPr>
          <w:rStyle w:val="Heading3Char"/>
          <w:rFonts w:cs="Calibri"/>
          <w:color w:val="000000" w:themeColor="text1"/>
          <w:highlight w:val="cyan"/>
        </w:rPr>
        <w:t>operate</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with</w:t>
      </w:r>
      <w:r w:rsidRPr="00647A04">
        <w:rPr>
          <w:rFonts w:eastAsia="Times New Roman"/>
          <w:color w:val="000000" w:themeColor="text1"/>
          <w:sz w:val="16"/>
        </w:rPr>
        <w:t xml:space="preserve"> what we call </w:t>
      </w:r>
      <w:r w:rsidRPr="0004086B">
        <w:rPr>
          <w:rStyle w:val="Heading3Char"/>
          <w:rFonts w:cs="Calibri"/>
          <w:color w:val="000000" w:themeColor="text1"/>
          <w:highlight w:val="cyan"/>
        </w:rPr>
        <w:t>strategic duplicity</w:t>
      </w:r>
      <w:r w:rsidRPr="00647A04">
        <w:rPr>
          <w:rFonts w:eastAsia="Times New Roman"/>
          <w:color w:val="000000" w:themeColor="text1"/>
          <w:sz w:val="16"/>
        </w:rPr>
        <w:t xml:space="preserve">. This </w:t>
      </w:r>
      <w:r w:rsidRPr="0004086B">
        <w:rPr>
          <w:rStyle w:val="Heading3Char"/>
          <w:rFonts w:cs="Calibri"/>
          <w:color w:val="000000" w:themeColor="text1"/>
          <w:highlight w:val="cyan"/>
        </w:rPr>
        <w:t>involves recognizing what works in the systems we work against</w:t>
      </w:r>
      <w:r w:rsidRPr="00647A04">
        <w:rPr>
          <w:rFonts w:eastAsia="Times New Roman"/>
          <w:color w:val="000000" w:themeColor="text1"/>
          <w:sz w:val="16"/>
        </w:rPr>
        <w:t xml:space="preserve">. Which means: We don’t just oppose them head on. </w:t>
      </w:r>
      <w:r w:rsidRPr="0004086B">
        <w:rPr>
          <w:rStyle w:val="Heading3Char"/>
          <w:rFonts w:cs="Calibri"/>
          <w:color w:val="000000" w:themeColor="text1"/>
          <w:highlight w:val="cyan"/>
        </w:rPr>
        <w:t>We work with them</w:t>
      </w:r>
      <w:r w:rsidRPr="00647A04">
        <w:rPr>
          <w:rFonts w:eastAsia="Times New Roman"/>
          <w:color w:val="000000" w:themeColor="text1"/>
          <w:sz w:val="16"/>
        </w:rPr>
        <w:t xml:space="preserve">, strategically, </w:t>
      </w:r>
      <w:r w:rsidRPr="0004086B">
        <w:rPr>
          <w:rStyle w:val="Heading3Char"/>
          <w:rFonts w:cs="Calibri"/>
          <w:color w:val="000000" w:themeColor="text1"/>
          <w:highlight w:val="cyan"/>
        </w:rPr>
        <w:t>while nurturing an alien logic</w:t>
      </w:r>
      <w:r w:rsidRPr="00647A04">
        <w:rPr>
          <w:rStyle w:val="Heading3Char"/>
          <w:rFonts w:cs="Calibri"/>
          <w:color w:val="000000" w:themeColor="text1"/>
        </w:rPr>
        <w:t xml:space="preserve"> </w:t>
      </w:r>
      <w:r w:rsidRPr="00647A04">
        <w:rPr>
          <w:rFonts w:eastAsia="Times New Roman"/>
          <w:color w:val="000000" w:themeColor="text1"/>
          <w:sz w:val="16"/>
        </w:rPr>
        <w:t xml:space="preserve">that moves in very different directions. One of the things we know that the university does well is that it attracts really interesting people. The </w:t>
      </w:r>
      <w:r w:rsidRPr="0004086B">
        <w:rPr>
          <w:rStyle w:val="Heading3Char"/>
          <w:rFonts w:cs="Calibri"/>
          <w:color w:val="000000" w:themeColor="text1"/>
          <w:highlight w:val="cyan"/>
        </w:rPr>
        <w:t>university can facilitate meetings that</w:t>
      </w:r>
      <w:r w:rsidRPr="00647A04">
        <w:rPr>
          <w:rStyle w:val="Heading3Char"/>
          <w:rFonts w:cs="Calibri"/>
          <w:color w:val="000000" w:themeColor="text1"/>
        </w:rPr>
        <w:t xml:space="preserve"> </w:t>
      </w:r>
      <w:r w:rsidRPr="00647A04">
        <w:rPr>
          <w:rFonts w:eastAsia="Times New Roman"/>
          <w:color w:val="000000" w:themeColor="text1"/>
          <w:sz w:val="16"/>
        </w:rPr>
        <w:t xml:space="preserve">can </w:t>
      </w:r>
      <w:r w:rsidRPr="0004086B">
        <w:rPr>
          <w:rStyle w:val="Heading3Char"/>
          <w:rFonts w:cs="Calibri"/>
          <w:color w:val="000000" w:themeColor="text1"/>
          <w:highlight w:val="cyan"/>
        </w:rPr>
        <w:t>change lives</w:t>
      </w:r>
      <w:r w:rsidRPr="00647A04">
        <w:rPr>
          <w:rFonts w:eastAsia="Times New Roman"/>
          <w:color w:val="000000" w:themeColor="text1"/>
          <w:sz w:val="16"/>
        </w:rPr>
        <w:t xml:space="preserve">. But systemically, it fails. And the systemic failure is getting more and more acute. And so what we imagine is that the Institute, assisted by the 3E Process Seed Bank, will create a new space that might overlap with some of the things the university does well, without being a part of it (or being subsumed by its logic). </w:t>
      </w:r>
      <w:r w:rsidRPr="00647A04">
        <w:rPr>
          <w:rFonts w:eastAsia="Times New Roman"/>
          <w:b/>
          <w:bCs/>
          <w:color w:val="000000" w:themeColor="text1"/>
          <w:sz w:val="16"/>
        </w:rPr>
        <w:t>MASSUMI.—</w:t>
      </w:r>
      <w:r w:rsidRPr="00647A04">
        <w:rPr>
          <w:rFonts w:eastAsia="Times New Roman"/>
          <w:color w:val="000000" w:themeColor="text1"/>
          <w:sz w:val="16"/>
        </w:rPr>
        <w:t xml:space="preserve"> Going back to the question of value, we want to create an economy around the platform that does not follow any of the usual economic principles. There will be no individual ownership or shares. There will be no units of account, no currency or tokens used internally. The model of activity will not be transactional. Individual interest will not be used as an incentivizer. What there will be is </w:t>
      </w:r>
      <w:r w:rsidRPr="0004086B">
        <w:rPr>
          <w:rStyle w:val="Heading3Char"/>
          <w:rFonts w:cs="Calibri"/>
          <w:color w:val="000000" w:themeColor="text1"/>
          <w:highlight w:val="cyan"/>
        </w:rPr>
        <w:t>a complex space of relation for people</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to create intensities of experience together</w:t>
      </w:r>
      <w:r w:rsidRPr="00647A04">
        <w:rPr>
          <w:rFonts w:eastAsia="Times New Roman"/>
          <w:color w:val="000000" w:themeColor="text1"/>
          <w:sz w:val="16"/>
        </w:rPr>
        <w:t xml:space="preserve">, in emergent excess over what they could have created working separately, or in traditional teams. It’s meant to be self-organizing, with no separate administrative structure or hierarchy, and even no formal decision-making rules. It’s anarchistic in that sense, but through mobilizing a surplus of organizing potential, rather than lacking organization. You could also call it communistic, in the sense that there is no individual value holding. Everything is common. </w:t>
      </w:r>
      <w:r w:rsidRPr="00647A04">
        <w:rPr>
          <w:rFonts w:eastAsia="Times New Roman"/>
          <w:b/>
          <w:bCs/>
          <w:color w:val="000000" w:themeColor="text1"/>
          <w:sz w:val="16"/>
        </w:rPr>
        <w:t>MANNING.—</w:t>
      </w:r>
      <w:r w:rsidRPr="00647A04">
        <w:rPr>
          <w:rFonts w:eastAsia="Times New Roman"/>
          <w:color w:val="000000" w:themeColor="text1"/>
          <w:sz w:val="16"/>
        </w:rPr>
        <w:t xml:space="preserve"> Undercommon. </w:t>
      </w:r>
      <w:r w:rsidRPr="00647A04">
        <w:rPr>
          <w:rFonts w:eastAsia="Times New Roman"/>
          <w:b/>
          <w:bCs/>
          <w:color w:val="000000" w:themeColor="text1"/>
          <w:sz w:val="16"/>
        </w:rPr>
        <w:t>MASSUMI.—</w:t>
      </w:r>
      <w:r w:rsidRPr="00647A04">
        <w:rPr>
          <w:rFonts w:eastAsia="Times New Roman"/>
          <w:color w:val="000000" w:themeColor="text1"/>
          <w:sz w:val="16"/>
        </w:rPr>
        <w:t xml:space="preserve"> Yes, undercommonly. The undercommons is Fred Moten and Stefano Harney’s word for emergent collectivity, which is one of our inspirations. We want to foster emergence and process, but at the same time find ways of making it sustainable. That means that the strategic duplicity has to extend to the economy as we currently know it. We have to be parasitical to the capitalist economy, while operating according to a logic that is totally alien to it. What we’re thinking of is making the collaborative process moving through the platform function according to the radically anti-capitalist principles we were just talking about, centering on the collective production of surplus values of life, and separating that from the dominant economy by a membrane. A membrane creates a separation, but at the same time allows for movements across. It has a certain porosity. The idea is that we would find ways, associated with the affect-o-meter we were describing earlier, to register qualitative shifts in the creative process as it moves over its formative thresholds, and moves back and forth between online operations and offline events. What would be registered is the affective intensity of the production of surplus value of life, its ebbs and flows. The membrane would consist in a translation of those qualitative flows into a numerical expression, which would feed into a cryptocurrency. Basically, we’d be mining crypto with collaborative creative energies—monetizing emergent collectivity. The currency would be “backed” by the confidence we could build in our ability to keep the creative process going and spin it off into other projects, as evidenced by the activities of the Three Ecologies Institute as an experiment in alter-education.</w:t>
      </w:r>
    </w:p>
    <w:p w14:paraId="0984CD0F" w14:textId="77777777" w:rsidR="00EF6F9A" w:rsidRPr="00F601E6" w:rsidRDefault="00EF6F9A" w:rsidP="00EF6F9A"/>
    <w:p w14:paraId="46BB7EF5" w14:textId="77777777" w:rsidR="00EF6F9A" w:rsidRPr="0004086B" w:rsidRDefault="00EF6F9A" w:rsidP="00EF6F9A">
      <w:pPr>
        <w:spacing w:line="240" w:lineRule="auto"/>
        <w:rPr>
          <w:sz w:val="16"/>
        </w:rPr>
      </w:pPr>
    </w:p>
    <w:p w14:paraId="220253EC" w14:textId="77777777" w:rsidR="00EF6F9A" w:rsidRPr="00292DE7" w:rsidRDefault="00EF6F9A" w:rsidP="00EF6F9A">
      <w:pPr>
        <w:pStyle w:val="Heading2"/>
        <w:rPr>
          <w:rFonts w:cs="Times New Roman"/>
        </w:rPr>
      </w:pPr>
      <w:r w:rsidRPr="00292DE7">
        <w:rPr>
          <w:rFonts w:cs="Times New Roman"/>
        </w:rPr>
        <w:t>Offense</w:t>
      </w:r>
    </w:p>
    <w:p w14:paraId="4E5A532F" w14:textId="64B7ABC8" w:rsidR="00EF6F9A" w:rsidRDefault="00EF6F9A" w:rsidP="00EF6F9A">
      <w:pPr>
        <w:pStyle w:val="Heading4"/>
        <w:rPr>
          <w:rFonts w:cs="Times New Roman"/>
        </w:rPr>
      </w:pPr>
      <w:r w:rsidRPr="00292DE7">
        <w:rPr>
          <w:rFonts w:cs="Times New Roman"/>
        </w:rPr>
        <w:t xml:space="preserve">Thus, I affirm—Resolved: A just government ought to recognize an unconditional right of workers to strike. I’ll spec whatever you want me to in cx as long as it doesn’t force me to abandon my maximum. </w:t>
      </w:r>
    </w:p>
    <w:p w14:paraId="7A3612BA" w14:textId="77777777" w:rsidR="00EF6F9A" w:rsidRPr="005C72F6" w:rsidRDefault="00EF6F9A" w:rsidP="00EF6F9A"/>
    <w:p w14:paraId="077975EA" w14:textId="77777777" w:rsidR="00EF6F9A" w:rsidRPr="00292DE7" w:rsidRDefault="00EF6F9A" w:rsidP="00EF6F9A">
      <w:pPr>
        <w:pStyle w:val="Heading3"/>
        <w:rPr>
          <w:rFonts w:cs="Times New Roman"/>
        </w:rPr>
      </w:pPr>
      <w:r w:rsidRPr="00292DE7">
        <w:rPr>
          <w:rFonts w:cs="Times New Roman"/>
        </w:rPr>
        <w:t xml:space="preserve">Contention 1: </w:t>
      </w:r>
    </w:p>
    <w:p w14:paraId="59AD4DB9" w14:textId="77777777" w:rsidR="00EF6F9A" w:rsidRPr="00292DE7" w:rsidRDefault="00EF6F9A" w:rsidP="00EF6F9A">
      <w:pPr>
        <w:pStyle w:val="Heading4"/>
        <w:rPr>
          <w:rFonts w:cs="Times New Roman"/>
        </w:rPr>
      </w:pPr>
      <w:r w:rsidRPr="00292DE7">
        <w:rPr>
          <w:rFonts w:cs="Times New Roman"/>
        </w:rPr>
        <w:t>Oppression staticizes subjects as “workers” creating an interlocking effects that prevent fluidity to become more than a worker</w:t>
      </w:r>
    </w:p>
    <w:p w14:paraId="688BA97E" w14:textId="77777777" w:rsidR="00EF6F9A" w:rsidRPr="00292DE7" w:rsidRDefault="00EF6F9A" w:rsidP="00EF6F9A">
      <w:r w:rsidRPr="00292DE7">
        <w:rPr>
          <w:rStyle w:val="Style13ptBold"/>
        </w:rPr>
        <w:t xml:space="preserve">Gourevitch 18 </w:t>
      </w:r>
      <w:r w:rsidRPr="00292DE7">
        <w:rPr>
          <w:sz w:val="18"/>
        </w:rPr>
        <w:t>[Alex Gourevitch is an associate professor political science at Brown University.  “The Right to Strike: A Radical View.”  2018.  American Political Science Review.  https://sci-hub.se/10.1017/s0003055418000321]</w:t>
      </w:r>
    </w:p>
    <w:p w14:paraId="50F22735" w14:textId="77777777" w:rsidR="00EF6F9A" w:rsidRPr="00292DE7" w:rsidRDefault="00EF6F9A" w:rsidP="00EF6F9A">
      <w:pPr>
        <w:rPr>
          <w:u w:val="single"/>
        </w:rPr>
      </w:pPr>
      <w:r w:rsidRPr="00292DE7">
        <w:rPr>
          <w:u w:val="single"/>
        </w:rPr>
        <w:t>THE FACTS OF OPPRESSION</w:t>
      </w:r>
      <w:r w:rsidRPr="00292DE7">
        <w:rPr>
          <w:sz w:val="16"/>
        </w:rPr>
        <w:t xml:space="preserve"> IN TYPICAL LIBERAL CAPITALIST SOCIETIES To explain why </w:t>
      </w:r>
      <w:r w:rsidRPr="00292DE7">
        <w:rPr>
          <w:highlight w:val="green"/>
          <w:u w:val="single"/>
        </w:rPr>
        <w:t>the right to strike is a right to resist oppression</w:t>
      </w:r>
      <w:r w:rsidRPr="00292DE7">
        <w:rPr>
          <w:sz w:val="16"/>
        </w:rPr>
        <w:t xml:space="preserve">, I first must give an account of the relevant oppression. </w:t>
      </w:r>
      <w:r w:rsidRPr="00292DE7">
        <w:rPr>
          <w:u w:val="single"/>
        </w:rPr>
        <w:t>Oppression is the unjustifiable deprivation of freedom</w:t>
      </w:r>
      <w:r w:rsidRPr="00292DE7">
        <w:rPr>
          <w:sz w:val="16"/>
        </w:rPr>
        <w:t xml:space="preserve">. Some deprivations or restrictions of freedom are justified and therefore do not count as oppression. </w:t>
      </w:r>
      <w:r w:rsidRPr="00292DE7">
        <w:rPr>
          <w:u w:val="single"/>
        </w:rPr>
        <w:t xml:space="preserve">The oppression that matters for this article is the </w:t>
      </w:r>
      <w:r w:rsidRPr="00292DE7">
        <w:rPr>
          <w:highlight w:val="green"/>
          <w:u w:val="single"/>
        </w:rPr>
        <w:t>class-based oppression</w:t>
      </w:r>
      <w:r w:rsidRPr="00292DE7">
        <w:rPr>
          <w:u w:val="single"/>
        </w:rPr>
        <w:t xml:space="preserve"> of a typical liberal capitalist society</w:t>
      </w:r>
      <w:r w:rsidRPr="00292DE7">
        <w:rPr>
          <w:sz w:val="16"/>
        </w:rPr>
        <w:t xml:space="preserve">. By the class-based oppression, I mean the fact that </w:t>
      </w:r>
      <w:r w:rsidRPr="00292DE7">
        <w:rPr>
          <w:u w:val="single"/>
        </w:rPr>
        <w:t xml:space="preserve">the </w:t>
      </w:r>
      <w:r w:rsidRPr="00292DE7">
        <w:rPr>
          <w:highlight w:val="green"/>
          <w:u w:val="single"/>
        </w:rPr>
        <w:t>majority</w:t>
      </w:r>
      <w:r w:rsidRPr="00292DE7">
        <w:rPr>
          <w:u w:val="single"/>
        </w:rPr>
        <w:t xml:space="preserve"> of able-bodied people </w:t>
      </w:r>
      <w:r w:rsidRPr="00292DE7">
        <w:rPr>
          <w:highlight w:val="green"/>
          <w:u w:val="single"/>
        </w:rPr>
        <w:t>find themselves forced to work</w:t>
      </w:r>
      <w:r w:rsidRPr="00292DE7">
        <w:rPr>
          <w:u w:val="single"/>
        </w:rPr>
        <w:t xml:space="preserve"> for members of </w:t>
      </w:r>
      <w:r w:rsidRPr="00292DE7">
        <w:rPr>
          <w:highlight w:val="green"/>
          <w:u w:val="single"/>
        </w:rPr>
        <w:t>a</w:t>
      </w:r>
      <w:r w:rsidRPr="00292DE7">
        <w:rPr>
          <w:u w:val="single"/>
        </w:rPr>
        <w:t xml:space="preserve"> relatively </w:t>
      </w:r>
      <w:r w:rsidRPr="00292DE7">
        <w:rPr>
          <w:highlight w:val="green"/>
          <w:u w:val="single"/>
        </w:rPr>
        <w:t xml:space="preserve">small group </w:t>
      </w:r>
      <w:r w:rsidRPr="00292DE7">
        <w:rPr>
          <w:u w:val="single"/>
        </w:rPr>
        <w:t xml:space="preserve">who </w:t>
      </w:r>
      <w:r w:rsidRPr="00292DE7">
        <w:rPr>
          <w:highlight w:val="green"/>
          <w:u w:val="single"/>
        </w:rPr>
        <w:t>dominate control</w:t>
      </w:r>
      <w:r w:rsidRPr="00292DE7">
        <w:rPr>
          <w:u w:val="single"/>
        </w:rPr>
        <w:t xml:space="preserve"> over productive assets and who, thereby, enjoy unjustifiable control over the activities and products of those workers</w:t>
      </w:r>
      <w:r w:rsidRPr="00292DE7">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w:t>
      </w:r>
      <w:r w:rsidRPr="00292DE7">
        <w:rPr>
          <w:u w:val="single"/>
        </w:rPr>
        <w:t>the basic facts of class-based oppression do not change in a way that vitiates my argument’s applicability to those countries too.</w:t>
      </w:r>
      <w:r w:rsidRPr="00292DE7">
        <w:rPr>
          <w:sz w:val="16"/>
        </w:rPr>
        <w:t xml:space="preserve"> Empirical analysis of each country to which the argument applies, and how it would apply, is a separate project. </w:t>
      </w:r>
      <w:r w:rsidRPr="00292DE7">
        <w:rPr>
          <w:u w:val="single"/>
        </w:rPr>
        <w:t>The first element of oppression in a class society resides in the fact that (a) there are some who are forced into the labor market while others are not and (b) those who are forced to work—workers—have to work for those who own productive resources</w:t>
      </w:r>
      <w:r w:rsidRPr="00292DE7">
        <w:rPr>
          <w:sz w:val="16"/>
        </w:rPr>
        <w:t xml:space="preserve">. </w:t>
      </w:r>
      <w:r w:rsidRPr="00292DE7">
        <w:rPr>
          <w:highlight w:val="green"/>
          <w:u w:val="single"/>
        </w:rPr>
        <w:t xml:space="preserve">Workers are forced into the labor market because they have no </w:t>
      </w:r>
      <w:r w:rsidRPr="00292DE7">
        <w:rPr>
          <w:rStyle w:val="StyleUnderline"/>
        </w:rPr>
        <w:t>reasonable</w:t>
      </w:r>
      <w:r w:rsidRPr="00292DE7">
        <w:rPr>
          <w:sz w:val="16"/>
        </w:rPr>
        <w:t xml:space="preserve"> </w:t>
      </w:r>
      <w:r w:rsidRPr="00292DE7">
        <w:rPr>
          <w:highlight w:val="green"/>
          <w:u w:val="single"/>
        </w:rPr>
        <w:t>alternative</w:t>
      </w:r>
      <w:r w:rsidRPr="00292DE7">
        <w:rPr>
          <w:u w:val="single"/>
        </w:rPr>
        <w:t xml:space="preserve"> but to find a job</w:t>
      </w:r>
      <w:r w:rsidRPr="00292DE7">
        <w:rPr>
          <w:sz w:val="16"/>
        </w:rPr>
        <w:t xml:space="preserve">.8 </w:t>
      </w:r>
      <w:r w:rsidRPr="00292DE7">
        <w:rPr>
          <w:u w:val="single"/>
        </w:rPr>
        <w:t>They cannot produce necessary goods for themselves, nor can they rely on the charity of others, nor can they count on adequate state benefits</w:t>
      </w:r>
      <w:r w:rsidRPr="00292DE7">
        <w:rPr>
          <w:sz w:val="16"/>
        </w:rPr>
        <w:t xml:space="preserve">. The only way most people can gain reliable access to necessary goods is by buying them. </w:t>
      </w:r>
      <w:r w:rsidRPr="00292DE7">
        <w:rPr>
          <w:u w:val="single"/>
        </w:rPr>
        <w:t>The most reliable, often only, way most people have of acquiring enough money to buy those goods is through employment</w:t>
      </w:r>
      <w:r w:rsidRPr="00292DE7">
        <w:rPr>
          <w:sz w:val="16"/>
        </w:rPr>
        <w:t xml:space="preserve">. That is the sense in which they have no reasonable alternative but to find a job working for an employer. Depending on how we measure income and wealth, about 60–80% of Americans are in this situation for most of their adult lives.9 </w:t>
      </w:r>
      <w:r w:rsidRPr="00292DE7">
        <w:rPr>
          <w:highlight w:val="green"/>
          <w:u w:val="single"/>
        </w:rPr>
        <w:t>This forcing is not symmetrical</w:t>
      </w:r>
      <w:r w:rsidRPr="00292DE7">
        <w:rPr>
          <w:u w:val="single"/>
        </w:rPr>
        <w:t>. A significant minority is not similarly forced to work for someone else, though they might do so freely. That minority has enough wealth, either inherited or accumulated or both, that they have a reasonable alternative to entering the labor market</w:t>
      </w:r>
      <w:r w:rsidRPr="00292DE7">
        <w:rPr>
          <w:sz w:val="16"/>
        </w:rPr>
        <w:t xml:space="preserve">. So, this first dimension of oppression comes not from the fact that some are forced to work, but from the fact that the forcing is unequal and that asymmetry means some are forced to work for others.10 That is to say, </w:t>
      </w:r>
      <w:r w:rsidRPr="00292DE7">
        <w:rPr>
          <w:u w:val="single"/>
        </w:rPr>
        <w:t>what makes it oppressive is the wrong of unequally forcing the majority to work, for whatever purpose, while others face no such forcing at all</w:t>
      </w:r>
      <w:r w:rsidRPr="00292DE7">
        <w:rPr>
          <w:sz w:val="16"/>
        </w:rPr>
        <w:t xml:space="preserve">.11 </w:t>
      </w:r>
      <w:r w:rsidRPr="00292DE7">
        <w:rPr>
          <w:highlight w:val="green"/>
          <w:u w:val="single"/>
        </w:rPr>
        <w:t>That</w:t>
      </w:r>
      <w:r w:rsidRPr="00292DE7">
        <w:rPr>
          <w:u w:val="single"/>
        </w:rPr>
        <w:t xml:space="preserve"> way of organizing and </w:t>
      </w:r>
      <w:r w:rsidRPr="00292DE7">
        <w:rPr>
          <w:highlight w:val="green"/>
          <w:u w:val="single"/>
        </w:rPr>
        <w:t>distributing coercive work obligations</w:t>
      </w:r>
      <w:r w:rsidRPr="00292DE7">
        <w:rPr>
          <w:u w:val="single"/>
        </w:rPr>
        <w:t xml:space="preserve">, and of imposing certain kinds of forcing on workers, </w:t>
      </w:r>
      <w:r w:rsidRPr="00292DE7">
        <w:rPr>
          <w:highlight w:val="green"/>
          <w:u w:val="single"/>
        </w:rPr>
        <w:t>is an unjustifiable way of limiting their freedom</w:t>
      </w:r>
      <w:r w:rsidRPr="00292DE7">
        <w:rPr>
          <w:u w:val="single"/>
        </w:rPr>
        <w:t xml:space="preserve"> and therefore oppressive.</w:t>
      </w:r>
      <w:r w:rsidRPr="00292DE7">
        <w:rPr>
          <w:sz w:val="16"/>
        </w:rPr>
        <w:t xml:space="preserve"> To fix ideas, I call this the structural element of oppression in class societies. 8 For a fuller analysis of workers being asymmetrically forced to work, or forced into particular occupations see Cohen (1988a,1988b), Ezorsky (2007), and Stanczyk (unpublished). These are primarily analytic descriptions of forcing, not normative analyses of what is wrong with that forcing. 9 For the 60–80% statistic, see Henwood (2005, 125). The statistics on wealth among the lower deciles is complex. A recent study shows that the net wealth of the bottom 50% is roughly 0. So at least 50% of US households are forced to use job-related income to meet annual expenses, though that has to be modified for those who receive (insufficient to live on) welfare benefits (Saez and Zucman 2014; Wolff 2012). 10 To be clear, the oppression here is not with any and all unequal and asymmetric forcing but with the inequality that arises from the class structure of society. For instance, it is not oppressive nor an unjust constraint on individual freedom, to force the able-bodied to do some work to support the disabled, children, the sick, the elderly, or the otherwise socially dependent who cannot perform a share of necessary labor. Though even there, there is some presumption that that burden of working for those who cannot work should be shared equally, and that individuals should not be forced to work for any purpose and under any conditions whatsoever.  What I am describing as oppression is not the very fact that some work and others don’t, but the inequality and asymmetry that arises from the inequalities in ownership and control. This forcing is unequal in that some ablebodied—and even some who by all rights should not have to work at all—are forced to work while other able-bodied individuals are not forced to work. And it is asymmetric in that those who have to work are, on the whole, forced to work for those who hire them, under conditions controlled primarily by employers. This structural element leads to a second, interpersonal dimension of oppression in the workplace itself. </w:t>
      </w:r>
      <w:r w:rsidRPr="00292DE7">
        <w:rPr>
          <w:highlight w:val="green"/>
          <w:u w:val="single"/>
        </w:rPr>
        <w:t>Workers are forced to join workplaces</w:t>
      </w:r>
      <w:r w:rsidRPr="00292DE7">
        <w:rPr>
          <w:u w:val="single"/>
        </w:rPr>
        <w:t xml:space="preserve"> typically </w:t>
      </w:r>
      <w:r w:rsidRPr="00292DE7">
        <w:rPr>
          <w:highlight w:val="green"/>
          <w:u w:val="single"/>
        </w:rPr>
        <w:t>characterized by</w:t>
      </w:r>
      <w:r w:rsidRPr="00292DE7">
        <w:rPr>
          <w:u w:val="single"/>
        </w:rPr>
        <w:t xml:space="preserve"> large swathes of </w:t>
      </w:r>
      <w:r w:rsidRPr="00292DE7">
        <w:rPr>
          <w:highlight w:val="green"/>
          <w:u w:val="single"/>
        </w:rPr>
        <w:t>uncontrolled managerial power</w:t>
      </w:r>
      <w:r w:rsidRPr="00292DE7">
        <w:rPr>
          <w:u w:val="single"/>
        </w:rPr>
        <w:t xml:space="preserve"> and authority. This oppression is interpersonal in the sense that it is power that specific individuals— employers and their managers—have to get other specific individuals—employees—to do what they want.</w:t>
      </w:r>
      <w:r w:rsidRPr="00292DE7">
        <w:rPr>
          <w:sz w:val="16"/>
        </w:rPr>
        <w:t xml:space="preserve"> We can distinguish between three overlapping forms that this interpersonal, workplace oppression takes: subordination, delegation, and dependence. </w:t>
      </w:r>
      <w:r w:rsidRPr="00292DE7">
        <w:rPr>
          <w:u w:val="single"/>
        </w:rPr>
        <w:t>Subordination: Employers have what are sometimes called “managerial prerogatives,”12 which are legislative and judicial grants of authority to owners and their managers to make decisions about investment, hiring and firing, plant location, work process, and the like</w:t>
      </w:r>
      <w:r w:rsidRPr="00292DE7">
        <w:rPr>
          <w:sz w:val="16"/>
        </w:rPr>
        <w:t xml:space="preserve">.13 These powers come from judicial precedent and from the constellation of corporate, labor, contract, and property law. </w:t>
      </w:r>
      <w:r w:rsidRPr="00292DE7">
        <w:rPr>
          <w:highlight w:val="green"/>
          <w:u w:val="single"/>
        </w:rPr>
        <w:t>Managers may</w:t>
      </w:r>
      <w:r w:rsidRPr="00292DE7">
        <w:rPr>
          <w:u w:val="single"/>
        </w:rPr>
        <w:t xml:space="preserve"> change working speeds and assigned tasks, the hours of work, or even force workers to spend up to an hour going through security lines after work without paying them (Integrity Staffing Solutions, Inc. v. Busk 2014). Managers may </w:t>
      </w:r>
      <w:r w:rsidRPr="00292DE7">
        <w:rPr>
          <w:highlight w:val="green"/>
          <w:u w:val="single"/>
        </w:rPr>
        <w:t>fire workers for Facebook comments</w:t>
      </w:r>
      <w:r w:rsidRPr="00292DE7">
        <w:rPr>
          <w:u w:val="single"/>
        </w:rPr>
        <w:t xml:space="preserve">, their </w:t>
      </w:r>
      <w:r w:rsidRPr="00292DE7">
        <w:rPr>
          <w:highlight w:val="green"/>
          <w:u w:val="single"/>
        </w:rPr>
        <w:t>sexual orientation</w:t>
      </w:r>
      <w:r w:rsidRPr="00292DE7">
        <w:rPr>
          <w:u w:val="single"/>
        </w:rPr>
        <w:t xml:space="preserve">, for </w:t>
      </w:r>
      <w:r w:rsidRPr="00292DE7">
        <w:rPr>
          <w:highlight w:val="green"/>
          <w:u w:val="single"/>
        </w:rPr>
        <w:t>being too sexually appealing</w:t>
      </w:r>
      <w:r w:rsidRPr="00292DE7">
        <w:rPr>
          <w:u w:val="single"/>
        </w:rPr>
        <w:t xml:space="preserve">, </w:t>
      </w:r>
      <w:r w:rsidRPr="00292DE7">
        <w:rPr>
          <w:highlight w:val="green"/>
          <w:u w:val="single"/>
        </w:rPr>
        <w:t>or</w:t>
      </w:r>
      <w:r w:rsidRPr="00292DE7">
        <w:rPr>
          <w:u w:val="single"/>
        </w:rPr>
        <w:t xml:space="preserve"> for </w:t>
      </w:r>
      <w:r w:rsidRPr="00292DE7">
        <w:rPr>
          <w:highlight w:val="green"/>
          <w:u w:val="single"/>
        </w:rPr>
        <w:t>not</w:t>
      </w:r>
      <w:r w:rsidRPr="00292DE7">
        <w:rPr>
          <w:u w:val="single"/>
        </w:rPr>
        <w:t xml:space="preserve"> being appealing </w:t>
      </w:r>
      <w:r w:rsidRPr="00292DE7">
        <w:rPr>
          <w:highlight w:val="green"/>
          <w:u w:val="single"/>
        </w:rPr>
        <w:t>enough</w:t>
      </w:r>
      <w:r w:rsidRPr="00292DE7">
        <w:rPr>
          <w:sz w:val="16"/>
        </w:rPr>
        <w:t xml:space="preserve"> (Emerson 2011; Hess 2013; Strauss 2013; Velasco 2011). </w:t>
      </w:r>
      <w:r w:rsidRPr="00292DE7">
        <w:rPr>
          <w:highlight w:val="green"/>
          <w:u w:val="single"/>
        </w:rPr>
        <w:t>Workers</w:t>
      </w:r>
      <w:r w:rsidRPr="00292DE7">
        <w:rPr>
          <w:u w:val="single"/>
        </w:rPr>
        <w:t xml:space="preserve"> may be </w:t>
      </w:r>
      <w:r w:rsidRPr="00292DE7">
        <w:rPr>
          <w:highlight w:val="green"/>
          <w:u w:val="single"/>
        </w:rPr>
        <w:t>given more tasks than can be performed</w:t>
      </w:r>
      <w:r w:rsidRPr="00292DE7">
        <w:rPr>
          <w:u w:val="single"/>
        </w:rPr>
        <w:t xml:space="preserve"> in the allotted time, </w:t>
      </w:r>
      <w:r w:rsidRPr="00292DE7">
        <w:rPr>
          <w:highlight w:val="green"/>
          <w:u w:val="single"/>
        </w:rPr>
        <w:t>locked in the workplace</w:t>
      </w:r>
      <w:r w:rsidRPr="00292DE7">
        <w:rPr>
          <w:u w:val="single"/>
        </w:rPr>
        <w:t xml:space="preserve"> overnight, </w:t>
      </w:r>
      <w:r w:rsidRPr="00292DE7">
        <w:rPr>
          <w:highlight w:val="green"/>
          <w:u w:val="single"/>
        </w:rPr>
        <w:t>required to work in</w:t>
      </w:r>
      <w:r w:rsidRPr="00292DE7">
        <w:rPr>
          <w:u w:val="single"/>
        </w:rPr>
        <w:t xml:space="preserve"> extreme heat and other </w:t>
      </w:r>
      <w:r w:rsidRPr="00292DE7">
        <w:rPr>
          <w:highlight w:val="green"/>
          <w:u w:val="single"/>
        </w:rPr>
        <w:t>physically hazardous conditions</w:t>
      </w:r>
      <w:r w:rsidRPr="00292DE7">
        <w:rPr>
          <w:u w:val="single"/>
        </w:rPr>
        <w:t xml:space="preserve">, or punitively isolated from other coworkers </w:t>
      </w:r>
      <w:r w:rsidRPr="00292DE7">
        <w:rPr>
          <w:sz w:val="16"/>
        </w:rPr>
        <w:t xml:space="preserve">(Greenhouse 2009, 26–27, 49–55, 89, 111–112; Hsu 2011; JOMO 2013; Urbina 2013). </w:t>
      </w:r>
      <w:r w:rsidRPr="00292DE7">
        <w:rPr>
          <w:u w:val="single"/>
        </w:rPr>
        <w:t xml:space="preserve">Managers </w:t>
      </w:r>
      <w:r w:rsidRPr="00292DE7">
        <w:rPr>
          <w:highlight w:val="green"/>
          <w:u w:val="single"/>
        </w:rPr>
        <w:t>may pressure employees into</w:t>
      </w:r>
      <w:r w:rsidRPr="00292DE7">
        <w:rPr>
          <w:u w:val="single"/>
        </w:rPr>
        <w:t xml:space="preserve"> unwanted political </w:t>
      </w:r>
      <w:r w:rsidRPr="00292DE7">
        <w:rPr>
          <w:highlight w:val="green"/>
          <w:u w:val="single"/>
        </w:rPr>
        <w:t>behavior</w:t>
      </w:r>
      <w:r w:rsidRPr="00292DE7">
        <w:rPr>
          <w:sz w:val="16"/>
        </w:rPr>
        <w:t xml:space="preserve"> (HertelFernandez 2015). In all of these cases, managers are exercising legally permitted prerogatives.14 </w:t>
      </w:r>
      <w:r w:rsidRPr="00292DE7">
        <w:rPr>
          <w:u w:val="single"/>
        </w:rPr>
        <w:t>The law does not require that workers have any formal say in how those powers are exercised</w:t>
      </w:r>
      <w:r w:rsidRPr="00292DE7">
        <w:rPr>
          <w:sz w:val="16"/>
        </w:rPr>
        <w:t xml:space="preserve">. In fact, in nearly every liberal capitalist country, employees are defined, in law, as “subordinates.”15 This is subordination in the strict sense: workers are subject to the will of the employer. Delegation: </w:t>
      </w:r>
      <w:r w:rsidRPr="00292DE7">
        <w:rPr>
          <w:u w:val="single"/>
        </w:rPr>
        <w:t>There are also other discretionary legal powers that managers have not by legal statute or precedent but because workers have voluntarily delegated these powers in the contract</w:t>
      </w:r>
      <w:r w:rsidRPr="00292DE7">
        <w:rPr>
          <w:sz w:val="16"/>
        </w:rPr>
        <w:t xml:space="preserve">. For instance, workers might sign a contract that allows managers to require employees to submit to random drug testing or unannounced searches (American Civil Liberties Union 2017). In the United States, 18% of current employees and 37% of workers in their lifetime work under noncompete agreements (Bunker 2016). </w:t>
      </w:r>
      <w:r w:rsidRPr="00292DE7">
        <w:rPr>
          <w:u w:val="single"/>
        </w:rPr>
        <w:t>These clauses give managers legal power to forbid workers from working for competitors</w:t>
      </w:r>
      <w:r w:rsidRPr="00292DE7">
        <w:rPr>
          <w:sz w:val="16"/>
        </w:rPr>
        <w:t xml:space="preserve">. The contract that the Communications Workers of America had with Verizon until 2015 included a right for managers to force employers to perform from 10 to 15 hours of overtime per week and to take some other day instead of Saturday as an off-day (Gourevitch 2016a). These legal powers are not parts of the managerial prerogatives that all employers have. Rather, they are voluntarily delegated to employers by workers. In many cases, though the delegation is in one sense voluntary, in another sense it is forced. </w:t>
      </w:r>
      <w:r w:rsidRPr="00292DE7">
        <w:rPr>
          <w:u w:val="single"/>
        </w:rPr>
        <w:t>This will especially be the case if workers, who are forced to find jobs, can only find jobs in sectors where the only contracts available are ones that require these kinds of delegations.</w:t>
      </w:r>
      <w:r w:rsidRPr="00292DE7">
        <w:rPr>
          <w:sz w:val="16"/>
        </w:rPr>
        <w:t xml:space="preserve"> Dependence: Finally, </w:t>
      </w:r>
      <w:r w:rsidRPr="00292DE7">
        <w:rPr>
          <w:rStyle w:val="StyleUnderline"/>
          <w:highlight w:val="green"/>
        </w:rPr>
        <w:t>managers</w:t>
      </w:r>
      <w:r w:rsidRPr="00292DE7">
        <w:rPr>
          <w:u w:val="single"/>
        </w:rPr>
        <w:t xml:space="preserve"> might </w:t>
      </w:r>
      <w:r w:rsidRPr="00292DE7">
        <w:rPr>
          <w:highlight w:val="green"/>
          <w:u w:val="single"/>
        </w:rPr>
        <w:t>have the material power to force employees to submit</w:t>
      </w:r>
      <w:r w:rsidRPr="00292DE7">
        <w:rPr>
          <w:u w:val="single"/>
        </w:rPr>
        <w:t xml:space="preserve"> to commands or even to accept violations of their rights because of the worker’s dependence on the employer</w:t>
      </w:r>
      <w:r w:rsidRPr="00292DE7">
        <w:rPr>
          <w:sz w:val="16"/>
        </w:rPr>
        <w:t xml:space="preserve">. A headline </w:t>
      </w:r>
      <w:r w:rsidRPr="00292DE7">
        <w:rPr>
          <w:u w:val="single"/>
        </w:rPr>
        <w:t>example is wage-theft</w:t>
      </w:r>
      <w:r w:rsidRPr="00292DE7">
        <w:rPr>
          <w:sz w:val="16"/>
        </w:rPr>
        <w:t xml:space="preserve">, which affects American workers to the tune of $8– $14 billion per year (Eisenbray 2015; Judson and Francisco-McGuire 2012; NELP 2013; Axt 2013). In other cases, workers have been forced to wear diapers rather than go to the bathroom, refused legally required lunch breaks, or pressured to work through them, forced to keep working after their shift is up, or denied the right to read or turn on air conditioning during break (Oxfam 2015; BennettSmith 2012; Egelko 2011; Greenhouse 2009, 3– 12; Little 2013; Vega 2012). Other </w:t>
      </w:r>
      <w:r w:rsidRPr="00292DE7">
        <w:rPr>
          <w:u w:val="single"/>
        </w:rPr>
        <w:t>employers have forced their workers to stay home rather than go out on weekends or to switch churches and alter religious practices on pain of being fired and deported</w:t>
      </w:r>
      <w:r w:rsidRPr="00292DE7">
        <w:rPr>
          <w:sz w:val="16"/>
        </w:rPr>
        <w:t xml:space="preserve"> (Garrison, Bensinger, and Singer-Vine 2015). In these cases, employers are not exercising legal prerogatives, they are instead taking advantage of the material power that comes with threatening to fire or otherwise discipline workers. </w:t>
      </w:r>
      <w:r w:rsidRPr="00292DE7">
        <w:rPr>
          <w:u w:val="single"/>
        </w:rPr>
        <w:t>This material power to get workers to do things that employers want is in part a function of the class structure of society, both in the wide sense of workers being asymmetrically dependent on owners, and in the narrower sense of workers being legally subordinate to employers</w:t>
      </w:r>
      <w:r w:rsidRPr="00292DE7">
        <w:rPr>
          <w:sz w:val="16"/>
        </w:rPr>
        <w:t xml:space="preserve">. Subordination, delegation, and dependence add up to a form of interpersonal oppression that employers and their managers have over their employees. The weight and scope of this oppression will vary, but those are variations on a theme.  Employers and managers enjoy wide swaths of uncontrolled or insufficiently controlled power over their employees. This is the second face of oppression in a class society and it is a live issue. For instance, during the Verizon strike of 2016, one major complaint was that, when out on the job, hanging cable, or repairing lines, some technicians had to ask their manager for permission to go to the bathroom or to get a drink of water. As one striker said in an interview, “Do I have to tell my boss every single minute of what I am doing? This is basic human dignity” (Gourevitch 2016b). If they did not ask or wait to get clear approval from their manager, then they were guilty of a time code violation and were suspended for up to six weeks. The strike made workplace control a direct issue and one measure of its success was a change in disciplinary proceedings (ibid.). To take another example, the Fight for $15 strikes have made control over scheduling a central demand, even managing in certain states and municipalities to pass laws mandating minimal regularity and predictability in weekly schedules (Andrias 2016, 47–70). So, if the first face of oppression is that workers are forced to work for some employer or another who does not face a similar kind of forcing; the second face is that workers are forced to become de jure and de facto subordinates to a specific employer.16 The third face of oppression is </w:t>
      </w:r>
      <w:r w:rsidRPr="00292DE7">
        <w:rPr>
          <w:u w:val="single"/>
        </w:rPr>
        <w:t xml:space="preserve">the </w:t>
      </w:r>
      <w:r w:rsidRPr="00292DE7">
        <w:rPr>
          <w:highlight w:val="green"/>
          <w:u w:val="single"/>
        </w:rPr>
        <w:t>systematic</w:t>
      </w:r>
      <w:r w:rsidRPr="00292DE7">
        <w:rPr>
          <w:u w:val="single"/>
        </w:rPr>
        <w:t xml:space="preserve"> distributive </w:t>
      </w:r>
      <w:r w:rsidRPr="00292DE7">
        <w:rPr>
          <w:highlight w:val="green"/>
          <w:u w:val="single"/>
        </w:rPr>
        <w:t>effects</w:t>
      </w:r>
      <w:r w:rsidRPr="00292DE7">
        <w:rPr>
          <w:u w:val="single"/>
        </w:rPr>
        <w:t xml:space="preserve"> of structural and interpersonal oppression.</w:t>
      </w:r>
      <w:r w:rsidRPr="00292DE7">
        <w:rPr>
          <w:sz w:val="16"/>
        </w:rPr>
        <w:t xml:space="preserve"> While some instances of class-based oppression are idiosyncratic, in general it has consistent distributive effects. </w:t>
      </w:r>
      <w:r w:rsidRPr="00292DE7">
        <w:rPr>
          <w:u w:val="single"/>
        </w:rPr>
        <w:t xml:space="preserve">The structural and interpersonal oppression of workers produces wage-bargains and limits on wealth accumulation that </w:t>
      </w:r>
      <w:r w:rsidRPr="00292DE7">
        <w:rPr>
          <w:highlight w:val="green"/>
          <w:u w:val="single"/>
        </w:rPr>
        <w:t>reproduce workers’ economic dependence on employers</w:t>
      </w:r>
      <w:r w:rsidRPr="00292DE7">
        <w:rPr>
          <w:u w:val="single"/>
        </w:rPr>
        <w:t>, their over or underemployment, and thereby allows a relatively small group of owners and highly paid managers to accumulate most of the wealth and income</w:t>
      </w:r>
      <w:r w:rsidRPr="00292DE7">
        <w:rPr>
          <w:sz w:val="16"/>
        </w:rPr>
        <w:t xml:space="preserve">. I cannot discuss the extensive literature on inequality. I can only cite some generally well-known facts and papers pointing to the role of inequalities in power as determining factors in these outcomes.17 To the degree that inequalities are a product of structural and workplace oppression, distributive outcomes are their own dimension of oppression and serve to reproduce those basic class relationships. Above all, there is one unjustifiable distributive effect of this oppression: that the majority of wage-bargains ensure the reproduction of that oppressive class structure. </w:t>
      </w:r>
      <w:r w:rsidRPr="00292DE7">
        <w:rPr>
          <w:u w:val="single"/>
        </w:rPr>
        <w:t xml:space="preserve">At any given point in time, a majority of </w:t>
      </w:r>
      <w:r w:rsidRPr="00292DE7">
        <w:rPr>
          <w:highlight w:val="green"/>
          <w:u w:val="single"/>
        </w:rPr>
        <w:t>workers do not earn enough</w:t>
      </w:r>
      <w:r w:rsidRPr="00292DE7">
        <w:rPr>
          <w:u w:val="single"/>
        </w:rPr>
        <w:t xml:space="preserve"> to both meet their needs and to save such that they can employ themselves or start their own businesses. They </w:t>
      </w:r>
      <w:r w:rsidRPr="00292DE7">
        <w:rPr>
          <w:rStyle w:val="Emphasis"/>
          <w:highlight w:val="green"/>
        </w:rPr>
        <w:t>must therefore remain workers</w:t>
      </w:r>
      <w:r w:rsidRPr="00292DE7">
        <w:rPr>
          <w:u w:val="single"/>
        </w:rPr>
        <w:t xml:space="preserve"> or, to the degree they rise, they do so either by displacing others or by taking the structurally limited number of opportunities available.</w:t>
      </w:r>
      <w:r w:rsidRPr="00292DE7">
        <w:rPr>
          <w:sz w:val="16"/>
        </w:rPr>
        <w:t xml:space="preserve">18 Each of these different faces of oppression— structural, interpersonal, and distributive—is a distinct injustice. </w:t>
      </w:r>
      <w:r w:rsidRPr="00292DE7">
        <w:rPr>
          <w:u w:val="single"/>
        </w:rPr>
        <w:t>Together they form an interrelated and mutually reinforcing set of oppressive relationships</w:t>
      </w:r>
      <w:r w:rsidRPr="00292DE7">
        <w:rPr>
          <w:sz w:val="16"/>
        </w:rPr>
        <w:t xml:space="preserve">. The various ways in which workers are forced to work, made subject to dominating authority, and made asymmetrically dependent in the economy does not produce a fair way of distributing the obligation to work and the rewards of social production. Rather, </w:t>
      </w:r>
      <w:r w:rsidRPr="00292DE7">
        <w:rPr>
          <w:u w:val="single"/>
        </w:rPr>
        <w:t>it constrains their freedom in a way that secures the exploitation of one class by another.</w:t>
      </w:r>
      <w:r w:rsidRPr="00292DE7">
        <w:rPr>
          <w:sz w:val="16"/>
        </w:rPr>
        <w:t xml:space="preserve"> The weight of these different oppressions is unevenly experienced across different segments of workers.  Various factors modify the basic facts about class and oppression. We have seen, for instance, the difference between being in a high labor supply versus a low labor supply sector. </w:t>
      </w:r>
      <w:r w:rsidRPr="00292DE7">
        <w:rPr>
          <w:u w:val="single"/>
        </w:rPr>
        <w:t>High labor supply sectors involve more intense labor competition, resulting in weaker bargaining power for workers and intensified oppression</w:t>
      </w:r>
      <w:r w:rsidRPr="00292DE7">
        <w:rPr>
          <w:sz w:val="16"/>
        </w:rPr>
        <w:t xml:space="preserve">. The opposite holds for lower labor supply sectors—like software programmers or fiber-optics technicians—whose greater bargaining power means they face class-based oppression less intensively. This has downstream consequences for our analysis of particular strikes, but it does not affect the argument for the right to strike itself. My description of the economy is controversial. Some will either reject aspects of the empirical description, find it too underspecified to agree, or they will disagree with the normative interpretation of it as involving systematic, unjustified restrictions on workers’ freedom. Any attempt to give a more detailed account of this political economy of exploitation would leave no room for the rest of the argument. In what follows, the reader does not have to agree with every aspect of my description of liberal capitalist arrangements. </w:t>
      </w:r>
      <w:r w:rsidRPr="00292DE7">
        <w:rPr>
          <w:u w:val="single"/>
        </w:rPr>
        <w:t xml:space="preserve">One need only agree that </w:t>
      </w:r>
      <w:r w:rsidRPr="00292DE7">
        <w:rPr>
          <w:sz w:val="16"/>
        </w:rPr>
        <w:t xml:space="preserve">the typical liberal capitalist economy is characterized by considerable, </w:t>
      </w:r>
      <w:r w:rsidRPr="00292DE7">
        <w:rPr>
          <w:u w:val="single"/>
        </w:rPr>
        <w:t>class-based oppression of workers, for reasons similar to the ones I have just provided, to then think that the right to strike can be seen as a right to resist oppression.</w:t>
      </w:r>
    </w:p>
    <w:p w14:paraId="74D6ED53" w14:textId="77777777" w:rsidR="00EF6F9A" w:rsidRPr="00292DE7" w:rsidRDefault="00EF6F9A" w:rsidP="00EF6F9A">
      <w:pPr>
        <w:pStyle w:val="Heading4"/>
        <w:rPr>
          <w:rFonts w:cs="Times New Roman"/>
        </w:rPr>
      </w:pPr>
      <w:r w:rsidRPr="00292DE7">
        <w:rPr>
          <w:rFonts w:cs="Times New Roman"/>
        </w:rPr>
        <w:t xml:space="preserve">Strikes disrupt the codification processes and </w:t>
      </w:r>
      <w:r>
        <w:rPr>
          <w:rFonts w:cs="Times New Roman"/>
        </w:rPr>
        <w:t>capitalist</w:t>
      </w:r>
      <w:r w:rsidRPr="00292DE7">
        <w:rPr>
          <w:rFonts w:cs="Times New Roman"/>
        </w:rPr>
        <w:t xml:space="preserve"> system enforced by the state, creating revolutionary and non-linear power that realizes the subjects affective potential and allows them to embrace active affect. </w:t>
      </w:r>
    </w:p>
    <w:p w14:paraId="745B7785" w14:textId="77777777" w:rsidR="00EF6F9A" w:rsidRPr="00292DE7" w:rsidRDefault="00EF6F9A" w:rsidP="00EF6F9A">
      <w:r w:rsidRPr="00292DE7">
        <w:rPr>
          <w:rStyle w:val="Style13ptBold"/>
        </w:rPr>
        <w:t>Holland 12</w:t>
      </w:r>
      <w:r w:rsidRPr="00292DE7">
        <w:t xml:space="preserve"> [Eugene Holland; Non-Linear Historical Materialism; Or, What is Revolutionary in Deleuze &amp; Guattari’s Philosophy of History?; from Chapter 2 of Time and History in Deleuze and Serres (2012) (Dr. Holland is Professor and Chair of Comparative Studies at the Ohio State University.)] SHS KS</w:t>
      </w:r>
    </w:p>
    <w:p w14:paraId="74051895" w14:textId="77777777" w:rsidR="00EF6F9A" w:rsidRPr="00292DE7" w:rsidRDefault="00EF6F9A" w:rsidP="00EF6F9A">
      <w:pPr>
        <w:rPr>
          <w:rStyle w:val="StyleUnderline"/>
          <w:b/>
          <w:iCs/>
        </w:rPr>
      </w:pPr>
      <w:r w:rsidRPr="00292DE7">
        <w:rPr>
          <w:rStyle w:val="Emphasis"/>
        </w:rPr>
        <w:t>Political struggle</w:t>
      </w:r>
      <w:r w:rsidRPr="00292DE7">
        <w:rPr>
          <w:rStyle w:val="StyleUnderline"/>
        </w:rPr>
        <w:t xml:space="preserve"> thus </w:t>
      </w:r>
      <w:r w:rsidRPr="00292DE7">
        <w:rPr>
          <w:rStyle w:val="Emphasis"/>
        </w:rPr>
        <w:t>necessarily involves two co-existent kinds of activity</w:t>
      </w:r>
      <w:r w:rsidRPr="00292DE7">
        <w:rPr>
          <w:rStyle w:val="StyleUnderline"/>
        </w:rPr>
        <w:t xml:space="preserve">: on one hand, there is </w:t>
      </w:r>
      <w:r w:rsidRPr="00292DE7">
        <w:rPr>
          <w:rStyle w:val="Emphasis"/>
        </w:rPr>
        <w:t>struggle within the axiomatic</w:t>
      </w:r>
      <w:r w:rsidRPr="00292DE7">
        <w:rPr>
          <w:rStyle w:val="StyleUnderline"/>
        </w:rPr>
        <w:t xml:space="preserve">, for whatever ameliorations can be wrung from capital </w:t>
      </w:r>
      <w:r w:rsidRPr="00292DE7">
        <w:rPr>
          <w:rStyle w:val="Emphasis"/>
        </w:rPr>
        <w:t>and</w:t>
      </w:r>
      <w:r w:rsidRPr="00292DE7">
        <w:rPr>
          <w:rStyle w:val="StyleUnderline"/>
        </w:rPr>
        <w:t xml:space="preserve">/or </w:t>
      </w:r>
      <w:r w:rsidRPr="00292DE7">
        <w:rPr>
          <w:rStyle w:val="Emphasis"/>
        </w:rPr>
        <w:t>the State through direct confrontation</w:t>
      </w:r>
      <w:r w:rsidRPr="00292DE7">
        <w:rPr>
          <w:sz w:val="16"/>
        </w:rPr>
        <w:t xml:space="preserve"> – and this is a mode of struggle that Deleuze and Guattari insist is perfectly valid and necessary (Deleuze et al., 1987, p. 471). </w:t>
      </w:r>
      <w:r w:rsidRPr="00292DE7">
        <w:rPr>
          <w:rStyle w:val="StyleUnderline"/>
        </w:rPr>
        <w:t>On the other hand</w:t>
      </w:r>
      <w:r w:rsidRPr="00292DE7">
        <w:rPr>
          <w:rStyle w:val="Emphasis"/>
          <w:highlight w:val="cyan"/>
        </w:rPr>
        <w:t>, there is the struggle to escape axiomatization and codifi cation altogether</w:t>
      </w:r>
      <w:r w:rsidRPr="00292DE7">
        <w:rPr>
          <w:rStyle w:val="StyleUnderline"/>
        </w:rPr>
        <w:t xml:space="preserve"> –the mode of struggle via de-coding and “ lines-of-flight ”that they in some sense prefer.</w:t>
      </w:r>
      <w:r w:rsidRPr="00292DE7">
        <w:rPr>
          <w:sz w:val="16"/>
        </w:rPr>
        <w:t xml:space="preserve"> </w:t>
      </w:r>
      <w:r w:rsidRPr="00292DE7">
        <w:rPr>
          <w:rStyle w:val="StyleUnderline"/>
        </w:rPr>
        <w:t xml:space="preserve">What is given is always ‘ </w:t>
      </w:r>
      <w:r w:rsidRPr="00292DE7">
        <w:rPr>
          <w:rStyle w:val="Emphasis"/>
        </w:rPr>
        <w:t xml:space="preserve">the coexistence and inseparability of that which the system conjugates, and that which never ceases to escape it following lines of flight that are themselves connectable </w:t>
      </w:r>
      <w:r w:rsidRPr="00292DE7">
        <w:rPr>
          <w:sz w:val="16"/>
        </w:rPr>
        <w:t xml:space="preserve">’ , as Deleuze &amp;Guattari put it in A Thousand Plateaus (Deleuze et al., 1987, p. 473). And this connectability of lines-of-fl ight is crucial, politically. What in the fi rst volume of Capitalism and Schizophrenia were called “ schizophrenic ”lines-of-fl ight are politically useless –or worse –if they do not intersect and connect up to constitute some kind of critical mass, as Deleuze &amp;Guattari are careful to specify more clearly in the second volume. Yet even here, the conditions for such a critical mass becoming revolutionary are left somewhat vague: the slogan </w:t>
      </w:r>
      <w:r w:rsidRPr="00292DE7">
        <w:rPr>
          <w:rStyle w:val="StyleUnderline"/>
        </w:rPr>
        <w:t xml:space="preserve">‘ a new people on a new earth ’echoes throughout their collaborative work as a kind of refrain; and they do suggest that </w:t>
      </w:r>
      <w:r w:rsidRPr="00292DE7">
        <w:rPr>
          <w:rStyle w:val="Emphasis"/>
          <w:highlight w:val="cyan"/>
        </w:rPr>
        <w:t xml:space="preserve">the ultimate challenge is to ‘ construct revolutionary connections over and against </w:t>
      </w:r>
      <w:r w:rsidRPr="00292DE7">
        <w:rPr>
          <w:rStyle w:val="Emphasis"/>
        </w:rPr>
        <w:t xml:space="preserve">[contre] </w:t>
      </w:r>
      <w:r w:rsidRPr="00292DE7">
        <w:rPr>
          <w:rStyle w:val="Emphasis"/>
          <w:highlight w:val="cyan"/>
        </w:rPr>
        <w:t>the conjugations of the axiomatic</w:t>
      </w:r>
      <w:r w:rsidRPr="00292DE7">
        <w:rPr>
          <w:rStyle w:val="StyleUnderline"/>
        </w:rPr>
        <w:t xml:space="preserve"> </w:t>
      </w:r>
      <w:r w:rsidRPr="00292DE7">
        <w:rPr>
          <w:sz w:val="16"/>
        </w:rPr>
        <w:t xml:space="preserve">’(Deleuze et al., 1987, p. 473). </w:t>
      </w:r>
      <w:r w:rsidRPr="00292DE7">
        <w:rPr>
          <w:rStyle w:val="StyleUnderline"/>
        </w:rPr>
        <w:t xml:space="preserve">But we need to try to get clearer about just which conditions are conducive to the formation of connections among lines-of-fl ight and about how a critical mass of revolutionary connections could overcome the conjugations of the capitalist axiomatic. </w:t>
      </w:r>
      <w:r w:rsidRPr="00292DE7">
        <w:rPr>
          <w:sz w:val="16"/>
        </w:rPr>
        <w:t xml:space="preserve">For insight into these questions, I propose that </w:t>
      </w:r>
      <w:r w:rsidRPr="00292DE7">
        <w:rPr>
          <w:rStyle w:val="Emphasis"/>
          <w:highlight w:val="cyan"/>
        </w:rPr>
        <w:t>we return to</w:t>
      </w:r>
      <w:r w:rsidRPr="00292DE7">
        <w:rPr>
          <w:rStyle w:val="StyleUnderline"/>
        </w:rPr>
        <w:t xml:space="preserve"> </w:t>
      </w:r>
      <w:r w:rsidRPr="00292DE7">
        <w:rPr>
          <w:rStyle w:val="Emphasis"/>
          <w:highlight w:val="cyan"/>
        </w:rPr>
        <w:t>the process</w:t>
      </w:r>
      <w:r w:rsidRPr="00292DE7">
        <w:rPr>
          <w:rStyle w:val="StyleUnderline"/>
        </w:rPr>
        <w:t xml:space="preserve"> with which we started: </w:t>
      </w:r>
      <w:r w:rsidRPr="00292DE7">
        <w:rPr>
          <w:rStyle w:val="Emphasis"/>
          <w:highlight w:val="cyan"/>
        </w:rPr>
        <w:t>reading Capital backwards.</w:t>
      </w:r>
      <w:r w:rsidRPr="00292DE7">
        <w:rPr>
          <w:rStyle w:val="StyleUnderline"/>
        </w:rPr>
        <w:t xml:space="preserve"> </w:t>
      </w:r>
      <w:r w:rsidRPr="00292DE7">
        <w:rPr>
          <w:rStyle w:val="Emphasis"/>
          <w:highlight w:val="cyan"/>
        </w:rPr>
        <w:t>This would mean</w:t>
      </w:r>
      <w:r w:rsidRPr="00292DE7">
        <w:rPr>
          <w:rStyle w:val="StyleUnderline"/>
        </w:rPr>
        <w:t xml:space="preserve"> </w:t>
      </w:r>
      <w:r w:rsidRPr="00292DE7">
        <w:rPr>
          <w:rStyle w:val="Emphasis"/>
          <w:highlight w:val="cyan"/>
        </w:rPr>
        <w:t>focusing</w:t>
      </w:r>
      <w:r w:rsidRPr="00292DE7">
        <w:rPr>
          <w:rStyle w:val="StyleUnderline"/>
        </w:rPr>
        <w:t xml:space="preserve"> less on the power of capital accumulation than </w:t>
      </w:r>
      <w:r w:rsidRPr="00292DE7">
        <w:rPr>
          <w:rStyle w:val="Emphasis"/>
          <w:highlight w:val="cyan"/>
        </w:rPr>
        <w:t>on</w:t>
      </w:r>
      <w:r w:rsidRPr="00292DE7">
        <w:rPr>
          <w:rStyle w:val="StyleUnderline"/>
        </w:rPr>
        <w:t xml:space="preserve"> so-called “ </w:t>
      </w:r>
      <w:r w:rsidRPr="00292DE7">
        <w:rPr>
          <w:rStyle w:val="Emphasis"/>
          <w:highlight w:val="cyan"/>
        </w:rPr>
        <w:t>primitive accumulation</w:t>
      </w:r>
      <w:r w:rsidRPr="00292DE7">
        <w:rPr>
          <w:rStyle w:val="StyleUnderline"/>
        </w:rPr>
        <w:t xml:space="preserve"> ” , </w:t>
      </w:r>
      <w:r w:rsidRPr="00292DE7">
        <w:rPr>
          <w:rStyle w:val="Emphasis"/>
          <w:highlight w:val="cyan"/>
        </w:rPr>
        <w:t xml:space="preserve">which </w:t>
      </w:r>
      <w:r w:rsidRPr="00292DE7">
        <w:rPr>
          <w:rStyle w:val="Emphasis"/>
        </w:rPr>
        <w:t>as</w:t>
      </w:r>
      <w:r w:rsidRPr="00292DE7">
        <w:rPr>
          <w:rStyle w:val="StyleUnderline"/>
        </w:rPr>
        <w:t xml:space="preserve"> we saw </w:t>
      </w:r>
      <w:r w:rsidRPr="00292DE7">
        <w:rPr>
          <w:rStyle w:val="Emphasis"/>
          <w:highlight w:val="cyan"/>
        </w:rPr>
        <w:t>is</w:t>
      </w:r>
      <w:r w:rsidRPr="00292DE7">
        <w:rPr>
          <w:rStyle w:val="StyleUnderline"/>
        </w:rPr>
        <w:t xml:space="preserve"> not really primitive but </w:t>
      </w:r>
      <w:r w:rsidRPr="00292DE7">
        <w:rPr>
          <w:rStyle w:val="Emphasis"/>
          <w:highlight w:val="cyan"/>
        </w:rPr>
        <w:t>always ongoing</w:t>
      </w:r>
      <w:r w:rsidRPr="00292DE7">
        <w:rPr>
          <w:rStyle w:val="StyleUnderline"/>
        </w:rPr>
        <w:t xml:space="preserve">, and not really accumulation but rather </w:t>
      </w:r>
      <w:r w:rsidRPr="00292DE7">
        <w:rPr>
          <w:rStyle w:val="Emphasis"/>
          <w:highlight w:val="cyan"/>
        </w:rPr>
        <w:t>dispossession</w:t>
      </w:r>
      <w:r w:rsidRPr="00292DE7">
        <w:rPr>
          <w:sz w:val="16"/>
        </w:rPr>
        <w:t xml:space="preserve">; and it would mean, like Althusser, highlighting in our considerations the non-linear conditions of reproduction rather than the linear causality of production/accumulation. And I propose that we examine in this light the key political-economic strategies of anti-capitalist struggle –and I specify “ political-economic ”strategies (those of radical syndicalism, if you will) to rule out of consideration what we might call more narrowly political strategies –state-centric or party-electoral strategies –as insuffi - ciently revolutionary. These political-economic strategies are the strike, and especially the general strike. As Walter Benjamin has very clearly noted, </w:t>
      </w:r>
      <w:r w:rsidRPr="00292DE7">
        <w:rPr>
          <w:rStyle w:val="Emphasis"/>
          <w:highlight w:val="cyan"/>
        </w:rPr>
        <w:t xml:space="preserve">the </w:t>
      </w:r>
      <w:r w:rsidRPr="00292DE7">
        <w:rPr>
          <w:rStyle w:val="Emphasis"/>
        </w:rPr>
        <w:t xml:space="preserve">general </w:t>
      </w:r>
      <w:r w:rsidRPr="00292DE7">
        <w:rPr>
          <w:rStyle w:val="Emphasis"/>
          <w:highlight w:val="cyan"/>
        </w:rPr>
        <w:t>strike is distinctive in that it is non-confrontational</w:t>
      </w:r>
      <w:r w:rsidRPr="00292DE7">
        <w:rPr>
          <w:sz w:val="16"/>
        </w:rPr>
        <w:t xml:space="preserve"> (although he would say non-violent, which is not quite the same thing, and perhaps a little too optimistic) (Benjamin, 1978, pp. 277 – 300). In principle</w:t>
      </w:r>
      <w:r w:rsidRPr="00292DE7">
        <w:rPr>
          <w:rStyle w:val="StyleUnderline"/>
        </w:rPr>
        <w:t xml:space="preserve">, </w:t>
      </w:r>
      <w:r w:rsidRPr="00292DE7">
        <w:rPr>
          <w:rStyle w:val="Emphasis"/>
        </w:rPr>
        <w:t>a strike</w:t>
      </w:r>
      <w:r w:rsidRPr="00292DE7">
        <w:rPr>
          <w:rStyle w:val="StyleUnderline"/>
        </w:rPr>
        <w:t xml:space="preserve"> does not </w:t>
      </w:r>
      <w:r w:rsidRPr="00292DE7">
        <w:rPr>
          <w:rStyle w:val="Emphasis"/>
        </w:rPr>
        <w:t>involve[s]</w:t>
      </w:r>
      <w:r w:rsidRPr="00292DE7">
        <w:rPr>
          <w:rStyle w:val="StyleUnderline"/>
        </w:rPr>
        <w:t xml:space="preserve"> one power bloc directly confronting another, but rather </w:t>
      </w:r>
      <w:r w:rsidRPr="00292DE7">
        <w:rPr>
          <w:rStyle w:val="Emphasis"/>
        </w:rPr>
        <w:t>one bloc withdrawing from its previous mode of engagement</w:t>
      </w:r>
      <w:r w:rsidRPr="00292DE7">
        <w:rPr>
          <w:rStyle w:val="StyleUnderline"/>
        </w:rPr>
        <w:t xml:space="preserve"> </w:t>
      </w:r>
      <w:r w:rsidRPr="00292DE7">
        <w:rPr>
          <w:sz w:val="16"/>
        </w:rPr>
        <w:t xml:space="preserve">(wage-slavery) vis- à -vis the other. </w:t>
      </w:r>
      <w:r w:rsidRPr="00292DE7">
        <w:rPr>
          <w:rStyle w:val="StyleUnderline"/>
        </w:rPr>
        <w:t xml:space="preserve">The same is true of </w:t>
      </w:r>
      <w:r w:rsidRPr="00292DE7">
        <w:rPr>
          <w:rStyle w:val="Emphasis"/>
        </w:rPr>
        <w:t>the general strike</w:t>
      </w:r>
      <w:r w:rsidRPr="00292DE7">
        <w:rPr>
          <w:rStyle w:val="StyleUnderline"/>
        </w:rPr>
        <w:t xml:space="preserve">, which </w:t>
      </w:r>
      <w:r w:rsidRPr="00292DE7">
        <w:rPr>
          <w:rStyle w:val="Emphasis"/>
        </w:rPr>
        <w:t>expands the act of withdrawal to a larger scale:</w:t>
      </w:r>
      <w:r w:rsidRPr="00292DE7">
        <w:rPr>
          <w:rStyle w:val="Emphasis"/>
          <w:highlight w:val="cyan"/>
        </w:rPr>
        <w:t xml:space="preserve"> here we have a critical mass of workers walking away en masse from their engagement with capital.</w:t>
      </w:r>
      <w:r w:rsidRPr="00292DE7">
        <w:rPr>
          <w:rStyle w:val="StyleUnderline"/>
        </w:rPr>
        <w:t xml:space="preserve"> Yet from the perspective of reproduction and so-called primitive accumulation –and this is key –</w:t>
      </w:r>
      <w:r w:rsidRPr="00292DE7">
        <w:rPr>
          <w:rStyle w:val="Emphasis"/>
          <w:highlight w:val="cyan"/>
        </w:rPr>
        <w:t xml:space="preserve">what the masses are walking away “ from ” –capital accumulation –is </w:t>
      </w:r>
      <w:r w:rsidRPr="00292DE7">
        <w:rPr>
          <w:rStyle w:val="Emphasis"/>
        </w:rPr>
        <w:t xml:space="preserve">actually </w:t>
      </w:r>
      <w:r w:rsidRPr="00292DE7">
        <w:rPr>
          <w:rStyle w:val="Emphasis"/>
          <w:highlight w:val="cyan"/>
        </w:rPr>
        <w:t xml:space="preserve">less important than what they are able to walk “ towards ” : </w:t>
      </w:r>
      <w:r w:rsidRPr="00292DE7">
        <w:rPr>
          <w:rStyle w:val="Emphasis"/>
        </w:rPr>
        <w:t xml:space="preserve">rejecting capital is less important than having </w:t>
      </w:r>
      <w:r w:rsidRPr="00292DE7">
        <w:rPr>
          <w:rStyle w:val="Emphasis"/>
          <w:highlight w:val="cyan"/>
        </w:rPr>
        <w:t xml:space="preserve">something sustaining </w:t>
      </w:r>
      <w:r w:rsidRPr="00292DE7">
        <w:rPr>
          <w:rStyle w:val="Emphasis"/>
        </w:rPr>
        <w:t xml:space="preserve">and sustainable </w:t>
      </w:r>
      <w:r w:rsidRPr="00292DE7">
        <w:rPr>
          <w:rStyle w:val="Emphasis"/>
          <w:highlight w:val="cyan"/>
        </w:rPr>
        <w:t>to rely on.</w:t>
      </w:r>
      <w:r w:rsidRPr="00292DE7">
        <w:rPr>
          <w:sz w:val="16"/>
        </w:rPr>
        <w:t xml:space="preserve"> You will recall that the crucial catalyst entailed by primitive accumulation was enforced dependence on capitalist markets: </w:t>
      </w:r>
      <w:r w:rsidRPr="00292DE7">
        <w:rPr>
          <w:rStyle w:val="StyleUnderline"/>
        </w:rPr>
        <w:t>remove this catalyst, and capitalism no longer “ becomes necessary ”</w:t>
      </w:r>
      <w:r w:rsidRPr="00292DE7">
        <w:rPr>
          <w:sz w:val="16"/>
        </w:rPr>
        <w:t xml:space="preserve"> , to invoke Althusser once again. </w:t>
      </w:r>
      <w:r w:rsidRPr="00292DE7">
        <w:rPr>
          <w:rStyle w:val="Emphasis"/>
          <w:highlight w:val="cyan"/>
        </w:rPr>
        <w:t>More important than directly confronting capital</w:t>
      </w:r>
      <w:r w:rsidRPr="00292DE7">
        <w:rPr>
          <w:rStyle w:val="Emphasis"/>
        </w:rPr>
        <w:t xml:space="preserve">, in other words, is securing alternative means of life, </w:t>
      </w:r>
      <w:r w:rsidRPr="00292DE7">
        <w:rPr>
          <w:rStyle w:val="Emphasis"/>
          <w:highlight w:val="cyan"/>
        </w:rPr>
        <w:t xml:space="preserve">an alternative mode </w:t>
      </w:r>
      <w:r w:rsidRPr="00292DE7">
        <w:rPr>
          <w:rStyle w:val="Emphasis"/>
        </w:rPr>
        <w:t>of reproduction</w:t>
      </w:r>
      <w:r w:rsidRPr="00292DE7">
        <w:rPr>
          <w:rStyle w:val="StyleUnderline"/>
        </w:rPr>
        <w:t>.</w:t>
      </w:r>
      <w:r w:rsidRPr="00292DE7">
        <w:rPr>
          <w:sz w:val="16"/>
        </w:rPr>
        <w:t xml:space="preserve"> Even more important: such alternatives already exist. One of the great virtues of Gibson-Graham ’ s work is to demonstrate </w:t>
      </w:r>
      <w:r w:rsidRPr="00292DE7">
        <w:rPr>
          <w:rStyle w:val="StyleUnderline"/>
        </w:rPr>
        <w:t>how incomplete capitalism actually is and how many alternative economies co-exist within or beside it</w:t>
      </w:r>
      <w:r w:rsidRPr="00292DE7">
        <w:rPr>
          <w:sz w:val="16"/>
        </w:rPr>
        <w:t xml:space="preserve"> (Gibson-Graham, 1996; 2006). Community Supported Agriculture; the co-op movement; the Open-Source Software movement; Fair Trade –all these, and many more, constitute viable, actually existing alternatives to capitalism. </w:t>
      </w:r>
      <w:r w:rsidRPr="00292DE7">
        <w:rPr>
          <w:rStyle w:val="StyleUnderline"/>
        </w:rPr>
        <w:t xml:space="preserve">And </w:t>
      </w:r>
      <w:r w:rsidRPr="00292DE7">
        <w:rPr>
          <w:rStyle w:val="Emphasis"/>
          <w:highlight w:val="cyan"/>
        </w:rPr>
        <w:t>all it will take for them</w:t>
      </w:r>
      <w:r w:rsidRPr="00292DE7">
        <w:rPr>
          <w:rStyle w:val="StyleUnderline"/>
        </w:rPr>
        <w:t xml:space="preserve">, in connection with others, </w:t>
      </w:r>
      <w:r w:rsidRPr="00292DE7">
        <w:rPr>
          <w:rStyle w:val="Emphasis"/>
          <w:highlight w:val="cyan"/>
        </w:rPr>
        <w:t>to become revolutionary</w:t>
      </w:r>
      <w:r w:rsidRPr="00292DE7">
        <w:rPr>
          <w:rStyle w:val="StyleUnderline"/>
        </w:rPr>
        <w:t xml:space="preserve"> –</w:t>
      </w:r>
      <w:r w:rsidRPr="00292DE7">
        <w:rPr>
          <w:rStyle w:val="Emphasis"/>
          <w:highlight w:val="cyan"/>
        </w:rPr>
        <w:t>in the</w:t>
      </w:r>
      <w:r w:rsidRPr="00292DE7">
        <w:rPr>
          <w:rStyle w:val="StyleUnderline"/>
        </w:rPr>
        <w:t xml:space="preserve"> specifi cally </w:t>
      </w:r>
      <w:r w:rsidRPr="00292DE7">
        <w:rPr>
          <w:rStyle w:val="Emphasis"/>
          <w:highlight w:val="cyan"/>
        </w:rPr>
        <w:t>non-linear sense</w:t>
      </w:r>
      <w:r w:rsidRPr="00292DE7">
        <w:rPr>
          <w:rStyle w:val="StyleUnderline"/>
        </w:rPr>
        <w:t xml:space="preserve"> I am proposing –</w:t>
      </w:r>
      <w:r w:rsidRPr="00292DE7">
        <w:rPr>
          <w:rStyle w:val="Emphasis"/>
        </w:rPr>
        <w:t>is for a critical mass of people to invest their life-activity in them, rather than in capitalist markets.</w:t>
      </w:r>
      <w:r w:rsidRPr="00292DE7">
        <w:rPr>
          <w:sz w:val="16"/>
        </w:rPr>
        <w:t xml:space="preserve"> We tend to think of linear revolutions as punctual: 1917, 1848 and so on –even though they probably were not. </w:t>
      </w:r>
      <w:r w:rsidRPr="00292DE7">
        <w:rPr>
          <w:rStyle w:val="StyleUnderline"/>
        </w:rPr>
        <w:t xml:space="preserve">But the non-linear revolution I am talking about is even less punctual: </w:t>
      </w:r>
      <w:r w:rsidRPr="00292DE7">
        <w:rPr>
          <w:rStyle w:val="Emphasis"/>
        </w:rPr>
        <w:t>it entails instead what I elsewhere call the strategy of the ‘ slowmotion general strike</w:t>
      </w:r>
      <w:r w:rsidRPr="00292DE7">
        <w:rPr>
          <w:sz w:val="16"/>
        </w:rPr>
        <w:t xml:space="preserve"> ’(Holland, forthcoming). </w:t>
      </w:r>
      <w:r w:rsidRPr="00292DE7">
        <w:rPr>
          <w:rStyle w:val="Emphasis"/>
          <w:highlight w:val="cyan"/>
        </w:rPr>
        <w:t>Critical masses of people in various aspects of their life-activity just walk away from capital –</w:t>
      </w:r>
      <w:r w:rsidRPr="00292DE7">
        <w:rPr>
          <w:rStyle w:val="Emphasis"/>
        </w:rPr>
        <w:t>having secured in advance at least the rudiments of alternative means of life.</w:t>
      </w:r>
      <w:r w:rsidRPr="00292DE7">
        <w:rPr>
          <w:rStyle w:val="StyleUnderline"/>
        </w:rPr>
        <w:t xml:space="preserve"> This does not have to happen all at once: but as soon as suffi cient numbers of people in enough areas of life do so, </w:t>
      </w:r>
      <w:r w:rsidRPr="00292DE7">
        <w:rPr>
          <w:rStyle w:val="Emphasis"/>
          <w:highlight w:val="cyan"/>
        </w:rPr>
        <w:t>a tipping point will have been reached, a non-linear bifurcation threshold crossed, beyond which capitalism will</w:t>
      </w:r>
      <w:r w:rsidRPr="00292DE7">
        <w:rPr>
          <w:rStyle w:val="StyleUnderline"/>
        </w:rPr>
        <w:t xml:space="preserve"> not only no longer be necessary, it will actually </w:t>
      </w:r>
      <w:r w:rsidRPr="00292DE7">
        <w:rPr>
          <w:rStyle w:val="Emphasis"/>
          <w:highlight w:val="cyan"/>
        </w:rPr>
        <w:t>become-unnecessary.</w:t>
      </w:r>
      <w:r w:rsidRPr="00292DE7">
        <w:rPr>
          <w:rStyle w:val="StyleUnderline"/>
        </w:rPr>
        <w:t xml:space="preserve"> As </w:t>
      </w:r>
      <w:r w:rsidRPr="00292DE7">
        <w:rPr>
          <w:rStyle w:val="Emphasis"/>
        </w:rPr>
        <w:t>the slow-motion general strike</w:t>
      </w:r>
      <w:r w:rsidRPr="00292DE7">
        <w:rPr>
          <w:rStyle w:val="StyleUnderline"/>
        </w:rPr>
        <w:t xml:space="preserve"> reaches completion, that is to say, it is not just </w:t>
      </w:r>
      <w:r w:rsidRPr="00292DE7">
        <w:rPr>
          <w:rStyle w:val="Emphasis"/>
          <w:highlight w:val="cyan"/>
        </w:rPr>
        <w:t>the State</w:t>
      </w:r>
      <w:r w:rsidRPr="00292DE7">
        <w:rPr>
          <w:rStyle w:val="StyleUnderline"/>
        </w:rPr>
        <w:t xml:space="preserve">, but also capitalism itself that </w:t>
      </w:r>
      <w:r w:rsidRPr="00292DE7">
        <w:rPr>
          <w:rStyle w:val="Emphasis"/>
          <w:highlight w:val="cyan"/>
        </w:rPr>
        <w:t>ends up withering away.</w:t>
      </w:r>
    </w:p>
    <w:p w14:paraId="028D024B" w14:textId="77777777" w:rsidR="00EF6F9A" w:rsidRPr="00292DE7" w:rsidRDefault="00EF6F9A" w:rsidP="00EF6F9A">
      <w:pPr>
        <w:pStyle w:val="Heading3"/>
        <w:rPr>
          <w:rFonts w:cs="Times New Roman"/>
        </w:rPr>
      </w:pPr>
      <w:r w:rsidRPr="00292DE7">
        <w:rPr>
          <w:rFonts w:cs="Times New Roman"/>
        </w:rPr>
        <w:t xml:space="preserve">Contention 2: </w:t>
      </w:r>
    </w:p>
    <w:p w14:paraId="769DBBF4" w14:textId="77777777" w:rsidR="00EF6F9A" w:rsidRPr="00292DE7" w:rsidRDefault="00EF6F9A" w:rsidP="00EF6F9A">
      <w:pPr>
        <w:pStyle w:val="Heading4"/>
        <w:rPr>
          <w:rFonts w:cs="Times New Roman"/>
        </w:rPr>
      </w:pPr>
      <w:r w:rsidRPr="00292DE7">
        <w:rPr>
          <w:rFonts w:cs="Times New Roman"/>
        </w:rPr>
        <w:t>Strikes allows workers to use active affect to reclaim their own authority and resisting the territorializing barriers of workplaces</w:t>
      </w:r>
    </w:p>
    <w:p w14:paraId="1C406F24" w14:textId="77777777" w:rsidR="00EF6F9A" w:rsidRPr="00292DE7" w:rsidRDefault="00EF6F9A" w:rsidP="00EF6F9A">
      <w:r w:rsidRPr="00292DE7">
        <w:rPr>
          <w:b/>
          <w:sz w:val="26"/>
          <w:szCs w:val="26"/>
        </w:rPr>
        <w:t>Gourevitch 18</w:t>
      </w:r>
      <w:r w:rsidRPr="00292DE7">
        <w:t>, A. (2018). The Right to Strike: A Radical View. American Political Science Review, 1–13. doi:10.1017/s0003055418000321 (Alex Gourevitch is an Assistant Professor of Political Sci- ence, Brown University)  // SHS KS</w:t>
      </w:r>
    </w:p>
    <w:p w14:paraId="6EF4670E" w14:textId="77777777" w:rsidR="00EF6F9A" w:rsidRPr="00292DE7" w:rsidRDefault="00EF6F9A" w:rsidP="00EF6F9A">
      <w:pPr>
        <w:rPr>
          <w:sz w:val="16"/>
        </w:rPr>
      </w:pPr>
      <w:r w:rsidRPr="00292DE7">
        <w:rPr>
          <w:sz w:val="16"/>
        </w:rPr>
        <w:t xml:space="preserve">There is more than one way to justify the right to strike and, in so doing, to explain the shape that right ought to have. As we shall see, there is the liberal, the social- democratic, and the radical account. Any justi cation of a right must give an account not just of the interest it protects but of how that right is shaped to protect that interest. In the case of the radical argument for the right to strike, which I will defend against the other two con- ceptions, the relevant human interest is liberty. </w:t>
      </w:r>
      <w:r w:rsidRPr="00292DE7">
        <w:rPr>
          <w:rStyle w:val="Emphasis"/>
          <w:highlight w:val="cyan"/>
        </w:rPr>
        <w:t xml:space="preserve">Work- ers </w:t>
      </w:r>
      <w:r w:rsidRPr="00292DE7">
        <w:rPr>
          <w:rStyle w:val="Emphasis"/>
        </w:rPr>
        <w:t xml:space="preserve">have an interest in resisting the oppression of class society by </w:t>
      </w:r>
      <w:r w:rsidRPr="00292DE7">
        <w:rPr>
          <w:rStyle w:val="Emphasis"/>
          <w:highlight w:val="cyan"/>
        </w:rPr>
        <w:t xml:space="preserve">using their collective power to reduce </w:t>
      </w:r>
      <w:r w:rsidRPr="00292DE7">
        <w:rPr>
          <w:rStyle w:val="Emphasis"/>
        </w:rPr>
        <w:t xml:space="preserve">that </w:t>
      </w:r>
      <w:r w:rsidRPr="00292DE7">
        <w:rPr>
          <w:rStyle w:val="Emphasis"/>
          <w:highlight w:val="cyan"/>
        </w:rPr>
        <w:t>oppression</w:t>
      </w:r>
      <w:r w:rsidRPr="00292DE7">
        <w:rPr>
          <w:rStyle w:val="Emphasis"/>
        </w:rPr>
        <w:t>.</w:t>
      </w:r>
      <w:r w:rsidRPr="00292DE7">
        <w:rPr>
          <w:sz w:val="16"/>
        </w:rPr>
        <w:t xml:space="preserve"> Their interest is a liberty interest in a dou- ble sense. First, </w:t>
      </w:r>
      <w:r w:rsidRPr="00292DE7">
        <w:rPr>
          <w:rStyle w:val="Emphasis"/>
        </w:rPr>
        <w:t xml:space="preserve">it is an interest in not being oppressed, or in not facing certain kinds of forcing, coercion, and subjection to authority that they shouldn’t have </w:t>
      </w:r>
      <w:r w:rsidRPr="00292DE7">
        <w:rPr>
          <w:rStyle w:val="StyleUnderline"/>
        </w:rPr>
        <w:t xml:space="preserve">to. Any </w:t>
      </w:r>
      <w:r w:rsidRPr="00292DE7">
        <w:rPr>
          <w:rStyle w:val="Emphasis"/>
          <w:highlight w:val="cyan"/>
        </w:rPr>
        <w:t>resistance</w:t>
      </w:r>
      <w:r w:rsidRPr="00292DE7">
        <w:rPr>
          <w:rStyle w:val="StyleUnderline"/>
        </w:rPr>
        <w:t xml:space="preserve"> to those kinds of unjusti ed limitations of freedom carries with it, at least implicitly, a demand for liberties not yet enjoyed.</w:t>
      </w:r>
      <w:r w:rsidRPr="00292DE7">
        <w:rPr>
          <w:sz w:val="16"/>
        </w:rPr>
        <w:t xml:space="preserve">19 That </w:t>
      </w:r>
      <w:r w:rsidRPr="00292DE7">
        <w:rPr>
          <w:rStyle w:val="Emphasis"/>
          <w:highlight w:val="cyan"/>
        </w:rPr>
        <w:t>is a demand for a control over portions of one’s life that one does not yet enjoy.</w:t>
      </w:r>
      <w:r w:rsidRPr="00292DE7">
        <w:rPr>
          <w:sz w:val="16"/>
        </w:rPr>
        <w:t xml:space="preserve"> Second, and consequently, </w:t>
      </w:r>
      <w:r w:rsidRPr="00292DE7">
        <w:rPr>
          <w:rStyle w:val="Emphasis"/>
          <w:highlight w:val="cyan"/>
        </w:rPr>
        <w:t>the right to strike is grounded in an interest in using one’s own individual and collective agency to resist</w:t>
      </w:r>
      <w:r w:rsidRPr="00292DE7">
        <w:rPr>
          <w:sz w:val="16"/>
        </w:rPr>
        <w:t xml:space="preserve">—or even overcome— that oppression. The interest in using one’s own agency to resist oppression ows naturally from the demand for liberties not yet enjoyed. After all, </w:t>
      </w:r>
      <w:r w:rsidRPr="00292DE7">
        <w:rPr>
          <w:rStyle w:val="Emphasis"/>
          <w:highlight w:val="cyan"/>
        </w:rPr>
        <w:t xml:space="preserve">that demand for control is </w:t>
      </w:r>
      <w:r w:rsidRPr="00292DE7">
        <w:rPr>
          <w:rStyle w:val="Emphasis"/>
        </w:rPr>
        <w:t xml:space="preserve">in the name of </w:t>
      </w:r>
      <w:r w:rsidRPr="00292DE7">
        <w:rPr>
          <w:rStyle w:val="Emphasis"/>
          <w:highlight w:val="cyan"/>
        </w:rPr>
        <w:t xml:space="preserve">giving </w:t>
      </w:r>
      <w:r w:rsidRPr="00292DE7">
        <w:rPr>
          <w:rStyle w:val="Emphasis"/>
        </w:rPr>
        <w:t xml:space="preserve">proper space to </w:t>
      </w:r>
      <w:r w:rsidRPr="00292DE7">
        <w:rPr>
          <w:rStyle w:val="Emphasis"/>
          <w:highlight w:val="cyan"/>
        </w:rPr>
        <w:t>work- ers</w:t>
      </w:r>
      <w:r w:rsidRPr="00292DE7">
        <w:rPr>
          <w:rStyle w:val="Emphasis"/>
        </w:rPr>
        <w:t>’</w:t>
      </w:r>
      <w:r w:rsidRPr="00292DE7">
        <w:rPr>
          <w:rStyle w:val="Emphasis"/>
          <w:highlight w:val="cyan"/>
        </w:rPr>
        <w:t xml:space="preserve"> capacity for self-determination, which is the same capacity that expresses itself in the activity of striking </w:t>
      </w:r>
      <w:r w:rsidRPr="00292DE7">
        <w:rPr>
          <w:rStyle w:val="Emphasis"/>
        </w:rPr>
        <w:t>for greater freedom</w:t>
      </w:r>
      <w:r w:rsidRPr="00292DE7">
        <w:rPr>
          <w:rStyle w:val="StyleUnderline"/>
        </w:rPr>
        <w:t>.</w:t>
      </w:r>
      <w:r w:rsidRPr="00292DE7">
        <w:rPr>
          <w:sz w:val="16"/>
        </w:rPr>
        <w:t xml:space="preserve"> On this radical view, the right to strike has both an intrinsic and instrumental relation to liberty. It has in- trinsic value as an (at least implicit) demand for self- emancipation or the winning of greater liberty through one’s own efforts. It has instrumental value insofar as the strike is on the whole an effective means for resist- ing the oppressiveness of a class society. For the right to strike to enjoy its proper connection to liberty, </w:t>
      </w:r>
      <w:r w:rsidRPr="00292DE7">
        <w:rPr>
          <w:rStyle w:val="Emphasis"/>
          <w:highlight w:val="cyan"/>
        </w:rPr>
        <w:t>work- ers must have a reasonable chance of carrying out an effective strike, otherwise it would lose its instrumen- tal value as a way of resisting oppression.</w:t>
      </w:r>
      <w:r w:rsidRPr="00292DE7">
        <w:rPr>
          <w:rStyle w:val="Emphasis"/>
        </w:rPr>
        <w:t xml:space="preserve"> </w:t>
      </w:r>
      <w:r w:rsidRPr="00292DE7">
        <w:rPr>
          <w:sz w:val="16"/>
        </w:rPr>
        <w:t>If prevented from using a reasonable array of effective means, ex- ercising the right to strike would not be a means of reducing oppression and, therefore, strikes would also be of very limited value as acts of self-emancipation. It would not be an instance of workers attempting to use their own capacity for self-determination to increase the control they ought to have over the terms of their daily activity.</w:t>
      </w:r>
    </w:p>
    <w:p w14:paraId="31228005" w14:textId="77777777" w:rsidR="00EF6F9A" w:rsidRDefault="00EF6F9A" w:rsidP="00EF6F9A">
      <w:pPr>
        <w:pStyle w:val="Heading3"/>
      </w:pPr>
    </w:p>
    <w:p w14:paraId="3C0DF784" w14:textId="77777777" w:rsidR="00E42E4C" w:rsidRPr="00EF6F9A" w:rsidRDefault="00E42E4C" w:rsidP="00EF6F9A"/>
    <w:sectPr w:rsidR="00E42E4C" w:rsidRPr="00EF6F9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D775DA" w14:textId="77777777" w:rsidR="00414C76" w:rsidRDefault="00414C76" w:rsidP="00EF6F9A">
      <w:pPr>
        <w:spacing w:after="0" w:line="240" w:lineRule="auto"/>
      </w:pPr>
      <w:r>
        <w:separator/>
      </w:r>
    </w:p>
  </w:endnote>
  <w:endnote w:type="continuationSeparator" w:id="0">
    <w:p w14:paraId="4B8BCADC" w14:textId="77777777" w:rsidR="00414C76" w:rsidRDefault="00414C76" w:rsidP="00EF6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D0818" w14:textId="77777777" w:rsidR="00414C76" w:rsidRDefault="00414C76" w:rsidP="00EF6F9A">
      <w:pPr>
        <w:spacing w:after="0" w:line="240" w:lineRule="auto"/>
      </w:pPr>
      <w:r>
        <w:separator/>
      </w:r>
    </w:p>
  </w:footnote>
  <w:footnote w:type="continuationSeparator" w:id="0">
    <w:p w14:paraId="2EB5F07A" w14:textId="77777777" w:rsidR="00414C76" w:rsidRDefault="00414C76" w:rsidP="00EF6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6F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26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9E9"/>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2D9"/>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4C7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239AA"/>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A1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76480"/>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BD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F9A"/>
    <w:rsid w:val="00EF7794"/>
    <w:rsid w:val="00F02046"/>
    <w:rsid w:val="00F053D8"/>
    <w:rsid w:val="00F07888"/>
    <w:rsid w:val="00F1313D"/>
    <w:rsid w:val="00F201E7"/>
    <w:rsid w:val="00F204E0"/>
    <w:rsid w:val="00F20B16"/>
    <w:rsid w:val="00F21C79"/>
    <w:rsid w:val="00F238C9"/>
    <w:rsid w:val="00F23CA5"/>
    <w:rsid w:val="00F277AA"/>
    <w:rsid w:val="00F30072"/>
    <w:rsid w:val="00F31955"/>
    <w:rsid w:val="00F34C06"/>
    <w:rsid w:val="00F43EA3"/>
    <w:rsid w:val="00F50C55"/>
    <w:rsid w:val="00F57FFB"/>
    <w:rsid w:val="00F601E6"/>
    <w:rsid w:val="00F73954"/>
    <w:rsid w:val="00F94060"/>
    <w:rsid w:val="00F940FB"/>
    <w:rsid w:val="00FA56F6"/>
    <w:rsid w:val="00FB329D"/>
    <w:rsid w:val="00FC27E3"/>
    <w:rsid w:val="00FC40A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E4B8F1"/>
  <w14:defaultImageDpi w14:val="300"/>
  <w15:docId w15:val="{8337C3EA-7ED6-064F-B914-12251CB2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0072"/>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F300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00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F300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F300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00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0072"/>
  </w:style>
  <w:style w:type="character" w:customStyle="1" w:styleId="Heading1Char">
    <w:name w:val="Heading 1 Char"/>
    <w:aliases w:val="Pocket Char"/>
    <w:basedOn w:val="DefaultParagraphFont"/>
    <w:link w:val="Heading1"/>
    <w:uiPriority w:val="9"/>
    <w:rsid w:val="00F300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0072"/>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3007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F300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F30072"/>
    <w:rPr>
      <w:b/>
      <w:sz w:val="22"/>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F30072"/>
    <w:rPr>
      <w:b w:val="0"/>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F30072"/>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F30072"/>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Heading 1 Char1,TAG "/>
    <w:basedOn w:val="DefaultParagraphFont"/>
    <w:uiPriority w:val="99"/>
    <w:unhideWhenUsed/>
    <w:rsid w:val="00F30072"/>
    <w:rPr>
      <w:color w:val="auto"/>
      <w:u w:val="none"/>
    </w:rPr>
  </w:style>
  <w:style w:type="paragraph" w:styleId="DocumentMap">
    <w:name w:val="Document Map"/>
    <w:basedOn w:val="Normal"/>
    <w:link w:val="DocumentMapChar"/>
    <w:uiPriority w:val="99"/>
    <w:semiHidden/>
    <w:unhideWhenUsed/>
    <w:rsid w:val="00F3007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30072"/>
    <w:rPr>
      <w:rFonts w:ascii="Lucida Grande" w:hAnsi="Lucida Grande" w:cs="Lucida Grande"/>
    </w:rPr>
  </w:style>
  <w:style w:type="paragraph" w:styleId="FootnoteText">
    <w:name w:val="footnote text"/>
    <w:basedOn w:val="Normal"/>
    <w:link w:val="FootnoteTextChar"/>
    <w:unhideWhenUsed/>
    <w:qFormat/>
    <w:rsid w:val="00EF6F9A"/>
    <w:rPr>
      <w:sz w:val="20"/>
      <w:szCs w:val="20"/>
    </w:rPr>
  </w:style>
  <w:style w:type="character" w:customStyle="1" w:styleId="FootnoteTextChar">
    <w:name w:val="Footnote Text Char"/>
    <w:basedOn w:val="DefaultParagraphFont"/>
    <w:link w:val="FootnoteText"/>
    <w:rsid w:val="00EF6F9A"/>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F6F9A"/>
    <w:rPr>
      <w:vertAlign w:val="superscript"/>
    </w:rPr>
  </w:style>
  <w:style w:type="paragraph" w:customStyle="1" w:styleId="Emphasis1">
    <w:name w:val="Emphasis1"/>
    <w:basedOn w:val="Normal"/>
    <w:link w:val="Emphasis"/>
    <w:autoRedefine/>
    <w:uiPriority w:val="20"/>
    <w:qFormat/>
    <w:rsid w:val="00EF6F9A"/>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autoRedefine/>
    <w:uiPriority w:val="20"/>
    <w:qFormat/>
    <w:rsid w:val="00F940FB"/>
    <w:rPr>
      <w:b/>
      <w:iCs/>
      <w:u w:val="single"/>
      <w:bdr w:val="single" w:sz="8" w:space="0" w:color="auto"/>
    </w:rPr>
  </w:style>
  <w:style w:type="paragraph" w:styleId="NormalWeb">
    <w:name w:val="Normal (Web)"/>
    <w:basedOn w:val="Normal"/>
    <w:uiPriority w:val="99"/>
    <w:unhideWhenUsed/>
    <w:rsid w:val="00B76480"/>
    <w:pPr>
      <w:spacing w:before="100" w:beforeAutospacing="1" w:after="100" w:afterAutospacing="1" w:line="240" w:lineRule="auto"/>
    </w:pPr>
    <w:rPr>
      <w:rFonts w:ascii="Times New Roman" w:eastAsia="Times New Roman" w:hAnsi="Times New Roman" w:cs="Times New Roman"/>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38B58-5B2E-2B45-9EB6-028EEBE44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6606</Words>
  <Characters>37658</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7</cp:revision>
  <dcterms:created xsi:type="dcterms:W3CDTF">2021-11-05T20:21:00Z</dcterms:created>
  <dcterms:modified xsi:type="dcterms:W3CDTF">2021-11-05T23:56:00Z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