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979694" w14:textId="77777777" w:rsidR="00190C83" w:rsidRDefault="00190C83" w:rsidP="00190C83">
      <w:bookmarkStart w:id="0" w:name="_Hlk83480409"/>
    </w:p>
    <w:p w14:paraId="08786DDB" w14:textId="77777777" w:rsidR="00190C83" w:rsidRDefault="00190C83" w:rsidP="00190C83">
      <w:pPr>
        <w:pStyle w:val="Heading1"/>
      </w:pPr>
      <w:r>
        <w:t>Universal Freedom</w:t>
      </w:r>
    </w:p>
    <w:p w14:paraId="0F1B25FB" w14:textId="77777777" w:rsidR="00190C83" w:rsidRDefault="00190C83" w:rsidP="00190C83">
      <w:pPr>
        <w:pStyle w:val="Heading3"/>
        <w:spacing w:before="240" w:after="40"/>
        <w:rPr>
          <w:rFonts w:asciiTheme="minorHAnsi" w:hAnsiTheme="minorHAnsi" w:cstheme="minorHAnsi"/>
        </w:rPr>
      </w:pPr>
      <w:r>
        <w:rPr>
          <w:rFonts w:asciiTheme="minorHAnsi" w:hAnsiTheme="minorHAnsi" w:cstheme="minorHAnsi"/>
          <w:color w:val="000000"/>
          <w:sz w:val="28"/>
          <w:szCs w:val="28"/>
        </w:rPr>
        <w:t>Permissibility and Presumption affirms:</w:t>
      </w:r>
    </w:p>
    <w:p w14:paraId="1F8CC33C" w14:textId="77777777" w:rsidR="00190C83" w:rsidRDefault="00190C83" w:rsidP="00190C83">
      <w:pPr>
        <w:pStyle w:val="NormalWeb"/>
        <w:spacing w:before="240" w:beforeAutospacing="0" w:after="40" w:afterAutospacing="0"/>
        <w:rPr>
          <w:rFonts w:asciiTheme="minorHAnsi" w:hAnsiTheme="minorHAnsi" w:cstheme="minorHAnsi"/>
          <w:b/>
        </w:rPr>
      </w:pPr>
      <w:r>
        <w:rPr>
          <w:rFonts w:asciiTheme="minorHAnsi" w:hAnsiTheme="minorHAnsi" w:cstheme="minorHAnsi"/>
          <w:b/>
          <w:color w:val="000000"/>
          <w:sz w:val="22"/>
          <w:szCs w:val="22"/>
        </w:rPr>
        <w:t>[A] Logic – Negating an obligation requires proving a prohibition. That is, to negate an action one would have to provide proactive reasoning as to why that action was wrong. In the absence of prohibitions, that affirms.</w:t>
      </w:r>
    </w:p>
    <w:p w14:paraId="762A9F59" w14:textId="77777777" w:rsidR="00190C83" w:rsidRDefault="00190C83" w:rsidP="00190C83">
      <w:pPr>
        <w:pStyle w:val="NormalWeb"/>
        <w:spacing w:before="240" w:beforeAutospacing="0" w:after="40" w:afterAutospacing="0"/>
        <w:rPr>
          <w:rFonts w:asciiTheme="minorHAnsi" w:hAnsiTheme="minorHAnsi" w:cstheme="minorHAnsi"/>
          <w:b/>
        </w:rPr>
      </w:pPr>
      <w:r>
        <w:rPr>
          <w:rFonts w:asciiTheme="minorHAnsi" w:hAnsiTheme="minorHAnsi" w:cstheme="minorHAnsi"/>
          <w:b/>
          <w:color w:val="000000"/>
          <w:sz w:val="22"/>
          <w:szCs w:val="22"/>
        </w:rPr>
        <w:t>[B] Freezes action – requiring pro-active justification for all our actions would make it impossible to make morally neutral claims like ‘I ought to drink water’ which means we always assume we can take an action absent a proactive reason not to.</w:t>
      </w:r>
    </w:p>
    <w:p w14:paraId="5C300F45" w14:textId="77777777" w:rsidR="00190C83" w:rsidRDefault="00190C83" w:rsidP="00190C83">
      <w:pPr>
        <w:pStyle w:val="NormalWeb"/>
        <w:spacing w:before="0" w:beforeAutospacing="0" w:after="0" w:afterAutospacing="0"/>
        <w:rPr>
          <w:rFonts w:asciiTheme="minorHAnsi" w:hAnsiTheme="minorHAnsi" w:cstheme="minorHAnsi"/>
          <w:b/>
        </w:rPr>
      </w:pPr>
      <w:r>
        <w:rPr>
          <w:rFonts w:asciiTheme="minorHAnsi" w:hAnsiTheme="minorHAnsi" w:cstheme="minorHAnsi"/>
          <w:b/>
          <w:color w:val="000000"/>
          <w:sz w:val="22"/>
          <w:szCs w:val="22"/>
        </w:rPr>
        <w:t xml:space="preserve">[C] </w:t>
      </w:r>
      <w:proofErr w:type="spellStart"/>
      <w:r>
        <w:rPr>
          <w:rFonts w:asciiTheme="minorHAnsi" w:hAnsiTheme="minorHAnsi" w:cstheme="minorHAnsi"/>
          <w:b/>
          <w:color w:val="000000"/>
          <w:sz w:val="22"/>
          <w:szCs w:val="22"/>
        </w:rPr>
        <w:t>Constitutiveness</w:t>
      </w:r>
      <w:proofErr w:type="spellEnd"/>
      <w:r>
        <w:rPr>
          <w:rFonts w:asciiTheme="minorHAnsi" w:hAnsiTheme="minorHAnsi" w:cstheme="minorHAnsi"/>
          <w:b/>
          <w:color w:val="000000"/>
          <w:sz w:val="22"/>
          <w:szCs w:val="22"/>
        </w:rPr>
        <w:t xml:space="preserve"> – the negative’s only role is to negate the aff. If they haven’t done that through proving a moral obligation against affirming, they have not met their burden which affirms</w:t>
      </w:r>
    </w:p>
    <w:p w14:paraId="3AC6A04F" w14:textId="77777777" w:rsidR="00190C83" w:rsidRDefault="00190C83" w:rsidP="00190C83">
      <w:pPr>
        <w:pStyle w:val="NormalWeb"/>
        <w:spacing w:before="240" w:beforeAutospacing="0" w:after="40" w:afterAutospacing="0"/>
        <w:rPr>
          <w:rFonts w:asciiTheme="minorHAnsi" w:hAnsiTheme="minorHAnsi" w:cstheme="minorHAnsi"/>
          <w:b/>
          <w:color w:val="000000"/>
          <w:sz w:val="22"/>
          <w:szCs w:val="22"/>
        </w:rPr>
      </w:pPr>
      <w:r>
        <w:rPr>
          <w:rFonts w:asciiTheme="minorHAnsi" w:hAnsiTheme="minorHAnsi" w:cstheme="minorHAnsi"/>
          <w:b/>
          <w:color w:val="000000"/>
          <w:sz w:val="22"/>
          <w:szCs w:val="22"/>
        </w:rPr>
        <w:t xml:space="preserve">[D] Epistemology – If we presumed neg then nobody would be able to start any strand of reasoning since we would question everything </w:t>
      </w:r>
      <w:proofErr w:type="spellStart"/>
      <w:r>
        <w:rPr>
          <w:rFonts w:asciiTheme="minorHAnsi" w:hAnsiTheme="minorHAnsi" w:cstheme="minorHAnsi"/>
          <w:b/>
          <w:color w:val="000000"/>
          <w:sz w:val="22"/>
          <w:szCs w:val="22"/>
        </w:rPr>
        <w:t>infintely</w:t>
      </w:r>
      <w:proofErr w:type="spellEnd"/>
    </w:p>
    <w:p w14:paraId="7100D328" w14:textId="77777777" w:rsidR="00190C83" w:rsidRDefault="00190C83" w:rsidP="00190C83">
      <w:pPr>
        <w:pStyle w:val="NormalWeb"/>
        <w:spacing w:before="240" w:beforeAutospacing="0" w:after="40" w:afterAutospacing="0"/>
      </w:pPr>
    </w:p>
    <w:p w14:paraId="47B1AB47" w14:textId="77777777" w:rsidR="00190C83" w:rsidRDefault="00190C83" w:rsidP="00190C83">
      <w:pPr>
        <w:pStyle w:val="Heading4"/>
      </w:pPr>
      <w:r>
        <w:t xml:space="preserve">The </w:t>
      </w:r>
      <w:proofErr w:type="spellStart"/>
      <w:r>
        <w:t>metaethic</w:t>
      </w:r>
      <w:proofErr w:type="spellEnd"/>
      <w:r>
        <w:t xml:space="preserve"> is </w:t>
      </w:r>
      <w:proofErr w:type="spellStart"/>
      <w:r>
        <w:t>constitutivism</w:t>
      </w:r>
      <w:proofErr w:type="spellEnd"/>
      <w:r>
        <w:t>.</w:t>
      </w:r>
    </w:p>
    <w:p w14:paraId="0604A57A" w14:textId="77777777" w:rsidR="00190C83" w:rsidRDefault="00190C83" w:rsidP="00190C83">
      <w:pPr>
        <w:rPr>
          <w:sz w:val="26"/>
          <w:szCs w:val="26"/>
        </w:rPr>
      </w:pPr>
      <w:r>
        <w:rPr>
          <w:sz w:val="26"/>
          <w:szCs w:val="26"/>
        </w:rPr>
        <w:t>Internalist ethics fail since they can’t have universal obligations which means not everybody has the same conception of morality</w:t>
      </w:r>
    </w:p>
    <w:p w14:paraId="7B4CF542" w14:textId="77777777" w:rsidR="00190C83" w:rsidRDefault="00190C83" w:rsidP="00190C83">
      <w:pPr>
        <w:rPr>
          <w:sz w:val="26"/>
          <w:szCs w:val="26"/>
        </w:rPr>
      </w:pPr>
      <w:r>
        <w:rPr>
          <w:sz w:val="26"/>
          <w:szCs w:val="26"/>
        </w:rPr>
        <w:t>Externalist ethics fail since it is completely nonbinding and doesn’t motivate agents since it begs the question of why they exist and why we care.</w:t>
      </w:r>
    </w:p>
    <w:p w14:paraId="5269F12B" w14:textId="77777777" w:rsidR="00190C83" w:rsidRDefault="00190C83" w:rsidP="00190C83">
      <w:pPr>
        <w:rPr>
          <w:sz w:val="26"/>
          <w:szCs w:val="26"/>
        </w:rPr>
      </w:pPr>
      <w:r>
        <w:rPr>
          <w:sz w:val="26"/>
          <w:szCs w:val="26"/>
        </w:rPr>
        <w:t xml:space="preserve">The solution is </w:t>
      </w:r>
      <w:proofErr w:type="spellStart"/>
      <w:r>
        <w:rPr>
          <w:sz w:val="26"/>
          <w:szCs w:val="26"/>
        </w:rPr>
        <w:t>constitutivism</w:t>
      </w:r>
      <w:proofErr w:type="spellEnd"/>
      <w:r>
        <w:rPr>
          <w:sz w:val="26"/>
          <w:szCs w:val="26"/>
        </w:rPr>
        <w:t xml:space="preserve"> which derives ethics from the immutable features of agents. </w:t>
      </w:r>
    </w:p>
    <w:p w14:paraId="4555D2C4" w14:textId="77777777" w:rsidR="00190C83" w:rsidRDefault="00190C83" w:rsidP="00190C83">
      <w:pPr>
        <w:rPr>
          <w:sz w:val="26"/>
          <w:szCs w:val="26"/>
        </w:rPr>
      </w:pPr>
      <w:proofErr w:type="gramStart"/>
      <w:r>
        <w:rPr>
          <w:sz w:val="26"/>
          <w:szCs w:val="26"/>
        </w:rPr>
        <w:t>And,</w:t>
      </w:r>
      <w:proofErr w:type="gramEnd"/>
      <w:r>
        <w:rPr>
          <w:sz w:val="26"/>
          <w:szCs w:val="26"/>
        </w:rPr>
        <w:t xml:space="preserve"> practical reason is constitutive.</w:t>
      </w:r>
    </w:p>
    <w:p w14:paraId="0883825F" w14:textId="77777777" w:rsidR="00190C83" w:rsidRDefault="00190C83" w:rsidP="00190C83">
      <w:pPr>
        <w:pStyle w:val="Heading4"/>
      </w:pPr>
      <w:r>
        <w:t xml:space="preserve">[1] Regress – every moral theory can be infinitely questioned which proves its base nonbinding since any agent can opt out of it. Reason </w:t>
      </w:r>
      <w:proofErr w:type="spellStart"/>
      <w:r>
        <w:t>sovles</w:t>
      </w:r>
      <w:proofErr w:type="spellEnd"/>
      <w:r>
        <w:t xml:space="preserve"> since asking for a reason concedes its authority. Bindingness matters since otherwise morality would be optional and cannot explain goodness.</w:t>
      </w:r>
    </w:p>
    <w:p w14:paraId="382D2FD5" w14:textId="77777777" w:rsidR="00190C83" w:rsidRDefault="00190C83" w:rsidP="00190C83">
      <w:pPr>
        <w:pStyle w:val="Heading4"/>
      </w:pPr>
      <w:r>
        <w:t xml:space="preserve">[2] Hijacks – All actions concede reason since to obtain goodness, you need to be able to </w:t>
      </w:r>
      <w:proofErr w:type="gramStart"/>
      <w:r>
        <w:t>take action</w:t>
      </w:r>
      <w:proofErr w:type="gramEnd"/>
      <w:r>
        <w:t xml:space="preserve"> and set and pursue ends meaning reason is the source of all value.</w:t>
      </w:r>
    </w:p>
    <w:p w14:paraId="3890D67F" w14:textId="77777777" w:rsidR="00190C83" w:rsidRDefault="00190C83" w:rsidP="00190C83">
      <w:pPr>
        <w:pStyle w:val="Heading4"/>
      </w:pPr>
      <w:r>
        <w:t>[3] Is/Ought Gap – experience just describes how the world is but doesn’t indicate how it ought to be which means there must be an a priori conception of good</w:t>
      </w:r>
    </w:p>
    <w:p w14:paraId="278190FE" w14:textId="77777777" w:rsidR="00190C83" w:rsidRDefault="00190C83" w:rsidP="00190C83">
      <w:pPr>
        <w:pStyle w:val="Heading4"/>
      </w:pPr>
      <w:r>
        <w:t xml:space="preserve">[4] Agency is inescapable – we can shift between different identities over </w:t>
      </w:r>
      <w:proofErr w:type="gramStart"/>
      <w:r>
        <w:t>time</w:t>
      </w:r>
      <w:proofErr w:type="gramEnd"/>
      <w:r>
        <w:t xml:space="preserve"> but that shift is an instance of agency, and it also takes practical reason to see which enterprises are most desirable.</w:t>
      </w:r>
    </w:p>
    <w:p w14:paraId="30A4255C" w14:textId="77777777" w:rsidR="00190C83" w:rsidRDefault="00190C83" w:rsidP="00190C83"/>
    <w:p w14:paraId="243A0008" w14:textId="77777777" w:rsidR="00190C83" w:rsidRDefault="00190C83" w:rsidP="00190C83">
      <w:pPr>
        <w:pStyle w:val="Heading4"/>
      </w:pPr>
      <w:r>
        <w:t xml:space="preserve">Thus, we share a unified perspective – everyone around me must arrive at the same conclusions </w:t>
      </w:r>
      <w:proofErr w:type="gramStart"/>
      <w:r>
        <w:t>through the use of</w:t>
      </w:r>
      <w:proofErr w:type="gramEnd"/>
      <w:r>
        <w:t xml:space="preserve"> reason. It’s incoherent to say 2+2=4 for me but not you. </w:t>
      </w:r>
    </w:p>
    <w:p w14:paraId="602002EE" w14:textId="77777777" w:rsidR="00190C83" w:rsidRDefault="00190C83" w:rsidP="00190C83">
      <w:pPr>
        <w:pStyle w:val="Heading4"/>
      </w:pPr>
    </w:p>
    <w:p w14:paraId="471D3E00" w14:textId="77777777" w:rsidR="00190C83" w:rsidRDefault="00190C83" w:rsidP="00190C83">
      <w:pPr>
        <w:pStyle w:val="Heading4"/>
      </w:pPr>
      <w:r>
        <w:t xml:space="preserve">However, freedom is a necessary right because violating someone’s freedom creates a contradiction in conception. We </w:t>
      </w:r>
      <w:proofErr w:type="gramStart"/>
      <w:r>
        <w:t>cannot will</w:t>
      </w:r>
      <w:proofErr w:type="gramEnd"/>
      <w:r>
        <w:t xml:space="preserve"> the extension of our freedom since it justifies others doing it to us</w:t>
      </w:r>
    </w:p>
    <w:p w14:paraId="47E06229" w14:textId="77777777" w:rsidR="00190C83" w:rsidRDefault="00190C83" w:rsidP="00190C83">
      <w:r>
        <w:rPr>
          <w:rStyle w:val="Style13ptBold"/>
        </w:rPr>
        <w:t>Engstrom</w:t>
      </w:r>
      <w:r>
        <w:t xml:space="preserve"> [Stephen Engstrom, (Professor of Philosophy @ the University of Pittsburgh) "Universal Legislation as the Form of Practical Knowledge" http://www.academia.edu/4512762/Universal_Legislation_As_the_Form_of_Practical_Knowledge, DOA:5-5-2018 // recut]</w:t>
      </w:r>
    </w:p>
    <w:p w14:paraId="0622A8C6" w14:textId="77777777" w:rsidR="00190C83" w:rsidRDefault="00190C83" w:rsidP="00190C83">
      <w:r>
        <w:t>Given the preceding considerations</w:t>
      </w:r>
      <w:r>
        <w:rPr>
          <w:rStyle w:val="Emphasis"/>
        </w:rPr>
        <w:t xml:space="preserve">, it’s a straightforward matter to see how </w:t>
      </w:r>
      <w:r>
        <w:rPr>
          <w:rStyle w:val="Emphasis"/>
          <w:highlight w:val="cyan"/>
        </w:rPr>
        <w:t xml:space="preserve">a maxim </w:t>
      </w:r>
      <w:r>
        <w:rPr>
          <w:rStyle w:val="Emphasis"/>
        </w:rPr>
        <w:t xml:space="preserve">of action </w:t>
      </w:r>
      <w:r>
        <w:rPr>
          <w:rStyle w:val="Emphasis"/>
          <w:highlight w:val="cyan"/>
        </w:rPr>
        <w:t>that assaults</w:t>
      </w:r>
      <w:r>
        <w:rPr>
          <w:rStyle w:val="Emphasis"/>
        </w:rPr>
        <w:t xml:space="preserve"> the </w:t>
      </w:r>
      <w:r>
        <w:rPr>
          <w:rStyle w:val="Emphasis"/>
          <w:highlight w:val="cyan"/>
        </w:rPr>
        <w:t>freedom</w:t>
      </w:r>
      <w:r>
        <w:rPr>
          <w:rStyle w:val="Emphasis"/>
        </w:rPr>
        <w:t xml:space="preserve"> </w:t>
      </w:r>
      <w:r>
        <w:t xml:space="preserve">of others with a view to furthering one’s own ends </w:t>
      </w:r>
      <w:r>
        <w:rPr>
          <w:rStyle w:val="Emphasis"/>
          <w:highlight w:val="cyan"/>
        </w:rPr>
        <w:t>results in a contradiction when we</w:t>
      </w:r>
      <w:r>
        <w:rPr>
          <w:rStyle w:val="Emphasis"/>
        </w:rPr>
        <w:t xml:space="preserve"> attempt to </w:t>
      </w:r>
      <w:r>
        <w:rPr>
          <w:rStyle w:val="Emphasis"/>
          <w:highlight w:val="cyan"/>
        </w:rPr>
        <w:t>will it as</w:t>
      </w:r>
      <w:r>
        <w:rPr>
          <w:rStyle w:val="Emphasis"/>
        </w:rPr>
        <w:t xml:space="preserve"> a </w:t>
      </w:r>
      <w:r>
        <w:rPr>
          <w:rStyle w:val="Emphasis"/>
          <w:highlight w:val="cyan"/>
        </w:rPr>
        <w:t>universal law</w:t>
      </w:r>
      <w:r>
        <w:rPr>
          <w:rStyle w:val="Emphasis"/>
        </w:rPr>
        <w:t xml:space="preserve"> in accordance with the foregoing account of the formula of universal law. </w:t>
      </w:r>
      <w:r>
        <w:rPr>
          <w:rStyle w:val="Emphasis"/>
          <w:highlight w:val="cyan"/>
        </w:rPr>
        <w:t>Such</w:t>
      </w:r>
      <w:r>
        <w:rPr>
          <w:rStyle w:val="Emphasis"/>
        </w:rPr>
        <w:t xml:space="preserve"> a </w:t>
      </w:r>
      <w:r>
        <w:rPr>
          <w:rStyle w:val="Emphasis"/>
          <w:highlight w:val="cyan"/>
        </w:rPr>
        <w:t>maxim would</w:t>
      </w:r>
      <w:r>
        <w:rPr>
          <w:rStyle w:val="Emphasis"/>
        </w:rPr>
        <w:t xml:space="preserve"> lie in a practical judgment that </w:t>
      </w:r>
      <w:r>
        <w:rPr>
          <w:rStyle w:val="Emphasis"/>
          <w:highlight w:val="cyan"/>
        </w:rPr>
        <w:t>deem</w:t>
      </w:r>
      <w:r>
        <w:rPr>
          <w:rStyle w:val="Emphasis"/>
        </w:rPr>
        <w:t xml:space="preserve">s it </w:t>
      </w:r>
      <w:r>
        <w:rPr>
          <w:rStyle w:val="Emphasis"/>
          <w:highlight w:val="cyan"/>
        </w:rPr>
        <w:t>good</w:t>
      </w:r>
      <w:r>
        <w:rPr>
          <w:rStyle w:val="Emphasis"/>
        </w:rPr>
        <w:t xml:space="preserve"> </w:t>
      </w:r>
      <w:proofErr w:type="gramStart"/>
      <w:r>
        <w:t>on the whole</w:t>
      </w:r>
      <w:proofErr w:type="gramEnd"/>
      <w:r>
        <w:t xml:space="preserve"> to act to limit others’ outer freedom, and hence their self-sufficiency, their capacity to realize their ends, where doing so augments, or extends, one’s own outer freedom and so also one’s own self-sufficiency.  Now on the interpretation we’ve been entertaining, applying the formula of universal law involves considering whether it’s possible for every person—every subject capable of practical judgment—to share the practical judgment asserting the goodness of every person’s acting according to the maxim in question. </w:t>
      </w:r>
      <w:proofErr w:type="gramStart"/>
      <w:r>
        <w:t>Thus</w:t>
      </w:r>
      <w:proofErr w:type="gramEnd"/>
      <w:r>
        <w:t xml:space="preserve"> in the present case the application of the formula involves considering whether it’s possible for every person to deem good every person’s acting to limit others’ freedom, where practicable, with a view to augmenting their own freedom. Since here all persons are on the one hand deeming good </w:t>
      </w:r>
      <w:r>
        <w:rPr>
          <w:rStyle w:val="Emphasis"/>
          <w:highlight w:val="cyan"/>
        </w:rPr>
        <w:t>both</w:t>
      </w:r>
      <w:r>
        <w:rPr>
          <w:rStyle w:val="Emphasis"/>
        </w:rPr>
        <w:t xml:space="preserve"> the </w:t>
      </w:r>
      <w:r>
        <w:rPr>
          <w:rStyle w:val="Emphasis"/>
          <w:highlight w:val="cyan"/>
        </w:rPr>
        <w:t>limitation of others’ freedom and</w:t>
      </w:r>
      <w:r>
        <w:rPr>
          <w:rStyle w:val="Emphasis"/>
        </w:rPr>
        <w:t xml:space="preserve"> the extension of their own freedom, while on the other hand, </w:t>
      </w:r>
      <w:r>
        <w:rPr>
          <w:rStyle w:val="Emphasis"/>
          <w:highlight w:val="cyan"/>
        </w:rPr>
        <w:t>insofar as they agree with</w:t>
      </w:r>
      <w:r>
        <w:rPr>
          <w:rStyle w:val="Emphasis"/>
        </w:rPr>
        <w:t xml:space="preserve"> the similar </w:t>
      </w:r>
      <w:r>
        <w:rPr>
          <w:rStyle w:val="Emphasis"/>
          <w:highlight w:val="cyan"/>
        </w:rPr>
        <w:t>judgments of others, also deeming good the limitation of their own freedom</w:t>
      </w:r>
      <w:r>
        <w:rPr>
          <w:rStyle w:val="Emphasis"/>
        </w:rPr>
        <w:t xml:space="preserve"> and the extension of others’ freedom, they are all deeming good both the extension and the limitation of both their own and others’ freedom. </w:t>
      </w:r>
      <w:r>
        <w:rPr>
          <w:rStyle w:val="Emphasis"/>
          <w:highlight w:val="cyan"/>
        </w:rPr>
        <w:t>These judgments are inconsistent</w:t>
      </w:r>
      <w:r>
        <w:rPr>
          <w:rStyle w:val="Emphasis"/>
        </w:rPr>
        <w:t xml:space="preserve"> insofar as the extension of a person’s outer freedom is incompatible with the limitation of that same freedom.</w:t>
      </w:r>
      <w:r>
        <w:t xml:space="preserve"> </w:t>
      </w:r>
    </w:p>
    <w:p w14:paraId="7AB15A4A" w14:textId="77777777" w:rsidR="00190C83" w:rsidRDefault="00190C83" w:rsidP="00190C83">
      <w:pPr>
        <w:pStyle w:val="Heading4"/>
        <w:rPr>
          <w:rFonts w:eastAsia="Times New Roman"/>
          <w:lang w:eastAsia="zh-CN"/>
        </w:rPr>
      </w:pPr>
      <w:r>
        <w:t xml:space="preserve">And, </w:t>
      </w:r>
      <w:proofErr w:type="gramStart"/>
      <w:r>
        <w:t>All</w:t>
      </w:r>
      <w:proofErr w:type="gramEnd"/>
      <w:r>
        <w:t xml:space="preserve"> agents must accept the state as necessary to enforce rights claims.</w:t>
      </w:r>
    </w:p>
    <w:p w14:paraId="00E1C917" w14:textId="77777777" w:rsidR="00190C83" w:rsidRDefault="00190C83" w:rsidP="00190C83">
      <w:pPr>
        <w:pStyle w:val="NormalWeb"/>
        <w:spacing w:before="240" w:beforeAutospacing="0" w:after="240" w:afterAutospacing="0"/>
        <w:rPr>
          <w:rFonts w:asciiTheme="minorHAnsi" w:hAnsiTheme="minorHAnsi" w:cstheme="minorHAnsi"/>
        </w:rPr>
      </w:pPr>
      <w:r>
        <w:rPr>
          <w:rStyle w:val="Style13ptBold"/>
          <w:rFonts w:asciiTheme="minorHAnsi" w:hAnsiTheme="minorHAnsi" w:cstheme="minorHAnsi"/>
          <w:lang w:eastAsia="en-US"/>
        </w:rPr>
        <w:t>Ripstein 04</w:t>
      </w:r>
      <w:r>
        <w:rPr>
          <w:rFonts w:asciiTheme="minorHAnsi" w:hAnsiTheme="minorHAnsi" w:cstheme="minorHAnsi"/>
          <w:color w:val="000000"/>
          <w:sz w:val="26"/>
          <w:szCs w:val="26"/>
        </w:rPr>
        <w:t xml:space="preserve"> </w:t>
      </w:r>
      <w:r>
        <w:rPr>
          <w:rFonts w:asciiTheme="minorHAnsi" w:hAnsiTheme="minorHAnsi" w:cstheme="minorHAnsi"/>
          <w:color w:val="000000"/>
          <w:sz w:val="22"/>
          <w:szCs w:val="22"/>
        </w:rPr>
        <w:t xml:space="preserve">[Arthur Ripstein, (University Professor of Law and Philosophy, </w:t>
      </w:r>
      <w:hyperlink r:id="rId6" w:history="1">
        <w:r>
          <w:rPr>
            <w:rStyle w:val="Hyperlink"/>
            <w:rFonts w:asciiTheme="minorHAnsi" w:eastAsiaTheme="majorEastAsia" w:hAnsiTheme="minorHAnsi" w:cstheme="minorHAnsi"/>
            <w:color w:val="1155CC"/>
            <w:sz w:val="22"/>
            <w:szCs w:val="22"/>
          </w:rPr>
          <w:t>University of Toronto</w:t>
        </w:r>
      </w:hyperlink>
      <w:r>
        <w:rPr>
          <w:rFonts w:asciiTheme="minorHAnsi" w:hAnsiTheme="minorHAnsi" w:cstheme="minorHAnsi"/>
          <w:color w:val="000000"/>
          <w:sz w:val="22"/>
          <w:szCs w:val="22"/>
        </w:rPr>
        <w:t>) "Authority and Coercion" Philosophy &amp; Public Affairs, 32: 2–35, 2004, http://onlinelibrary.wiley.com/doi/10.1111/j.1467-6486.2004.00003.x/abstract, DOA:12-16-2017 // WWBW//recut]</w:t>
      </w:r>
    </w:p>
    <w:p w14:paraId="70EC22BC" w14:textId="77777777" w:rsidR="00190C83" w:rsidRDefault="00190C83" w:rsidP="00190C83">
      <w:pPr>
        <w:rPr>
          <w:sz w:val="16"/>
        </w:rPr>
      </w:pPr>
      <w:r>
        <w:rPr>
          <w:sz w:val="16"/>
        </w:rPr>
        <w:t xml:space="preserve">Kant explains </w:t>
      </w:r>
      <w:r>
        <w:rPr>
          <w:b/>
          <w:bCs/>
          <w:sz w:val="24"/>
          <w:szCs w:val="24"/>
          <w:highlight w:val="cyan"/>
          <w:u w:val="single"/>
        </w:rPr>
        <w:t>the need for</w:t>
      </w:r>
      <w:r>
        <w:rPr>
          <w:sz w:val="16"/>
        </w:rPr>
        <w:t xml:space="preserve"> the three branches of </w:t>
      </w:r>
      <w:r>
        <w:rPr>
          <w:b/>
          <w:bCs/>
          <w:sz w:val="24"/>
          <w:szCs w:val="24"/>
          <w:highlight w:val="cyan"/>
          <w:u w:val="single"/>
        </w:rPr>
        <w:t>government</w:t>
      </w:r>
      <w:r>
        <w:rPr>
          <w:sz w:val="16"/>
          <w:szCs w:val="24"/>
        </w:rPr>
        <w:t xml:space="preserve"> </w:t>
      </w:r>
      <w:r>
        <w:rPr>
          <w:sz w:val="16"/>
        </w:rPr>
        <w:t xml:space="preserve">in Rousseau’s vocabulary </w:t>
      </w:r>
      <w:r>
        <w:rPr>
          <w:b/>
          <w:bCs/>
          <w:sz w:val="24"/>
          <w:szCs w:val="24"/>
          <w:highlight w:val="cyan"/>
          <w:u w:val="single"/>
        </w:rPr>
        <w:t xml:space="preserve">of the </w:t>
      </w:r>
      <w:r>
        <w:rPr>
          <w:b/>
          <w:bCs/>
          <w:sz w:val="28"/>
          <w:szCs w:val="28"/>
          <w:highlight w:val="cyan"/>
          <w:u w:val="single"/>
        </w:rPr>
        <w:t>“</w:t>
      </w:r>
      <w:r>
        <w:rPr>
          <w:b/>
          <w:bCs/>
          <w:sz w:val="24"/>
          <w:szCs w:val="24"/>
          <w:highlight w:val="cyan"/>
          <w:u w:val="single"/>
        </w:rPr>
        <w:t>general will</w:t>
      </w:r>
      <w:r>
        <w:rPr>
          <w:b/>
          <w:bCs/>
          <w:sz w:val="24"/>
          <w:szCs w:val="24"/>
          <w:u w:val="single"/>
        </w:rPr>
        <w:t xml:space="preserve">.” Kant finds this concept helpful, since it </w:t>
      </w:r>
      <w:r>
        <w:rPr>
          <w:b/>
          <w:bCs/>
          <w:sz w:val="24"/>
          <w:szCs w:val="24"/>
          <w:highlight w:val="cyan"/>
          <w:u w:val="single"/>
        </w:rPr>
        <w:t>manages to capture the way in which</w:t>
      </w:r>
      <w:r>
        <w:rPr>
          <w:b/>
          <w:bCs/>
          <w:sz w:val="24"/>
          <w:szCs w:val="24"/>
          <w:u w:val="single"/>
        </w:rPr>
        <w:t xml:space="preserve"> the specificity of the law and </w:t>
      </w:r>
      <w:r>
        <w:rPr>
          <w:b/>
          <w:bCs/>
          <w:sz w:val="24"/>
          <w:szCs w:val="24"/>
          <w:highlight w:val="cyan"/>
          <w:u w:val="single"/>
        </w:rPr>
        <w:t>the monopoly on [the law’s]</w:t>
      </w:r>
      <w:r>
        <w:rPr>
          <w:b/>
          <w:bCs/>
          <w:sz w:val="24"/>
          <w:szCs w:val="24"/>
          <w:u w:val="single"/>
        </w:rPr>
        <w:t xml:space="preserve"> its </w:t>
      </w:r>
      <w:r>
        <w:rPr>
          <w:b/>
          <w:bCs/>
          <w:sz w:val="24"/>
          <w:szCs w:val="24"/>
          <w:highlight w:val="cyan"/>
          <w:u w:val="single"/>
        </w:rPr>
        <w:t xml:space="preserve">enforcement </w:t>
      </w:r>
      <w:proofErr w:type="gramStart"/>
      <w:r>
        <w:rPr>
          <w:b/>
          <w:bCs/>
          <w:sz w:val="24"/>
          <w:szCs w:val="24"/>
          <w:highlight w:val="cyan"/>
          <w:u w:val="single"/>
        </w:rPr>
        <w:t>do</w:t>
      </w:r>
      <w:proofErr w:type="gramEnd"/>
      <w:r>
        <w:rPr>
          <w:b/>
          <w:bCs/>
          <w:sz w:val="24"/>
          <w:szCs w:val="24"/>
          <w:highlight w:val="cyan"/>
          <w:u w:val="single"/>
        </w:rPr>
        <w:t xml:space="preserve"> not</w:t>
      </w:r>
      <w:r>
        <w:rPr>
          <w:b/>
          <w:bCs/>
          <w:sz w:val="24"/>
          <w:szCs w:val="24"/>
          <w:u w:val="single"/>
        </w:rPr>
        <w:t xml:space="preserve"> thereby </w:t>
      </w:r>
      <w:r>
        <w:rPr>
          <w:b/>
          <w:bCs/>
          <w:sz w:val="24"/>
          <w:szCs w:val="24"/>
          <w:highlight w:val="cyan"/>
          <w:u w:val="single"/>
        </w:rPr>
        <w:t>make it the unilateral</w:t>
      </w:r>
      <w:r>
        <w:rPr>
          <w:b/>
          <w:bCs/>
          <w:sz w:val="24"/>
          <w:szCs w:val="24"/>
          <w:u w:val="single"/>
        </w:rPr>
        <w:t xml:space="preserve"> imposition of one person’s </w:t>
      </w:r>
      <w:r>
        <w:rPr>
          <w:b/>
          <w:bCs/>
          <w:sz w:val="24"/>
          <w:szCs w:val="24"/>
          <w:highlight w:val="cyan"/>
          <w:u w:val="single"/>
        </w:rPr>
        <w:t>will</w:t>
      </w:r>
      <w:r>
        <w:rPr>
          <w:b/>
          <w:bCs/>
          <w:sz w:val="24"/>
          <w:szCs w:val="24"/>
          <w:u w:val="single"/>
        </w:rPr>
        <w:t xml:space="preserve"> upon another. </w:t>
      </w:r>
      <w:r>
        <w:rPr>
          <w:b/>
          <w:bCs/>
          <w:sz w:val="24"/>
          <w:szCs w:val="24"/>
          <w:highlight w:val="cyan"/>
          <w:u w:val="single"/>
        </w:rPr>
        <w:t xml:space="preserve">Instead, it is </w:t>
      </w:r>
      <w:r>
        <w:rPr>
          <w:b/>
          <w:bCs/>
          <w:sz w:val="24"/>
          <w:szCs w:val="24"/>
          <w:u w:val="single"/>
        </w:rPr>
        <w:t xml:space="preserve">what Kant calls </w:t>
      </w:r>
      <w:r>
        <w:rPr>
          <w:b/>
          <w:bCs/>
          <w:sz w:val="24"/>
          <w:szCs w:val="24"/>
          <w:highlight w:val="cyan"/>
          <w:u w:val="single"/>
        </w:rPr>
        <w:t>an “</w:t>
      </w:r>
      <w:proofErr w:type="spellStart"/>
      <w:r>
        <w:rPr>
          <w:b/>
          <w:bCs/>
          <w:sz w:val="24"/>
          <w:szCs w:val="24"/>
          <w:highlight w:val="cyan"/>
          <w:u w:val="single"/>
        </w:rPr>
        <w:t>omnilateral</w:t>
      </w:r>
      <w:proofErr w:type="spellEnd"/>
      <w:r>
        <w:rPr>
          <w:b/>
          <w:bCs/>
          <w:sz w:val="24"/>
          <w:szCs w:val="24"/>
          <w:highlight w:val="cyan"/>
          <w:u w:val="single"/>
        </w:rPr>
        <w:t>” will, since all must agree to</w:t>
      </w:r>
      <w:r>
        <w:rPr>
          <w:b/>
          <w:bCs/>
          <w:sz w:val="24"/>
          <w:szCs w:val="24"/>
          <w:u w:val="single"/>
        </w:rPr>
        <w:t xml:space="preserve"> set up procedures that will </w:t>
      </w:r>
      <w:r>
        <w:rPr>
          <w:b/>
          <w:bCs/>
          <w:sz w:val="24"/>
          <w:szCs w:val="24"/>
          <w:highlight w:val="cyan"/>
          <w:u w:val="single"/>
        </w:rPr>
        <w:t>make right possible</w:t>
      </w:r>
      <w:r>
        <w:rPr>
          <w:sz w:val="16"/>
        </w:rPr>
        <w:t xml:space="preserve">. All must agree, because </w:t>
      </w:r>
      <w:r>
        <w:rPr>
          <w:b/>
          <w:bCs/>
          <w:sz w:val="24"/>
          <w:szCs w:val="24"/>
          <w:highlight w:val="cyan"/>
          <w:u w:val="single"/>
        </w:rPr>
        <w:t>without such procedures, equal freedom is impossible</w:t>
      </w:r>
      <w:r>
        <w:rPr>
          <w:sz w:val="16"/>
          <w:highlight w:val="cyan"/>
        </w:rPr>
        <w:t>, and</w:t>
      </w:r>
      <w:r>
        <w:rPr>
          <w:sz w:val="16"/>
        </w:rPr>
        <w:t xml:space="preserve"> so the external freedom of each is impossible. But the sense in which they must agree is not just that they should agree</w:t>
      </w:r>
      <w:r>
        <w:rPr>
          <w:b/>
          <w:bCs/>
          <w:sz w:val="24"/>
          <w:szCs w:val="24"/>
          <w:u w:val="single"/>
        </w:rPr>
        <w:t xml:space="preserve">; it is that </w:t>
      </w:r>
      <w:r>
        <w:rPr>
          <w:b/>
          <w:bCs/>
          <w:sz w:val="24"/>
          <w:szCs w:val="24"/>
          <w:highlight w:val="cyan"/>
          <w:u w:val="single"/>
        </w:rPr>
        <w:t>they cannot object to being forced to accept those procedures, because any objection would be nothing more than an assertion of the right to use force against others unilaterally.</w:t>
      </w:r>
      <w:r>
        <w:rPr>
          <w:sz w:val="16"/>
          <w:szCs w:val="24"/>
        </w:rPr>
        <w:t xml:space="preserve"> </w:t>
      </w:r>
      <w:r>
        <w:rPr>
          <w:sz w:val="16"/>
        </w:rPr>
        <w:t xml:space="preserve">Once the concept of the General Will is introduced, it provides further constraints on the possibility of a rightful condition, and even explains the ways in which a state can legitimately coerce its citizens for reasons other than the redress of private wrongs. Kant’s treatment of these issues of “Public Right” has struck many readers as somewhat perfunctory, especially after his meticulously detailed, if not always transparent, treatment of private right. He treats these issues as he does because he takes them to follow directly from the institution of a social contract. The details of his arguments need not concern us here, because he does not claim that </w:t>
      </w:r>
      <w:proofErr w:type="gramStart"/>
      <w:r>
        <w:rPr>
          <w:sz w:val="16"/>
        </w:rPr>
        <w:t>these exhaust</w:t>
      </w:r>
      <w:proofErr w:type="gramEnd"/>
      <w:r>
        <w:rPr>
          <w:sz w:val="16"/>
        </w:rPr>
        <w:t xml:space="preserve"> the further powers of the state. Instead, he puts them forward as additional powers a state must have if it is to create a rightful condition, and it is the structure of that argument that is of concern here.</w:t>
      </w:r>
    </w:p>
    <w:p w14:paraId="2DFD8D05" w14:textId="77777777" w:rsidR="00190C83" w:rsidRDefault="00190C83" w:rsidP="00190C83">
      <w:pPr>
        <w:pStyle w:val="Heading4"/>
      </w:pPr>
      <w:proofErr w:type="gramStart"/>
      <w:r>
        <w:t>Thus</w:t>
      </w:r>
      <w:proofErr w:type="gramEnd"/>
      <w:r>
        <w:t xml:space="preserve"> the standard is consistency with a system of equal freedoms. </w:t>
      </w:r>
    </w:p>
    <w:p w14:paraId="7317CE75" w14:textId="77777777" w:rsidR="00190C83" w:rsidRDefault="00190C83" w:rsidP="00190C83">
      <w:pPr>
        <w:pStyle w:val="Heading4"/>
      </w:pPr>
      <w:r>
        <w:t>Impact Calc:</w:t>
      </w:r>
    </w:p>
    <w:p w14:paraId="73584FF1" w14:textId="77777777" w:rsidR="00190C83" w:rsidRDefault="00190C83" w:rsidP="00190C83">
      <w:pPr>
        <w:pStyle w:val="Heading4"/>
      </w:pPr>
      <w:r>
        <w:t xml:space="preserve">The standard is non consequentialist so the state has no right to try to predict rights violations, it can only punish ongoing ones since it doesn’t understand intent. Prefer for action theory – any action can be split into infinite smaller actions. When I am eating a </w:t>
      </w:r>
      <w:proofErr w:type="gramStart"/>
      <w:r>
        <w:t>sandwich</w:t>
      </w:r>
      <w:proofErr w:type="gramEnd"/>
      <w:r>
        <w:t xml:space="preserve"> it is infinitely small movements of my arm. Only reason unifies those actions. This is necessary for ethics because it requires a judgement of a coherent action.</w:t>
      </w:r>
    </w:p>
    <w:p w14:paraId="1DFFD10E" w14:textId="77777777" w:rsidR="00190C83" w:rsidRDefault="00190C83" w:rsidP="00190C83">
      <w:pPr>
        <w:pStyle w:val="Heading4"/>
      </w:pPr>
    </w:p>
    <w:p w14:paraId="7A03CD57" w14:textId="77777777" w:rsidR="00190C83" w:rsidRDefault="00190C83" w:rsidP="00190C83">
      <w:pPr>
        <w:pStyle w:val="Heading4"/>
      </w:pPr>
    </w:p>
    <w:p w14:paraId="7EE978D7" w14:textId="77777777" w:rsidR="00190C83" w:rsidRDefault="00190C83" w:rsidP="00190C83">
      <w:pPr>
        <w:pStyle w:val="Heading4"/>
      </w:pPr>
      <w:r>
        <w:t>Prefer additionally:</w:t>
      </w:r>
    </w:p>
    <w:p w14:paraId="5DCDC238" w14:textId="77777777" w:rsidR="00190C83" w:rsidRDefault="00190C83" w:rsidP="00190C83">
      <w:pPr>
        <w:spacing w:after="0" w:line="240" w:lineRule="auto"/>
        <w:rPr>
          <w:b/>
          <w:bCs/>
          <w:sz w:val="26"/>
          <w:szCs w:val="26"/>
        </w:rPr>
      </w:pPr>
      <w:bookmarkStart w:id="1" w:name="_Hlk80615654"/>
    </w:p>
    <w:p w14:paraId="39A0D0C3" w14:textId="77777777" w:rsidR="00190C83" w:rsidRDefault="00190C83" w:rsidP="00190C83">
      <w:pPr>
        <w:pStyle w:val="Heading4"/>
      </w:pPr>
      <w:r>
        <w:rPr>
          <w:bCs/>
          <w:szCs w:val="26"/>
        </w:rPr>
        <w:t xml:space="preserve">[1] In round competitive equity - Frameworks are an interpretation of the word “ought” in the resolution, which means they are a topicality interpretation and thus should be theoretically justified. Prefer my framework - A) Resource disparities—a focus on evidence and statistics privileges debaters with the most prep which excludes lone-wolfs who lack huge files. A Kantian debate can easily be won without any prep since only analytics are required. Controls the internal link to other voters because accessibility is a prior question </w:t>
      </w:r>
      <w:r>
        <w:rPr>
          <w:rFonts w:eastAsia="Times New Roman"/>
          <w:bCs/>
          <w:szCs w:val="26"/>
        </w:rPr>
        <w:t xml:space="preserve">B) Resolvability: Clarity of weighing under interpretation of Kantianism: perfect duties above imperfect duties, duties in right, etc. All other FWs consequentialist that </w:t>
      </w:r>
      <w:proofErr w:type="gramStart"/>
      <w:r>
        <w:rPr>
          <w:rFonts w:eastAsia="Times New Roman"/>
          <w:bCs/>
          <w:szCs w:val="26"/>
        </w:rPr>
        <w:t>use</w:t>
      </w:r>
      <w:proofErr w:type="gramEnd"/>
      <w:r>
        <w:rPr>
          <w:rFonts w:eastAsia="Times New Roman"/>
          <w:bCs/>
          <w:szCs w:val="26"/>
        </w:rPr>
        <w:t xml:space="preserve"> unquantifiable prob, mag, or a function of them. Resolvability is a binary, not a sliding scale, either it requires intervention or its objectively evaluable. Resolvability is an independent voter because otherwise the judge can’t </w:t>
      </w:r>
      <w:proofErr w:type="gramStart"/>
      <w:r>
        <w:rPr>
          <w:rFonts w:eastAsia="Times New Roman"/>
          <w:bCs/>
          <w:szCs w:val="26"/>
        </w:rPr>
        <w:t>make a decision</w:t>
      </w:r>
      <w:proofErr w:type="gramEnd"/>
      <w:r>
        <w:rPr>
          <w:rFonts w:eastAsia="Times New Roman"/>
          <w:bCs/>
          <w:szCs w:val="26"/>
        </w:rPr>
        <w:t xml:space="preserve"> which means it’s a constraint on any ROB because otherwise the round is impossible. Impacts to fairness since it means the judge will not be able to make the fair decision.</w:t>
      </w:r>
    </w:p>
    <w:bookmarkEnd w:id="1"/>
    <w:p w14:paraId="69758A53" w14:textId="77777777" w:rsidR="00190C83" w:rsidRDefault="00190C83" w:rsidP="00190C83"/>
    <w:p w14:paraId="5D4888EA" w14:textId="77777777" w:rsidR="00190C83" w:rsidRDefault="00190C83" w:rsidP="00190C83">
      <w:pPr>
        <w:pStyle w:val="Heading4"/>
      </w:pPr>
      <w:bookmarkStart w:id="2" w:name="_Hlk80615663"/>
      <w:r>
        <w:t>[2] Consequentialism fails – A] Induction fails – 1. saying that induction works relies on induction itself because it assumes that past trends will continue, which means it’s circular and unjustified 2. It assumes specific causes of past consequences which can’t be verified as the actual cause B] Butterfly effect - every action has infinite consequences so it is impossible to evaluate an action; one government policy could end up causing nuclear war in a million years. C] Aggregation is impossible – pleasure and pain are subjective – we have no idea how many headaches equal a migraine D] Infinite obligations – I have infinite obligations to maximize pleasure with no way to order them which freezes action.</w:t>
      </w:r>
    </w:p>
    <w:bookmarkEnd w:id="2"/>
    <w:p w14:paraId="42B94F07" w14:textId="77777777" w:rsidR="00190C83" w:rsidRDefault="00190C83" w:rsidP="00190C83">
      <w:pPr>
        <w:pStyle w:val="Heading4"/>
      </w:pPr>
      <w:r>
        <w:t xml:space="preserve">[3] Performativity – contesting the </w:t>
      </w:r>
      <w:proofErr w:type="spellStart"/>
      <w:r>
        <w:t>fw</w:t>
      </w:r>
      <w:proofErr w:type="spellEnd"/>
      <w:r>
        <w:t xml:space="preserve"> needs freedom which concedes its authority since you couldn’t do it without freedom.</w:t>
      </w:r>
    </w:p>
    <w:p w14:paraId="5A198719" w14:textId="77777777" w:rsidR="00190C83" w:rsidRDefault="00190C83" w:rsidP="00190C83">
      <w:pPr>
        <w:pStyle w:val="Heading4"/>
      </w:pPr>
      <w:r>
        <w:t>[4] Solves oppression because it is caused by arbitrary exclusion of others – only universalizability makes sure that we include everyone equally. Farr 02</w:t>
      </w:r>
    </w:p>
    <w:p w14:paraId="2060B5D5" w14:textId="77777777" w:rsidR="00190C83" w:rsidRDefault="00190C83" w:rsidP="00190C83">
      <w:pPr>
        <w:rPr>
          <w:sz w:val="12"/>
          <w:szCs w:val="12"/>
        </w:rPr>
      </w:pPr>
      <w:r>
        <w:rPr>
          <w:sz w:val="12"/>
          <w:szCs w:val="12"/>
        </w:rPr>
        <w:t>Farr, Arnold. Can a Philosophy of Race Afford to Abandon the Kantian Categorical Imperative? 2002, blog.ufba.br/kant/files/2009/12/Can-a-Philosophy-of-Race-Afford-to-Abandon-the.pdf. from ben</w:t>
      </w:r>
    </w:p>
    <w:p w14:paraId="392C6780" w14:textId="77777777" w:rsidR="00190C83" w:rsidRDefault="00190C83" w:rsidP="00190C83">
      <w:pPr>
        <w:rPr>
          <w:sz w:val="12"/>
          <w:szCs w:val="12"/>
        </w:rPr>
      </w:pPr>
    </w:p>
    <w:p w14:paraId="778B5909" w14:textId="77777777" w:rsidR="00190C83" w:rsidRDefault="00190C83" w:rsidP="00190C83">
      <w:pPr>
        <w:rPr>
          <w:sz w:val="12"/>
        </w:rPr>
      </w:pPr>
      <w:r>
        <w:rPr>
          <w:sz w:val="12"/>
        </w:rPr>
        <w:t xml:space="preserve">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w:t>
      </w:r>
      <w:r>
        <w:rPr>
          <w:b/>
          <w:u w:val="single"/>
        </w:rPr>
        <w:t>The</w:t>
      </w:r>
      <w:r>
        <w:rPr>
          <w:sz w:val="12"/>
        </w:rPr>
        <w:t xml:space="preserve"> Kantian </w:t>
      </w:r>
      <w:r>
        <w:rPr>
          <w:b/>
          <w:u w:val="single"/>
        </w:rPr>
        <w:t>subject is an embodied, empirical, concrete subject.</w:t>
      </w:r>
      <w:r>
        <w:rPr>
          <w:sz w:val="12"/>
        </w:rPr>
        <w:t xml:space="preserve">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t>
      </w:r>
      <w:r>
        <w:rPr>
          <w:b/>
          <w:u w:val="single"/>
        </w:rPr>
        <w:t xml:space="preserve">We are physical creatures with physical drives or desires. The very fact that </w:t>
      </w:r>
      <w:r>
        <w:rPr>
          <w:b/>
          <w:highlight w:val="cyan"/>
          <w:u w:val="single"/>
        </w:rPr>
        <w:t>I cannot simply satisfy my desires without considering the rightness or wrongness of my actions</w:t>
      </w:r>
      <w:r>
        <w:rPr>
          <w:b/>
          <w:u w:val="single"/>
        </w:rPr>
        <w:t xml:space="preserve"> suggests that my empirical character must be held in check by something,</w:t>
      </w:r>
      <w:r>
        <w:rPr>
          <w:sz w:val="12"/>
        </w:rPr>
        <w:t xml:space="preserve"> or else I behave like a Freudian id. </w:t>
      </w:r>
      <w:r>
        <w:rPr>
          <w:b/>
          <w:u w:val="single"/>
        </w:rPr>
        <w:t xml:space="preserve">My </w:t>
      </w:r>
      <w:r>
        <w:rPr>
          <w:b/>
          <w:highlight w:val="cyan"/>
          <w:u w:val="single"/>
        </w:rPr>
        <w:t>empirical character must be held in check by</w:t>
      </w:r>
      <w:r>
        <w:rPr>
          <w:b/>
          <w:u w:val="single"/>
        </w:rPr>
        <w:t xml:space="preserve"> my intelligible character, which is the legislative activity of </w:t>
      </w:r>
      <w:r>
        <w:rPr>
          <w:b/>
          <w:highlight w:val="cyan"/>
          <w:u w:val="single"/>
        </w:rPr>
        <w:t>practical reason</w:t>
      </w:r>
      <w:r>
        <w:rPr>
          <w:b/>
          <w:u w:val="single"/>
        </w:rPr>
        <w:t>. It is through our intelligible character that we formulate principles that keep our empirical impulses in check. The categorical imperative is the supreme principle of morality that is constructed by the moral agent in his/her moment of self-transcendence</w:t>
      </w:r>
      <w:r>
        <w:rPr>
          <w:sz w:val="12"/>
        </w:rPr>
        <w:t xml:space="preserve">. What I have called self-transcendence may be best explained in the following passage by </w:t>
      </w:r>
      <w:proofErr w:type="spellStart"/>
      <w:r>
        <w:rPr>
          <w:sz w:val="12"/>
        </w:rPr>
        <w:t>Onora</w:t>
      </w:r>
      <w:proofErr w:type="spellEnd"/>
      <w:r>
        <w:rPr>
          <w:sz w:val="12"/>
        </w:rPr>
        <w:t xml:space="preserve"> O’Neill: </w:t>
      </w:r>
      <w:r>
        <w:rPr>
          <w:b/>
          <w:highlight w:val="cyan"/>
          <w:u w:val="single"/>
        </w:rPr>
        <w:t>In restricting our maxims to those that meet the test of the categorical imperative we refuse to</w:t>
      </w:r>
      <w:r>
        <w:rPr>
          <w:b/>
          <w:u w:val="single"/>
        </w:rPr>
        <w:t xml:space="preserve"> base our lives on maxims that necessarily m</w:t>
      </w:r>
      <w:r>
        <w:rPr>
          <w:b/>
          <w:highlight w:val="cyan"/>
          <w:u w:val="single"/>
        </w:rPr>
        <w:t>ake our own case an exception</w:t>
      </w:r>
      <w:r>
        <w:rPr>
          <w:b/>
          <w:u w:val="single"/>
        </w:rPr>
        <w:t xml:space="preserve">. The reason why a </w:t>
      </w:r>
      <w:proofErr w:type="spellStart"/>
      <w:r>
        <w:rPr>
          <w:b/>
          <w:u w:val="single"/>
        </w:rPr>
        <w:t>universilizability</w:t>
      </w:r>
      <w:proofErr w:type="spellEnd"/>
      <w:r>
        <w:rPr>
          <w:b/>
          <w:u w:val="single"/>
        </w:rPr>
        <w:t xml:space="preserve"> criterion is morally significant is that it makes our own case no special exception </w:t>
      </w:r>
      <w:r>
        <w:rPr>
          <w:sz w:val="12"/>
        </w:rPr>
        <w:t xml:space="preserve">(G, IV, 404). In accepting the Categorical </w:t>
      </w:r>
      <w:proofErr w:type="gramStart"/>
      <w:r>
        <w:rPr>
          <w:sz w:val="12"/>
        </w:rPr>
        <w:t>Imperative</w:t>
      </w:r>
      <w:proofErr w:type="gramEnd"/>
      <w:r>
        <w:rPr>
          <w:sz w:val="12"/>
        </w:rPr>
        <w:t xml:space="preserve"> we accept the moral reality of other selves, and hence the possibility (not, note, the reality) of a moral community. The Formula of Universal Law enjoins no more than that we act only on maxims that are open to others also.16 O’Neill’s description of the universalizability criterion includes the notion of self-transcendence that I am working to explicate here to the extent that like self-transcendence, </w:t>
      </w:r>
      <w:r>
        <w:rPr>
          <w:b/>
          <w:highlight w:val="cyan"/>
          <w:u w:val="single"/>
        </w:rPr>
        <w:t>universalizable moral principles require that the individual think beyond</w:t>
      </w:r>
      <w:r>
        <w:rPr>
          <w:b/>
          <w:u w:val="single"/>
        </w:rPr>
        <w:t xml:space="preserve"> his or her </w:t>
      </w:r>
      <w:r>
        <w:rPr>
          <w:b/>
          <w:highlight w:val="cyan"/>
          <w:u w:val="single"/>
        </w:rPr>
        <w:t>own</w:t>
      </w:r>
      <w:r>
        <w:rPr>
          <w:b/>
          <w:u w:val="single"/>
        </w:rPr>
        <w:t xml:space="preserve"> </w:t>
      </w:r>
      <w:proofErr w:type="gramStart"/>
      <w:r>
        <w:rPr>
          <w:b/>
          <w:u w:val="single"/>
        </w:rPr>
        <w:t xml:space="preserve">particular </w:t>
      </w:r>
      <w:r>
        <w:rPr>
          <w:b/>
          <w:highlight w:val="cyan"/>
          <w:u w:val="single"/>
        </w:rPr>
        <w:t>desires</w:t>
      </w:r>
      <w:proofErr w:type="gramEnd"/>
      <w:r>
        <w:rPr>
          <w:b/>
          <w:highlight w:val="cyan"/>
          <w:u w:val="single"/>
        </w:rPr>
        <w:t>. The individual is not allowed to exclude others</w:t>
      </w:r>
      <w:r>
        <w:rPr>
          <w:b/>
          <w:u w:val="single"/>
        </w:rPr>
        <w:t xml:space="preserve"> as rational moral agents </w:t>
      </w:r>
      <w:r>
        <w:rPr>
          <w:b/>
          <w:highlight w:val="cyan"/>
          <w:u w:val="single"/>
        </w:rPr>
        <w:t>who have the right to act</w:t>
      </w:r>
      <w:r>
        <w:rPr>
          <w:b/>
          <w:u w:val="single"/>
        </w:rPr>
        <w:t xml:space="preserve"> as he acts </w:t>
      </w:r>
      <w:proofErr w:type="gramStart"/>
      <w:r>
        <w:rPr>
          <w:b/>
          <w:u w:val="single"/>
        </w:rPr>
        <w:t>in a given</w:t>
      </w:r>
      <w:proofErr w:type="gramEnd"/>
      <w:r>
        <w:rPr>
          <w:b/>
          <w:u w:val="single"/>
        </w:rPr>
        <w:t xml:space="preserve"> situation</w:t>
      </w:r>
      <w:r>
        <w:rPr>
          <w:sz w:val="12"/>
        </w:rPr>
        <w:t xml:space="preserve">. For example, if I decide to use another person merely as a means for my own </w:t>
      </w:r>
      <w:proofErr w:type="gramStart"/>
      <w:r>
        <w:rPr>
          <w:sz w:val="12"/>
        </w:rPr>
        <w:t>end</w:t>
      </w:r>
      <w:proofErr w:type="gramEnd"/>
      <w:r>
        <w:rPr>
          <w:sz w:val="12"/>
        </w:rPr>
        <w:t xml:space="preserve"> I must recognize the other person’s right to do the same to me. I </w:t>
      </w:r>
      <w:proofErr w:type="gramStart"/>
      <w:r>
        <w:rPr>
          <w:sz w:val="12"/>
        </w:rPr>
        <w:t>cannot consistently will</w:t>
      </w:r>
      <w:proofErr w:type="gramEnd"/>
      <w:r>
        <w:rPr>
          <w:sz w:val="12"/>
        </w:rPr>
        <w:t xml:space="preserve"> that I use another as a means only and will that I not be used in the same manner by another. Hence, </w:t>
      </w:r>
      <w:r>
        <w:rPr>
          <w:b/>
          <w:u w:val="single"/>
        </w:rPr>
        <w:t>the universalizability criterion is a principle of consistency and a principle of inclusion.</w:t>
      </w:r>
      <w:r>
        <w:rPr>
          <w:sz w:val="12"/>
        </w:rPr>
        <w:t xml:space="preserve"> That is, in choosing my maxims I attempt to include the perspective of other moral agents.</w:t>
      </w:r>
    </w:p>
    <w:p w14:paraId="37E3AFAC" w14:textId="77777777" w:rsidR="00190C83" w:rsidRDefault="00190C83" w:rsidP="00190C83"/>
    <w:p w14:paraId="34D727A3" w14:textId="77777777" w:rsidR="00190C83" w:rsidRDefault="00190C83" w:rsidP="00190C83"/>
    <w:p w14:paraId="3D185D00" w14:textId="77777777" w:rsidR="00190C83" w:rsidRDefault="00190C83" w:rsidP="00190C83">
      <w:pPr>
        <w:pStyle w:val="Heading4"/>
      </w:pPr>
      <w:r>
        <w:t xml:space="preserve">I defend the resolution as a general principle – resolved: the member nations of the </w:t>
      </w:r>
      <w:proofErr w:type="spellStart"/>
      <w:r>
        <w:t>wto</w:t>
      </w:r>
      <w:proofErr w:type="spellEnd"/>
      <w:r>
        <w:t xml:space="preserve"> ought to reduce intellectual property protections for medicines. I am willing to shift my advocacy in cx </w:t>
      </w:r>
      <w:proofErr w:type="gramStart"/>
      <w:r>
        <w:t>as long as</w:t>
      </w:r>
      <w:proofErr w:type="gramEnd"/>
      <w:r>
        <w:t xml:space="preserve"> I don’t have to abandon my maxim.</w:t>
      </w:r>
    </w:p>
    <w:p w14:paraId="6AB49919" w14:textId="77777777" w:rsidR="00190C83" w:rsidRDefault="00190C83" w:rsidP="00190C83"/>
    <w:p w14:paraId="2D623497" w14:textId="77777777" w:rsidR="00190C83" w:rsidRDefault="00190C83" w:rsidP="00190C83">
      <w:pPr>
        <w:pStyle w:val="Heading4"/>
      </w:pPr>
      <w:r>
        <w:t>Offense:</w:t>
      </w:r>
    </w:p>
    <w:p w14:paraId="2B885CE6" w14:textId="77777777" w:rsidR="00190C83" w:rsidRDefault="00190C83" w:rsidP="00190C83">
      <w:pPr>
        <w:pStyle w:val="Heading4"/>
      </w:pPr>
      <w:r>
        <w:t xml:space="preserve">Under the </w:t>
      </w:r>
      <w:proofErr w:type="spellStart"/>
      <w:r>
        <w:t>fw</w:t>
      </w:r>
      <w:proofErr w:type="spellEnd"/>
      <w:r>
        <w:t>, freedom is the base of all rights. If the aff proves intellectual property rights is not a necessary extension of freedom, then it is a violation of equal and outer freedoms because IP protections coercively prevent people from making certain medicines.</w:t>
      </w:r>
    </w:p>
    <w:p w14:paraId="2960A771" w14:textId="77777777" w:rsidR="00190C83" w:rsidRDefault="00190C83" w:rsidP="00190C83"/>
    <w:p w14:paraId="7C046341" w14:textId="77777777" w:rsidR="00190C83" w:rsidRDefault="00190C83" w:rsidP="00190C83">
      <w:pPr>
        <w:pStyle w:val="Heading4"/>
      </w:pPr>
      <w:r>
        <w:t>Affirm:</w:t>
      </w:r>
    </w:p>
    <w:p w14:paraId="4F60A036" w14:textId="77777777" w:rsidR="00190C83" w:rsidRDefault="00190C83" w:rsidP="00190C83">
      <w:pPr>
        <w:pStyle w:val="Heading4"/>
      </w:pPr>
      <w:r>
        <w:t>Property only exists as an extension of one’s right to set and pursue ends which means it can only apply to physical objects – your use of intellectual property could never hinder my freedom because both of us can use it!</w:t>
      </w:r>
    </w:p>
    <w:p w14:paraId="48EF0B29" w14:textId="77777777" w:rsidR="00190C83" w:rsidRDefault="00190C83" w:rsidP="00190C83">
      <w:pPr>
        <w:rPr>
          <w:rFonts w:asciiTheme="minorHAnsi" w:hAnsiTheme="minorHAnsi" w:cstheme="minorHAnsi"/>
        </w:rPr>
      </w:pPr>
      <w:r>
        <w:rPr>
          <w:rStyle w:val="Style13ptBold"/>
        </w:rPr>
        <w:t xml:space="preserve">Ripstein 09 </w:t>
      </w:r>
      <w:r>
        <w:rPr>
          <w:rFonts w:asciiTheme="minorHAnsi" w:hAnsiTheme="minorHAnsi" w:cstheme="minorHAnsi"/>
        </w:rPr>
        <w:t>Ripstein, Arthur. University Professor of Law and Philosophy, </w:t>
      </w:r>
      <w:hyperlink r:id="rId7" w:history="1">
        <w:r>
          <w:rPr>
            <w:rStyle w:val="Hyperlink"/>
            <w:rFonts w:asciiTheme="minorHAnsi" w:hAnsiTheme="minorHAnsi" w:cstheme="minorHAnsi"/>
          </w:rPr>
          <w:t>University of Toronto</w:t>
        </w:r>
      </w:hyperlink>
      <w:r>
        <w:rPr>
          <w:rFonts w:asciiTheme="minorHAnsi" w:hAnsiTheme="minorHAnsi" w:cstheme="minorHAnsi"/>
        </w:rPr>
        <w:t xml:space="preserve">. "Force And Freedom." Harvard University Press. 2009. </w:t>
      </w:r>
      <w:hyperlink r:id="rId8" w:history="1">
        <w:r>
          <w:rPr>
            <w:rStyle w:val="Hyperlink"/>
            <w:rFonts w:asciiTheme="minorHAnsi" w:hAnsiTheme="minorHAnsi" w:cstheme="minorHAnsi"/>
          </w:rPr>
          <w:t>http://www.jstor.org/stable/j.ctt13x0hb0</w:t>
        </w:r>
      </w:hyperlink>
      <w:r>
        <w:rPr>
          <w:rFonts w:asciiTheme="minorHAnsi" w:hAnsiTheme="minorHAnsi" w:cstheme="minorHAnsi"/>
        </w:rPr>
        <w:t xml:space="preserve">. WWBW </w:t>
      </w:r>
    </w:p>
    <w:p w14:paraId="158C120B" w14:textId="77777777" w:rsidR="00190C83" w:rsidRDefault="00190C83" w:rsidP="00190C83">
      <w:pPr>
        <w:rPr>
          <w:sz w:val="16"/>
        </w:rPr>
      </w:pPr>
      <w:r>
        <w:rPr>
          <w:sz w:val="16"/>
        </w:rPr>
        <w:t xml:space="preserve">The nature of </w:t>
      </w:r>
      <w:r>
        <w:rPr>
          <w:highlight w:val="cyan"/>
          <w:u w:val="single"/>
        </w:rPr>
        <w:t>a property right is structured by</w:t>
      </w:r>
      <w:r>
        <w:rPr>
          <w:u w:val="single"/>
        </w:rPr>
        <w:t xml:space="preserve"> the basic </w:t>
      </w:r>
      <w:r>
        <w:rPr>
          <w:highlight w:val="cyan"/>
          <w:u w:val="single"/>
        </w:rPr>
        <w:t>requirement of</w:t>
      </w:r>
      <w:r>
        <w:rPr>
          <w:u w:val="single"/>
        </w:rPr>
        <w:t xml:space="preserve"> a system of </w:t>
      </w:r>
      <w:r>
        <w:rPr>
          <w:highlight w:val="cyan"/>
          <w:u w:val="single"/>
        </w:rPr>
        <w:t>equal freedom</w:t>
      </w:r>
      <w:r>
        <w:rPr>
          <w:u w:val="single"/>
        </w:rPr>
        <w:t xml:space="preserve"> in a world in which </w:t>
      </w:r>
      <w:r>
        <w:rPr>
          <w:highlight w:val="cyan"/>
          <w:u w:val="single"/>
        </w:rPr>
        <w:t>free persons</w:t>
      </w:r>
      <w:r>
        <w:rPr>
          <w:u w:val="single"/>
        </w:rPr>
        <w:t xml:space="preserve"> can </w:t>
      </w:r>
      <w:r>
        <w:rPr>
          <w:highlight w:val="cyan"/>
          <w:u w:val="single"/>
        </w:rPr>
        <w:t>use things other than</w:t>
      </w:r>
      <w:r>
        <w:rPr>
          <w:u w:val="single"/>
        </w:rPr>
        <w:t xml:space="preserve"> their </w:t>
      </w:r>
      <w:r>
        <w:rPr>
          <w:highlight w:val="cyan"/>
          <w:u w:val="single"/>
        </w:rPr>
        <w:t>bodies to set and pursue their purposes</w:t>
      </w:r>
      <w:r>
        <w:rPr>
          <w:u w:val="single"/>
        </w:rPr>
        <w:t>.</w:t>
      </w:r>
      <w:r>
        <w:rPr>
          <w:sz w:val="16"/>
        </w:rPr>
        <w:t xml:space="preserve"> That is why, as we saw in the previous chapter, property rights constrain others in ways parallel to the way rights to your own person constrain others. </w:t>
      </w:r>
      <w:r>
        <w:rPr>
          <w:highlight w:val="cyan"/>
          <w:u w:val="single"/>
        </w:rPr>
        <w:t>Your body</w:t>
      </w:r>
      <w:r>
        <w:rPr>
          <w:u w:val="single"/>
        </w:rPr>
        <w:t xml:space="preserve"> is your person, and it </w:t>
      </w:r>
      <w:r>
        <w:rPr>
          <w:highlight w:val="cyan"/>
          <w:u w:val="single"/>
        </w:rPr>
        <w:t>constrains others because</w:t>
      </w:r>
      <w:r>
        <w:rPr>
          <w:u w:val="single"/>
        </w:rPr>
        <w:t xml:space="preserve"> it is that through which you act</w:t>
      </w:r>
      <w:r>
        <w:rPr>
          <w:sz w:val="16"/>
        </w:rPr>
        <w:t xml:space="preserve">, your capacity to set and pursue purposes, and </w:t>
      </w:r>
      <w:r>
        <w:rPr>
          <w:u w:val="single"/>
        </w:rPr>
        <w:t xml:space="preserve">any </w:t>
      </w:r>
      <w:r>
        <w:rPr>
          <w:highlight w:val="cyan"/>
          <w:u w:val="single"/>
        </w:rPr>
        <w:t>interference with your body interferes with</w:t>
      </w:r>
      <w:r>
        <w:rPr>
          <w:u w:val="single"/>
        </w:rPr>
        <w:t xml:space="preserve"> that </w:t>
      </w:r>
      <w:r>
        <w:rPr>
          <w:highlight w:val="cyan"/>
          <w:u w:val="single"/>
        </w:rPr>
        <w:t>capacity [to act].</w:t>
      </w:r>
      <w:r>
        <w:rPr>
          <w:u w:val="single"/>
        </w:rPr>
        <w:t xml:space="preserve"> Your </w:t>
      </w:r>
      <w:r>
        <w:rPr>
          <w:highlight w:val="cyan"/>
          <w:u w:val="single"/>
        </w:rPr>
        <w:t xml:space="preserve">property constrains others because it comprises the external means that you use in </w:t>
      </w:r>
      <w:r>
        <w:rPr>
          <w:u w:val="single"/>
        </w:rPr>
        <w:t xml:space="preserve">setting and </w:t>
      </w:r>
      <w:r>
        <w:rPr>
          <w:highlight w:val="cyan"/>
          <w:u w:val="single"/>
        </w:rPr>
        <w:t>pursuing purposes</w:t>
      </w:r>
      <w:r>
        <w:rPr>
          <w:sz w:val="16"/>
        </w:rPr>
        <w:t xml:space="preserve">; if someone interferes with your property, he thereby interferes with your purposiveness. The same point can be made through the distinction, from Chapter 2, between a person’s means and the context in which that person uses them. A changed context raises no issues of </w:t>
      </w:r>
      <w:proofErr w:type="gramStart"/>
      <w:r>
        <w:rPr>
          <w:sz w:val="16"/>
        </w:rPr>
        <w:t>right, because</w:t>
      </w:r>
      <w:proofErr w:type="gramEnd"/>
      <w:r>
        <w:rPr>
          <w:sz w:val="16"/>
        </w:rPr>
        <w:t xml:space="preserve"> it is the inevitable result of people’s exercise of their freedom. </w:t>
      </w:r>
      <w:r>
        <w:rPr>
          <w:u w:val="single"/>
        </w:rPr>
        <w:t>A system of property is a system in which persons have rights to means others than their bodily powers, and others may not change those means or their availability.</w:t>
      </w:r>
      <w:r>
        <w:rPr>
          <w:sz w:val="16"/>
        </w:rPr>
        <w:t xml:space="preserve"> If you could not have a right to something in your absence, everything except your bodily powers would be mere context, subject to the choice of others. The relation of property to setting and pursuing purposes underlies both its rationale and its structure. </w:t>
      </w:r>
      <w:r>
        <w:rPr>
          <w:highlight w:val="cyan"/>
          <w:u w:val="single"/>
        </w:rPr>
        <w:t>Freedom requires that external means</w:t>
      </w:r>
      <w:r>
        <w:rPr>
          <w:u w:val="single"/>
        </w:rPr>
        <w:t xml:space="preserve"> that </w:t>
      </w:r>
      <w:r>
        <w:rPr>
          <w:highlight w:val="cyan"/>
          <w:u w:val="single"/>
        </w:rPr>
        <w:t>can be used in</w:t>
      </w:r>
      <w:r>
        <w:rPr>
          <w:u w:val="single"/>
        </w:rPr>
        <w:t xml:space="preserve"> setting and </w:t>
      </w:r>
      <w:r>
        <w:rPr>
          <w:highlight w:val="cyan"/>
          <w:u w:val="single"/>
        </w:rPr>
        <w:t>pursuing purposes</w:t>
      </w:r>
      <w:r>
        <w:rPr>
          <w:u w:val="single"/>
        </w:rPr>
        <w:t xml:space="preserve"> be available formally: </w:t>
      </w:r>
      <w:r>
        <w:rPr>
          <w:highlight w:val="cyan"/>
          <w:u w:val="single"/>
        </w:rPr>
        <w:t>an owner’s entitlement to use them does not depend on</w:t>
      </w:r>
      <w:r>
        <w:rPr>
          <w:u w:val="single"/>
        </w:rPr>
        <w:t xml:space="preserve"> the matter of the owner’s or </w:t>
      </w:r>
      <w:r>
        <w:rPr>
          <w:highlight w:val="cyan"/>
          <w:u w:val="single"/>
        </w:rPr>
        <w:t>any</w:t>
      </w:r>
      <w:r>
        <w:rPr>
          <w:u w:val="single"/>
        </w:rPr>
        <w:t xml:space="preserve"> other </w:t>
      </w:r>
      <w:proofErr w:type="gramStart"/>
      <w:r>
        <w:rPr>
          <w:highlight w:val="cyan"/>
          <w:u w:val="single"/>
        </w:rPr>
        <w:t>particular person’s</w:t>
      </w:r>
      <w:proofErr w:type="gramEnd"/>
      <w:r>
        <w:rPr>
          <w:highlight w:val="cyan"/>
          <w:u w:val="single"/>
        </w:rPr>
        <w:t xml:space="preserve"> choice</w:t>
      </w:r>
      <w:r>
        <w:rPr>
          <w:u w:val="single"/>
        </w:rPr>
        <w:t>.</w:t>
      </w:r>
      <w:r>
        <w:rPr>
          <w:sz w:val="16"/>
        </w:rPr>
        <w:t xml:space="preserve"> For the same reason, a property right needs to constrain others even when the owner is not in physical possession of an object. </w:t>
      </w:r>
      <w:proofErr w:type="gramStart"/>
      <w:r>
        <w:rPr>
          <w:sz w:val="16"/>
        </w:rPr>
        <w:t>Otherwise</w:t>
      </w:r>
      <w:proofErr w:type="gramEnd"/>
      <w:r>
        <w:rPr>
          <w:sz w:val="16"/>
        </w:rPr>
        <w:t xml:space="preserve"> whether an object was available to the owner to set and pursue purposes would depend on the particular choices of others, and so violate the formality condition. As a matter of fact, you may be able to set yourself the end of making a mushroom omelet without having rights to objects that are not in your physical possession, but you could not have an entitlement against others to set yourself the end of making one. If there were no such rights, someone else would be entitled to take the eggs you had gathered while you were sautéing the mushrooms, and you would not be entitled to do anything to stop her. Your entitlement to set and pursue purposes would thus depend on the </w:t>
      </w:r>
      <w:proofErr w:type="gramStart"/>
      <w:r>
        <w:rPr>
          <w:sz w:val="16"/>
        </w:rPr>
        <w:t>particular choices</w:t>
      </w:r>
      <w:proofErr w:type="gramEnd"/>
      <w:r>
        <w:rPr>
          <w:sz w:val="16"/>
        </w:rPr>
        <w:t xml:space="preserve"> made by another. Again, the fact that some other person needs or wants what you have more than you do, could use it more effectively than you, or could gain from using it more than you would lose is of no significance. The simplest wrong against property is using what belongs to another without the owner’s permission. Kant’s account explains why this is a wrong without inquiring into the magnitude of the loss (if any) suffered by the owner, or the benefits the trespasser hoped to gain. Any account that focuses on specific uses—the matter of choice—must regard such a rule as wasteful, since it forbids a transaction that makes one party better off and the other no worse off. In the vocabulary of economic theory, a harmless trespass is a Pareto improvement: one person is made better off, and no other person is made worse off.8 Perhaps a material analysis, focusing on need or wish, could generate a rule against trespass by reference to secondary problems about the resources people would waste in protecting their property, and so conclude that there are grounds for a general rule that sometimes prohibits people from doing harmless and even worthwhile things.9 Kant’s approach is different: the reason harmless trespasses are prohibited is that they violate the owner’s right to determine how his or her property will be used.</w:t>
      </w:r>
    </w:p>
    <w:p w14:paraId="399CE3EC" w14:textId="77777777" w:rsidR="00190C83" w:rsidRDefault="00190C83" w:rsidP="00190C83">
      <w:pPr>
        <w:pStyle w:val="Heading4"/>
      </w:pPr>
      <w:r>
        <w:t xml:space="preserve">That affirms since property rights exist because if people took away your property, you lose the ability to use it to pursue ends. </w:t>
      </w:r>
      <w:proofErr w:type="gramStart"/>
      <w:r>
        <w:t>But,</w:t>
      </w:r>
      <w:proofErr w:type="gramEnd"/>
      <w:r>
        <w:t xml:space="preserve"> it doesn’t apply to intellectual property since other people can take your intellectual property and you can still use it.</w:t>
      </w:r>
    </w:p>
    <w:p w14:paraId="52E0A9DA" w14:textId="77777777" w:rsidR="00190C83" w:rsidRDefault="00190C83" w:rsidP="00190C83"/>
    <w:p w14:paraId="0FE0F73A" w14:textId="77777777" w:rsidR="00190C83" w:rsidRDefault="00190C83" w:rsidP="00190C83">
      <w:pPr>
        <w:pStyle w:val="Heading4"/>
      </w:pPr>
      <w:r>
        <w:t xml:space="preserve">Ownership requires </w:t>
      </w:r>
      <w:r>
        <w:rPr>
          <w:u w:val="single"/>
        </w:rPr>
        <w:t>physical possession</w:t>
      </w:r>
      <w:r>
        <w:t xml:space="preserve"> and </w:t>
      </w:r>
      <w:r>
        <w:rPr>
          <w:u w:val="single"/>
        </w:rPr>
        <w:t>giving a sign</w:t>
      </w:r>
      <w:r>
        <w:t xml:space="preserve"> which are both impossible for immaterial objects.</w:t>
      </w:r>
    </w:p>
    <w:p w14:paraId="4479162E" w14:textId="77777777" w:rsidR="00190C83" w:rsidRDefault="00190C83" w:rsidP="00190C83">
      <w:pPr>
        <w:rPr>
          <w:rFonts w:asciiTheme="minorHAnsi" w:hAnsiTheme="minorHAnsi" w:cstheme="minorHAnsi"/>
        </w:rPr>
      </w:pPr>
      <w:r>
        <w:rPr>
          <w:rStyle w:val="Style13ptBold"/>
        </w:rPr>
        <w:t xml:space="preserve">Ripstein 09 </w:t>
      </w:r>
      <w:r>
        <w:rPr>
          <w:rFonts w:asciiTheme="minorHAnsi" w:hAnsiTheme="minorHAnsi" w:cstheme="minorHAnsi"/>
        </w:rPr>
        <w:t>Ripstein, Arthur. University Professor of Law and Philosophy, </w:t>
      </w:r>
      <w:hyperlink r:id="rId9" w:history="1">
        <w:r>
          <w:rPr>
            <w:rStyle w:val="Hyperlink"/>
            <w:rFonts w:asciiTheme="minorHAnsi" w:hAnsiTheme="minorHAnsi" w:cstheme="minorHAnsi"/>
          </w:rPr>
          <w:t>University of Toronto</w:t>
        </w:r>
      </w:hyperlink>
      <w:r>
        <w:rPr>
          <w:rFonts w:asciiTheme="minorHAnsi" w:hAnsiTheme="minorHAnsi" w:cstheme="minorHAnsi"/>
        </w:rPr>
        <w:t xml:space="preserve">. "Force And Freedom." Harvard University Press. 2009. </w:t>
      </w:r>
      <w:hyperlink r:id="rId10" w:history="1">
        <w:r>
          <w:rPr>
            <w:rStyle w:val="Hyperlink"/>
            <w:rFonts w:asciiTheme="minorHAnsi" w:hAnsiTheme="minorHAnsi" w:cstheme="minorHAnsi"/>
          </w:rPr>
          <w:t>http://www.jstor.org/stable/j.ctt13x0hb0</w:t>
        </w:r>
      </w:hyperlink>
      <w:r>
        <w:rPr>
          <w:rFonts w:asciiTheme="minorHAnsi" w:hAnsiTheme="minorHAnsi" w:cstheme="minorHAnsi"/>
        </w:rPr>
        <w:t>. WWBW</w:t>
      </w:r>
    </w:p>
    <w:p w14:paraId="7454BFB2" w14:textId="77777777" w:rsidR="00190C83" w:rsidRDefault="00190C83" w:rsidP="00190C83">
      <w:pPr>
        <w:rPr>
          <w:sz w:val="16"/>
        </w:rPr>
      </w:pPr>
      <w:r>
        <w:rPr>
          <w:sz w:val="16"/>
        </w:rPr>
        <w:t xml:space="preserve">Kant’s account thus focuses exclusively on the transition in a thing’s status from unowned to owned, that is, the transition from its being available to all to its being subject to one person’s exclusive choice. The account is boring because </w:t>
      </w:r>
      <w:r>
        <w:rPr>
          <w:highlight w:val="cyan"/>
          <w:u w:val="single"/>
        </w:rPr>
        <w:t>the only</w:t>
      </w:r>
      <w:r>
        <w:rPr>
          <w:u w:val="single"/>
        </w:rPr>
        <w:t xml:space="preserve"> factual </w:t>
      </w:r>
      <w:r>
        <w:rPr>
          <w:highlight w:val="cyan"/>
          <w:u w:val="single"/>
        </w:rPr>
        <w:t>precondition of</w:t>
      </w:r>
      <w:r>
        <w:rPr>
          <w:u w:val="single"/>
        </w:rPr>
        <w:t xml:space="preserve"> rightful </w:t>
      </w:r>
      <w:r>
        <w:rPr>
          <w:highlight w:val="cyan"/>
          <w:u w:val="single"/>
        </w:rPr>
        <w:t>acquisition of an</w:t>
      </w:r>
      <w:r>
        <w:rPr>
          <w:u w:val="single"/>
        </w:rPr>
        <w:t xml:space="preserve"> unowned </w:t>
      </w:r>
      <w:r>
        <w:rPr>
          <w:highlight w:val="cyan"/>
          <w:u w:val="single"/>
        </w:rPr>
        <w:t>object is</w:t>
      </w:r>
      <w:r>
        <w:rPr>
          <w:u w:val="single"/>
        </w:rPr>
        <w:t xml:space="preserve"> empirical </w:t>
      </w:r>
      <w:r>
        <w:rPr>
          <w:highlight w:val="cyan"/>
          <w:u w:val="single"/>
        </w:rPr>
        <w:t>possession</w:t>
      </w:r>
      <w:r>
        <w:rPr>
          <w:u w:val="single"/>
        </w:rPr>
        <w:t xml:space="preserve"> of that object.</w:t>
      </w:r>
      <w:r>
        <w:rPr>
          <w:sz w:val="16"/>
        </w:rPr>
        <w:t xml:space="preserve"> The act in question is simply bringing a thing under your control, so that you can now decide how to use it. </w:t>
      </w:r>
      <w:r>
        <w:rPr>
          <w:highlight w:val="cyan"/>
          <w:u w:val="single"/>
        </w:rPr>
        <w:t>Neither improving it nor putting your will into it is required</w:t>
      </w:r>
      <w:r>
        <w:rPr>
          <w:u w:val="single"/>
        </w:rPr>
        <w:t>.</w:t>
      </w:r>
      <w:r>
        <w:rPr>
          <w:sz w:val="16"/>
        </w:rPr>
        <w:t xml:space="preserve"> Improving it is not required because improving an object is only relevant once you have taken possession of it. Until you take possession, improving just fritters away your efforts. The same point applies to what Hegel describes as “putting your will” into an object, at least if this is understood as something different from simply taking possession of it. Wishing for a thing engages your will in a sense that is irrelevant; subjecting it to your choice—making it a means for setting and pursuing your purposes—is established only by taking control of it. Nothing more is required. </w:t>
      </w:r>
      <w:r>
        <w:rPr>
          <w:u w:val="single"/>
        </w:rPr>
        <w:t xml:space="preserve">All </w:t>
      </w:r>
      <w:r>
        <w:rPr>
          <w:highlight w:val="cyan"/>
          <w:u w:val="single"/>
        </w:rPr>
        <w:t xml:space="preserve">you need </w:t>
      </w:r>
      <w:r>
        <w:rPr>
          <w:u w:val="single"/>
        </w:rPr>
        <w:t xml:space="preserve">to do is take </w:t>
      </w:r>
      <w:r>
        <w:rPr>
          <w:highlight w:val="cyan"/>
          <w:u w:val="single"/>
        </w:rPr>
        <w:t xml:space="preserve">physical </w:t>
      </w:r>
      <w:proofErr w:type="gramStart"/>
      <w:r>
        <w:rPr>
          <w:highlight w:val="cyan"/>
          <w:u w:val="single"/>
        </w:rPr>
        <w:t>possession, and</w:t>
      </w:r>
      <w:proofErr w:type="gramEnd"/>
      <w:r>
        <w:rPr>
          <w:u w:val="single"/>
        </w:rPr>
        <w:t xml:space="preserve"> give </w:t>
      </w:r>
      <w:r>
        <w:rPr>
          <w:highlight w:val="cyan"/>
          <w:u w:val="single"/>
        </w:rPr>
        <w:t>a sign to others that you</w:t>
      </w:r>
      <w:r>
        <w:rPr>
          <w:u w:val="single"/>
        </w:rPr>
        <w:t xml:space="preserve"> are doing so in order to </w:t>
      </w:r>
      <w:r>
        <w:rPr>
          <w:highlight w:val="cyan"/>
          <w:u w:val="single"/>
        </w:rPr>
        <w:t>have it as</w:t>
      </w:r>
      <w:r>
        <w:rPr>
          <w:u w:val="single"/>
        </w:rPr>
        <w:t xml:space="preserve"> your </w:t>
      </w:r>
      <w:r>
        <w:rPr>
          <w:highlight w:val="cyan"/>
          <w:u w:val="single"/>
        </w:rPr>
        <w:t>means</w:t>
      </w:r>
      <w:r>
        <w:rPr>
          <w:u w:val="single"/>
        </w:rPr>
        <w:t xml:space="preserve"> rather than just for a specific use. </w:t>
      </w:r>
      <w:r>
        <w:rPr>
          <w:sz w:val="16"/>
        </w:rPr>
        <w:t xml:space="preserve">These steps are required because they are just the steps in subjecting a thing to your choice. You do not need to improve the object, because improving an object you are already in possession of is just subjecting it to your choice in some specific way. Unless it is already subject to your choice, however, the ways in which you change it—for example, by tiring it out—do not subject it to your choice. At most, they prepare it for subsequent use. Taking control must be public, and so Kant says it requires giving a sign. </w:t>
      </w:r>
      <w:r>
        <w:rPr>
          <w:highlight w:val="cyan"/>
          <w:u w:val="single"/>
        </w:rPr>
        <w:t>If others could not determine that</w:t>
      </w:r>
      <w:r>
        <w:rPr>
          <w:u w:val="single"/>
        </w:rPr>
        <w:t xml:space="preserve"> you meant to bind them, you cannot bind them.</w:t>
      </w:r>
      <w:r>
        <w:rPr>
          <w:sz w:val="16"/>
        </w:rPr>
        <w:t xml:space="preserve"> You can use something on a particular occasion without acquiring it or even intending to. You might use a stick to balance as you walk up a rocky path without making it your own. It is not that you acquire it and then immediately abandon it. Instead, you use it only while you are in physical possession of it. </w:t>
      </w:r>
      <w:r>
        <w:rPr>
          <w:u w:val="single"/>
        </w:rPr>
        <w:t xml:space="preserve">In so doing, </w:t>
      </w:r>
      <w:r>
        <w:rPr>
          <w:highlight w:val="cyan"/>
          <w:u w:val="single"/>
        </w:rPr>
        <w:t>you make no claim to subject the thing to your choice when you are not in physical possession of it</w:t>
      </w:r>
      <w:r>
        <w:rPr>
          <w:u w:val="single"/>
        </w:rPr>
        <w:t>.</w:t>
      </w:r>
      <w:r>
        <w:rPr>
          <w:sz w:val="16"/>
        </w:rPr>
        <w:t xml:space="preserve"> The second unilateral act (strictly speaking, the second aspect of the same unilateral act) is “giving a sign”: you must make your appropriation of the object in question public, in the sense that others could be bound by it. If you are only using the stick to balance, you do not need to give a sign to others; the fact that you are in physical possession of the stick means that they cannot interfere with the stick while you are using it without thereby committing a wrong against your person. </w:t>
      </w:r>
      <w:proofErr w:type="gramStart"/>
      <w:r>
        <w:rPr>
          <w:sz w:val="16"/>
        </w:rPr>
        <w:t>So</w:t>
      </w:r>
      <w:proofErr w:type="gramEnd"/>
      <w:r>
        <w:rPr>
          <w:sz w:val="16"/>
        </w:rPr>
        <w:t xml:space="preserve"> no other person can grab the stick, making you lose your balance, but the wrong of so doing has nothing to do with the stick as such, and everything to do with the fact that you are currently holding it. On the other hand, if you give a sign, then the person who takes the stick from you wrongs you with respect to the stick as well, and so wrongs you by taking the stick when you put it down. It does not follow from the need for a sign that there needs to be a clear marker on every boundary line; only that in bringing the thing under control you make it apparent to others that you intend to make it your own.</w:t>
      </w:r>
    </w:p>
    <w:p w14:paraId="724AF976" w14:textId="77777777" w:rsidR="00190C83" w:rsidRDefault="00190C83" w:rsidP="00190C83">
      <w:pPr>
        <w:pStyle w:val="Heading4"/>
      </w:pPr>
    </w:p>
    <w:p w14:paraId="41510FFD" w14:textId="77777777" w:rsidR="00190C83" w:rsidRDefault="00190C83" w:rsidP="00190C83">
      <w:pPr>
        <w:pStyle w:val="Heading1"/>
      </w:pPr>
      <w:r>
        <w:t>UV</w:t>
      </w:r>
    </w:p>
    <w:p w14:paraId="5DDF3AF2" w14:textId="77777777" w:rsidR="00190C83" w:rsidRDefault="00190C83" w:rsidP="00190C83">
      <w:pPr>
        <w:pStyle w:val="Heading4"/>
      </w:pPr>
      <w:r>
        <w:t xml:space="preserve">1] 1ar theory is good because its key to check 1nc abuse – otherwise the neg can read 50 </w:t>
      </w:r>
      <w:proofErr w:type="spellStart"/>
      <w:r>
        <w:t>aprioris</w:t>
      </w:r>
      <w:proofErr w:type="spellEnd"/>
      <w:r>
        <w:t xml:space="preserve"> with no recourse. </w:t>
      </w:r>
    </w:p>
    <w:p w14:paraId="57E52E2E" w14:textId="77777777" w:rsidR="00190C83" w:rsidRDefault="00190C83" w:rsidP="00190C83">
      <w:pPr>
        <w:pStyle w:val="Heading4"/>
      </w:pPr>
      <w:r>
        <w:t xml:space="preserve">2] Its </w:t>
      </w:r>
      <w:proofErr w:type="spellStart"/>
      <w:r>
        <w:t>dtd</w:t>
      </w:r>
      <w:proofErr w:type="spellEnd"/>
      <w:r>
        <w:t xml:space="preserve"> since </w:t>
      </w:r>
      <w:r>
        <w:rPr>
          <w:lang w:eastAsia="zh-CN"/>
        </w:rPr>
        <w:t xml:space="preserve">1AR is too short to substantively </w:t>
      </w:r>
      <w:r>
        <w:t xml:space="preserve">engage abusive positions and it’s a bigger time commitment for </w:t>
      </w:r>
      <w:proofErr w:type="gramStart"/>
      <w:r>
        <w:t>4 minute</w:t>
      </w:r>
      <w:proofErr w:type="gramEnd"/>
      <w:r>
        <w:t xml:space="preserve"> 1ar. </w:t>
      </w:r>
    </w:p>
    <w:p w14:paraId="0E297381" w14:textId="77777777" w:rsidR="00190C83" w:rsidRDefault="00190C83" w:rsidP="00190C83">
      <w:pPr>
        <w:pStyle w:val="Heading4"/>
      </w:pPr>
      <w:r>
        <w:t xml:space="preserve">3] No RVIs because its illogical – you don’t win for being fair and it encourages baiting by reading abusive 1nc, and the 2nr has a </w:t>
      </w:r>
      <w:proofErr w:type="gramStart"/>
      <w:r>
        <w:t>6 minute</w:t>
      </w:r>
      <w:proofErr w:type="gramEnd"/>
      <w:r>
        <w:t xml:space="preserve"> collapse to always win theory. Logic outweighs since it’s a litmus test on all arguments. RVIs make it all about theory and not about the topic since someone is going to win on theory. Outweighs – 2 months to learn topic. </w:t>
      </w:r>
    </w:p>
    <w:p w14:paraId="6740D8B4" w14:textId="77777777" w:rsidR="00190C83" w:rsidRDefault="00190C83" w:rsidP="00190C83">
      <w:pPr>
        <w:pStyle w:val="Heading4"/>
      </w:pPr>
      <w:r>
        <w:t xml:space="preserve">4] Competing </w:t>
      </w:r>
      <w:proofErr w:type="spellStart"/>
      <w:r>
        <w:t>interps</w:t>
      </w:r>
      <w:proofErr w:type="spellEnd"/>
      <w:r>
        <w:t xml:space="preserve"> because it creates the best norms and is most reciprocal on time since I had to structure a </w:t>
      </w:r>
      <w:proofErr w:type="gramStart"/>
      <w:r>
        <w:t>shell</w:t>
      </w:r>
      <w:proofErr w:type="gramEnd"/>
      <w:r>
        <w:t xml:space="preserve"> so you do too and easiest to learn for novices since its intuitive</w:t>
      </w:r>
    </w:p>
    <w:bookmarkEnd w:id="0"/>
    <w:p w14:paraId="3DC65E1D" w14:textId="6BC7CF9D" w:rsidR="00190C83" w:rsidRDefault="00190C83" w:rsidP="00190C83">
      <w:pPr>
        <w:pStyle w:val="Heading4"/>
      </w:pPr>
      <w:r>
        <w:t>5</w:t>
      </w:r>
      <w:r>
        <w:t xml:space="preserve">] Reject spec – its infinitely regressive and topic lit cards are arbitrary, and I said I would shift my advocacy within reason in </w:t>
      </w:r>
      <w:proofErr w:type="gramStart"/>
      <w:r>
        <w:t>cx</w:t>
      </w:r>
      <w:proofErr w:type="gramEnd"/>
      <w:r>
        <w:t xml:space="preserve"> so I meet.</w:t>
      </w:r>
    </w:p>
    <w:p w14:paraId="7E154783" w14:textId="7545287E" w:rsidR="00190C83" w:rsidRDefault="00190C83" w:rsidP="00190C83">
      <w:pPr>
        <w:pStyle w:val="Heading4"/>
      </w:pPr>
      <w:r>
        <w:t>6</w:t>
      </w:r>
      <w:r>
        <w:t>] Turns about free-riding are consequentialist insofar as they rely on the fact that after IPP is lowered people will free-ride.</w:t>
      </w:r>
    </w:p>
    <w:p w14:paraId="0212FA76"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672389208032"/>
    <w:docVar w:name="VerbatimVersion" w:val="5.1"/>
  </w:docVars>
  <w:rsids>
    <w:rsidRoot w:val="00190C83"/>
    <w:rsid w:val="000139A3"/>
    <w:rsid w:val="00100833"/>
    <w:rsid w:val="00104529"/>
    <w:rsid w:val="00105942"/>
    <w:rsid w:val="00107396"/>
    <w:rsid w:val="00144A4C"/>
    <w:rsid w:val="00176AB0"/>
    <w:rsid w:val="00177B7D"/>
    <w:rsid w:val="0018322D"/>
    <w:rsid w:val="00190C83"/>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923F8"/>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5BB9"/>
    <w:rsid w:val="00766EA0"/>
    <w:rsid w:val="007A2226"/>
    <w:rsid w:val="007F5B66"/>
    <w:rsid w:val="00823A1C"/>
    <w:rsid w:val="008455A0"/>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2735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5BBFF"/>
  <w15:chartTrackingRefBased/>
  <w15:docId w15:val="{B8D70E7C-4096-4AD7-A86B-78DAA4033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90C83"/>
    <w:pPr>
      <w:spacing w:line="256" w:lineRule="auto"/>
    </w:pPr>
    <w:rPr>
      <w:rFonts w:ascii="Calibri" w:hAnsi="Calibri" w:cs="Calibri"/>
    </w:rPr>
  </w:style>
  <w:style w:type="paragraph" w:styleId="Heading1">
    <w:name w:val="heading 1"/>
    <w:aliases w:val="Pocket"/>
    <w:basedOn w:val="Normal"/>
    <w:next w:val="Normal"/>
    <w:link w:val="Heading1Char"/>
    <w:qFormat/>
    <w:rsid w:val="00190C83"/>
    <w:pPr>
      <w:keepNext/>
      <w:keepLines/>
      <w:pageBreakBefore/>
      <w:pBdr>
        <w:top w:val="single" w:sz="24" w:space="1" w:color="auto"/>
        <w:left w:val="single" w:sz="24" w:space="4" w:color="auto"/>
        <w:bottom w:val="single" w:sz="24" w:space="1" w:color="auto"/>
        <w:right w:val="single" w:sz="24" w:space="4" w:color="auto"/>
      </w:pBdr>
      <w:spacing w:before="240" w:after="0" w:line="259" w:lineRule="auto"/>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90C83"/>
    <w:pPr>
      <w:keepNext/>
      <w:keepLines/>
      <w:pageBreakBefore/>
      <w:spacing w:before="40" w:after="0" w:line="259" w:lineRule="auto"/>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90C83"/>
    <w:pPr>
      <w:keepNext/>
      <w:keepLines/>
      <w:pageBreakBefore/>
      <w:spacing w:before="40" w:after="0" w:line="259" w:lineRule="auto"/>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
    <w:basedOn w:val="Normal"/>
    <w:next w:val="Normal"/>
    <w:link w:val="Heading4Char"/>
    <w:uiPriority w:val="3"/>
    <w:unhideWhenUsed/>
    <w:qFormat/>
    <w:rsid w:val="00190C83"/>
    <w:pPr>
      <w:keepNext/>
      <w:keepLines/>
      <w:spacing w:before="40" w:after="0" w:line="259"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190C8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90C83"/>
  </w:style>
  <w:style w:type="character" w:customStyle="1" w:styleId="Heading1Char">
    <w:name w:val="Heading 1 Char"/>
    <w:aliases w:val="Pocket Char"/>
    <w:basedOn w:val="DefaultParagraphFont"/>
    <w:link w:val="Heading1"/>
    <w:rsid w:val="00190C8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90C8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90C83"/>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190C83"/>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7"/>
    <w:qFormat/>
    <w:rsid w:val="00190C83"/>
    <w:rPr>
      <w:rFonts w:ascii="Calibri" w:hAnsi="Calibri" w:cs="Calibri"/>
      <w:b/>
      <w:i w:val="0"/>
      <w:iCs/>
      <w:sz w:val="28"/>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90C83"/>
    <w:rPr>
      <w:b/>
      <w:bCs/>
      <w:sz w:val="26"/>
      <w:u w:val="none"/>
    </w:rPr>
  </w:style>
  <w:style w:type="character" w:customStyle="1" w:styleId="StyleUnderline">
    <w:name w:val="Style Underline"/>
    <w:aliases w:val="Underline"/>
    <w:basedOn w:val="DefaultParagraphFont"/>
    <w:uiPriority w:val="6"/>
    <w:qFormat/>
    <w:rsid w:val="00190C83"/>
    <w:rPr>
      <w:b w:val="0"/>
      <w:sz w:val="22"/>
      <w:u w:val="singl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w:basedOn w:val="DefaultParagraphFont"/>
    <w:uiPriority w:val="99"/>
    <w:semiHidden/>
    <w:unhideWhenUsed/>
    <w:rsid w:val="00190C83"/>
    <w:rPr>
      <w:color w:val="auto"/>
      <w:u w:val="none"/>
    </w:rPr>
  </w:style>
  <w:style w:type="character" w:styleId="FollowedHyperlink">
    <w:name w:val="FollowedHyperlink"/>
    <w:basedOn w:val="DefaultParagraphFont"/>
    <w:uiPriority w:val="99"/>
    <w:semiHidden/>
    <w:unhideWhenUsed/>
    <w:rsid w:val="00190C83"/>
    <w:rPr>
      <w:color w:val="auto"/>
      <w:u w:val="none"/>
    </w:rPr>
  </w:style>
  <w:style w:type="paragraph" w:customStyle="1" w:styleId="textbold">
    <w:name w:val="text bold"/>
    <w:basedOn w:val="Normal"/>
    <w:link w:val="Emphasis"/>
    <w:uiPriority w:val="7"/>
    <w:qFormat/>
    <w:rsid w:val="00190C83"/>
    <w:pPr>
      <w:pBdr>
        <w:top w:val="single" w:sz="18" w:space="0" w:color="auto"/>
        <w:left w:val="single" w:sz="18" w:space="0" w:color="auto"/>
        <w:bottom w:val="single" w:sz="18" w:space="0" w:color="auto"/>
        <w:right w:val="single" w:sz="18" w:space="0" w:color="auto"/>
      </w:pBdr>
      <w:spacing w:line="254" w:lineRule="auto"/>
      <w:ind w:left="720"/>
      <w:jc w:val="both"/>
    </w:pPr>
    <w:rPr>
      <w:b/>
      <w:iCs/>
      <w:sz w:val="28"/>
      <w:u w:val="single"/>
      <w:bdr w:val="single" w:sz="12" w:space="0" w:color="auto"/>
    </w:rPr>
  </w:style>
  <w:style w:type="paragraph" w:styleId="NormalWeb">
    <w:name w:val="Normal (Web)"/>
    <w:basedOn w:val="Normal"/>
    <w:uiPriority w:val="99"/>
    <w:semiHidden/>
    <w:unhideWhenUsed/>
    <w:rsid w:val="00190C83"/>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229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stor.org/stable/j.ctt13x0hb0" TargetMode="External"/><Relationship Id="rId3" Type="http://schemas.openxmlformats.org/officeDocument/2006/relationships/styles" Target="styles.xml"/><Relationship Id="rId7" Type="http://schemas.openxmlformats.org/officeDocument/2006/relationships/hyperlink" Target="https://scholar.google.com/citations?view_op=view_org&amp;hl=en&amp;org=8515235176732148308"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cholar.google.com/citations?view_op=view_org&amp;hl=en&amp;org=8515235176732148308"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jstor.org/stable/j.ctt13x0hb0" TargetMode="External"/><Relationship Id="rId4" Type="http://schemas.openxmlformats.org/officeDocument/2006/relationships/settings" Target="settings.xml"/><Relationship Id="rId9" Type="http://schemas.openxmlformats.org/officeDocument/2006/relationships/hyperlink" Target="https://scholar.google.com/citations?view_op=view_org&amp;hl=en&amp;org=851523517673214830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a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3448</Words>
  <Characters>19656</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polar</dc:creator>
  <cp:keywords>5.1.1</cp:keywords>
  <dc:description/>
  <cp:lastModifiedBy>David Huang</cp:lastModifiedBy>
  <cp:revision>1</cp:revision>
  <dcterms:created xsi:type="dcterms:W3CDTF">2021-09-25T22:10:00Z</dcterms:created>
  <dcterms:modified xsi:type="dcterms:W3CDTF">2021-09-25T22:12:00Z</dcterms:modified>
</cp:coreProperties>
</file>