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CD4E" w14:textId="77777777" w:rsidR="00063485" w:rsidRDefault="00063485" w:rsidP="00063485">
      <w:pPr>
        <w:pStyle w:val="Heading4"/>
        <w:rPr>
          <w:rFonts w:cs="Calibri"/>
        </w:rPr>
      </w:pPr>
      <w:bookmarkStart w:id="0" w:name="_Hlk87029267"/>
      <w:r>
        <w:rPr>
          <w:rFonts w:cs="Calibri"/>
        </w:rPr>
        <w:t>I value morality.</w:t>
      </w:r>
    </w:p>
    <w:p w14:paraId="51A1080B" w14:textId="77777777" w:rsidR="00063485" w:rsidRPr="000E124A" w:rsidRDefault="00063485" w:rsidP="00063485">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29BE7E9D" w14:textId="77777777" w:rsidR="00063485" w:rsidRPr="00CB628A" w:rsidRDefault="00063485" w:rsidP="00063485">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 recut</w:t>
      </w:r>
    </w:p>
    <w:p w14:paraId="0C0C271A" w14:textId="77777777" w:rsidR="00063485" w:rsidRPr="00F018D8" w:rsidRDefault="00063485" w:rsidP="00063485">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rFonts w:eastAsiaTheme="majorEastAsia" w:cstheme="majorBidi"/>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4944D0A9" w14:textId="77777777" w:rsidR="00063485" w:rsidRPr="000E124A" w:rsidRDefault="00063485" w:rsidP="00063485">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7005B06B" w14:textId="77777777" w:rsidR="00063485" w:rsidRPr="000E124A" w:rsidRDefault="00063485" w:rsidP="00063485">
      <w:pPr>
        <w:pStyle w:val="Heading4"/>
      </w:pPr>
    </w:p>
    <w:p w14:paraId="254DEE96" w14:textId="77777777" w:rsidR="00063485" w:rsidRPr="000E124A" w:rsidRDefault="00063485" w:rsidP="00063485">
      <w:pPr>
        <w:pStyle w:val="Heading4"/>
        <w:rPr>
          <w:rFonts w:cs="Calibri"/>
        </w:rPr>
      </w:pPr>
      <w:r w:rsidRPr="000E124A">
        <w:rPr>
          <w:rFonts w:cs="Calibri"/>
        </w:rPr>
        <w:t>Prefer the aretaic:</w:t>
      </w:r>
    </w:p>
    <w:p w14:paraId="39C6B1C1" w14:textId="77777777" w:rsidR="00063485" w:rsidRPr="000E124A" w:rsidRDefault="00063485" w:rsidP="00063485"/>
    <w:p w14:paraId="169E1AF9" w14:textId="77777777" w:rsidR="00063485" w:rsidRPr="000E124A" w:rsidRDefault="00063485" w:rsidP="00063485">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4A7D7E79" w14:textId="77777777" w:rsidR="00063485" w:rsidRPr="000E124A" w:rsidRDefault="00063485" w:rsidP="00063485">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4B69D4C1" w14:textId="77777777" w:rsidR="00063485" w:rsidRPr="000E124A" w:rsidRDefault="00063485" w:rsidP="00063485">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3613C010" w14:textId="77777777" w:rsidR="00063485" w:rsidRPr="00345251" w:rsidRDefault="00063485" w:rsidP="00063485">
      <w:pPr>
        <w:pStyle w:val="Heading4"/>
        <w:rPr>
          <w:b w:val="0"/>
          <w:bCs/>
        </w:rPr>
      </w:pPr>
      <w:r>
        <w:t xml:space="preserve">[2] Collapses – A. </w:t>
      </w:r>
      <w:r>
        <w:rPr>
          <w:b w:val="0"/>
        </w:rPr>
        <w:t>Engaging in</w:t>
      </w:r>
      <w:r w:rsidRPr="00293C41">
        <w:rPr>
          <w:b w:val="0"/>
        </w:rPr>
        <w:t xml:space="preserve"> ethics concedes to the authority of attempting to become a better person, which is an aretaic quality</w:t>
      </w:r>
      <w:r>
        <w:rPr>
          <w:b w:val="0"/>
        </w:rPr>
        <w:t xml:space="preserve">. </w:t>
      </w:r>
      <w:r>
        <w:t xml:space="preserve">B. </w:t>
      </w:r>
      <w:r w:rsidRPr="00293C41">
        <w:rPr>
          <w:b w:val="0"/>
        </w:rPr>
        <w:t>If agents were conditioned properly, they would independently take the right actions, which hijacks deontic theories.</w:t>
      </w:r>
      <w:r>
        <w:t xml:space="preserve"> C. </w:t>
      </w:r>
      <w:r>
        <w:rPr>
          <w:b w:val="0"/>
        </w:rPr>
        <w:t>Infinite regress – we can always ask why to follow a deontic rule, but the answer will terminate in attempting to achieve some aretaic property.</w:t>
      </w:r>
    </w:p>
    <w:p w14:paraId="2EBBF863" w14:textId="77777777" w:rsidR="00063485" w:rsidRPr="00CB04B7" w:rsidRDefault="00063485" w:rsidP="00063485">
      <w:pPr>
        <w:rPr>
          <w:b/>
          <w:bCs/>
        </w:rPr>
      </w:pPr>
    </w:p>
    <w:p w14:paraId="7C34A7E2" w14:textId="77777777" w:rsidR="00063485" w:rsidRPr="0077131E" w:rsidRDefault="00063485" w:rsidP="00063485">
      <w:pPr>
        <w:pStyle w:val="Heading4"/>
        <w:rPr>
          <w:b w:val="0"/>
          <w:bCs/>
        </w:rPr>
      </w:pPr>
      <w:r>
        <w:t>[3] Prerequisite – A.</w:t>
      </w:r>
      <w:r>
        <w:rPr>
          <w:b w:val="0"/>
        </w:rPr>
        <w:t xml:space="preserve"> Philosophy has to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r>
        <w:t>C.</w:t>
      </w:r>
      <w:r>
        <w:rPr>
          <w:b w:val="0"/>
        </w:rPr>
        <w:t xml:space="preserve"> Absent the aretaic, there would be no reason to care about the morality of our actions without it being grounded in trying to become a better person.</w:t>
      </w:r>
    </w:p>
    <w:p w14:paraId="0B19729B" w14:textId="77777777" w:rsidR="00063485" w:rsidRDefault="00063485" w:rsidP="00063485"/>
    <w:p w14:paraId="6A4E4E31" w14:textId="77777777" w:rsidR="00063485" w:rsidRPr="00F018D8" w:rsidRDefault="00063485" w:rsidP="00063485">
      <w:pPr>
        <w:pStyle w:val="Heading4"/>
        <w:rPr>
          <w:b w:val="0"/>
          <w:bCs/>
        </w:rPr>
      </w:pPr>
      <w:r>
        <w:t xml:space="preserve">[4] Motivation – A.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r>
        <w:t xml:space="preserve">B.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p>
    <w:p w14:paraId="591A9C3E" w14:textId="77777777" w:rsidR="00063485" w:rsidRPr="00DF0891" w:rsidRDefault="00063485" w:rsidP="00063485"/>
    <w:p w14:paraId="6CE8ECAF" w14:textId="77777777" w:rsidR="00063485" w:rsidRPr="0026545E" w:rsidRDefault="00063485" w:rsidP="00063485">
      <w:pPr>
        <w:pStyle w:val="Heading4"/>
        <w:rPr>
          <w:b w:val="0"/>
          <w:bCs/>
        </w:rPr>
      </w:pPr>
      <w:r>
        <w:t>[5] The deontic fails – A.</w:t>
      </w:r>
      <w:r>
        <w:rPr>
          <w:b w:val="0"/>
        </w:rPr>
        <w:t xml:space="preserve"> It’s impossible for a moral law to account for every single situation; there will always be cases in which the rule fails </w:t>
      </w:r>
      <w:r>
        <w:t xml:space="preserve">B. </w:t>
      </w:r>
      <w:r w:rsidRPr="006C4FC9">
        <w:rPr>
          <w:b w:val="0"/>
        </w:rPr>
        <w:t>Fails</w:t>
      </w:r>
      <w:r>
        <w:t xml:space="preserve"> </w:t>
      </w:r>
      <w:r w:rsidRPr="006C4FC9">
        <w:rPr>
          <w:b w:val="0"/>
        </w:rPr>
        <w:t>to acc</w:t>
      </w:r>
      <w:r>
        <w:rPr>
          <w:b w:val="0"/>
        </w:rPr>
        <w:t xml:space="preserve">ount for differences in cultures or norms, the aretaic solves by allowing people to determine and weigh between their own virtues </w:t>
      </w:r>
      <w:r>
        <w:t xml:space="preserve">C. </w:t>
      </w:r>
      <w:r>
        <w:rPr>
          <w:b w:val="0"/>
        </w:rPr>
        <w:t xml:space="preserve">Moral laws can be interpreted in an infinite number of ways and there’s no way to hold people accountable for following them correctly </w:t>
      </w:r>
      <w:r>
        <w:t xml:space="preserve">D. </w:t>
      </w:r>
      <w:r>
        <w:rPr>
          <w:b w:val="0"/>
        </w:rPr>
        <w:t>Moral laws are socially constructed and dependent upon the places and conditions where they will be in use which means they are subjective and fail; virtues solves and is more flexible</w:t>
      </w:r>
    </w:p>
    <w:p w14:paraId="3ECCE092" w14:textId="77777777" w:rsidR="00063485" w:rsidRDefault="00063485" w:rsidP="00063485"/>
    <w:p w14:paraId="54D02990" w14:textId="77777777" w:rsidR="00063485" w:rsidRPr="00450379" w:rsidRDefault="00063485" w:rsidP="00063485">
      <w:pPr>
        <w:pStyle w:val="Heading4"/>
        <w:rPr>
          <w:b w:val="0"/>
          <w:bCs/>
        </w:rPr>
      </w:pPr>
      <w:r>
        <w:t xml:space="preserve">[6] </w:t>
      </w:r>
      <w:r w:rsidRPr="00D733E3">
        <w:t>Consequences fail</w:t>
      </w:r>
      <w:r>
        <w:rPr>
          <w:b w:val="0"/>
        </w:rPr>
        <w:t xml:space="preserve"> – Ethical theories have to always guide action. Even if they work 99% of the time that is not sufficient because there would be instances where agents do not know what to do. </w:t>
      </w:r>
      <w:r>
        <w:t>A.</w:t>
      </w:r>
      <w:r>
        <w:rPr>
          <w:b w:val="0"/>
        </w:rPr>
        <w:t xml:space="preserve"> Induction fails – the logic of looking to the past to predict the future is all premised in the past, so it’s circular. </w:t>
      </w:r>
      <w:r>
        <w:t>B.</w:t>
      </w:r>
      <w:r>
        <w:rPr>
          <w:b w:val="0"/>
        </w:rPr>
        <w:t xml:space="preserve"> Aggregation fails – there’s no way to weigh between different forms of pain and pleasure. </w:t>
      </w:r>
      <w:r>
        <w:t>C.</w:t>
      </w:r>
      <w:r>
        <w:rPr>
          <w:b w:val="0"/>
        </w:rPr>
        <w:t xml:space="preserve"> Butterfly effect – no way to know when we cut off looking at consequences. </w:t>
      </w:r>
      <w:r>
        <w:t xml:space="preserve">D. </w:t>
      </w:r>
      <w:r w:rsidRPr="00A87F3C">
        <w:rPr>
          <w:b w:val="0"/>
        </w:rPr>
        <w:t>Culpability</w:t>
      </w:r>
      <w:r>
        <w:t xml:space="preserve"> –</w:t>
      </w:r>
      <w:r>
        <w:rPr>
          <w:b w:val="0"/>
        </w:rPr>
        <w:t xml:space="preserve"> there are an infinite number of pretenses for actions which means assigning culpability is impossible which is necessary for a moral theory to ascribe blame for actions.</w:t>
      </w:r>
    </w:p>
    <w:p w14:paraId="50D76210" w14:textId="77777777" w:rsidR="00063485" w:rsidRDefault="00063485" w:rsidP="00063485"/>
    <w:p w14:paraId="71D9D71A" w14:textId="77777777" w:rsidR="00063485" w:rsidRPr="000E124A" w:rsidRDefault="00063485" w:rsidP="00063485">
      <w:pPr>
        <w:pStyle w:val="Heading4"/>
      </w:pPr>
    </w:p>
    <w:p w14:paraId="4D1DF1BD" w14:textId="77777777" w:rsidR="00063485" w:rsidRPr="000E124A" w:rsidRDefault="00063485" w:rsidP="00063485">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10CFABB7" w14:textId="77777777" w:rsidR="00063485" w:rsidRPr="000E124A" w:rsidRDefault="00063485" w:rsidP="00063485">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7" w:history="1">
        <w:r w:rsidRPr="00215F5A">
          <w:rPr>
            <w:rStyle w:val="Hyperlink"/>
            <w:rFonts w:eastAsiaTheme="minorHAnsi"/>
            <w:sz w:val="22"/>
          </w:rPr>
          <w:t>http://www.jstor.org/stable/27504153</w:t>
        </w:r>
      </w:hyperlink>
      <w:r>
        <w:rPr>
          <w:sz w:val="22"/>
        </w:rPr>
        <w:t>] SHS DH</w:t>
      </w:r>
    </w:p>
    <w:p w14:paraId="09FB4CF9" w14:textId="77777777" w:rsidR="00063485" w:rsidRPr="000E124A" w:rsidRDefault="00063485" w:rsidP="00063485">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08C4967F" w14:textId="77777777" w:rsidR="00063485" w:rsidRDefault="00063485" w:rsidP="00063485">
      <w:pPr>
        <w:pStyle w:val="Heading4"/>
      </w:pPr>
    </w:p>
    <w:p w14:paraId="78CE35CA" w14:textId="77777777" w:rsidR="00063485" w:rsidRPr="000E124A" w:rsidRDefault="00063485" w:rsidP="00063485">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19F2744E" w14:textId="77777777" w:rsidR="00063485" w:rsidRPr="000E124A" w:rsidRDefault="00063485" w:rsidP="00063485"/>
    <w:p w14:paraId="056499CC" w14:textId="77777777" w:rsidR="00063485" w:rsidRPr="00B706A9" w:rsidRDefault="00063485" w:rsidP="00063485">
      <w:pPr>
        <w:pStyle w:val="Heading4"/>
        <w:rPr>
          <w:rFonts w:cs="Calibri"/>
        </w:rPr>
      </w:pPr>
      <w:r w:rsidRPr="000E124A">
        <w:rPr>
          <w:rFonts w:cs="Calibri"/>
        </w:rPr>
        <w:t xml:space="preserve">Impact Calc – </w:t>
      </w:r>
    </w:p>
    <w:p w14:paraId="7F6CE931" w14:textId="77777777" w:rsidR="00063485" w:rsidRPr="00B706A9" w:rsidRDefault="00063485" w:rsidP="00063485">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103B04F3" w14:textId="77777777" w:rsidR="00063485" w:rsidRPr="00F018D8" w:rsidRDefault="00063485" w:rsidP="00063485">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43399367" w14:textId="77777777" w:rsidR="00063485" w:rsidRDefault="00063485" w:rsidP="00063485">
      <w:pPr>
        <w:pStyle w:val="Heading4"/>
        <w:rPr>
          <w:rFonts w:cs="Calibri"/>
        </w:rPr>
      </w:pPr>
    </w:p>
    <w:p w14:paraId="12D8A7F1" w14:textId="77777777" w:rsidR="00063485" w:rsidRPr="00DB139F" w:rsidRDefault="00063485" w:rsidP="00063485">
      <w:pPr>
        <w:pStyle w:val="Heading4"/>
        <w:rPr>
          <w:rFonts w:cs="Calibri"/>
        </w:rPr>
      </w:pPr>
      <w:r w:rsidRPr="000E124A">
        <w:rPr>
          <w:rFonts w:cs="Calibri"/>
        </w:rPr>
        <w:t>Prefer additionally:</w:t>
      </w:r>
    </w:p>
    <w:p w14:paraId="1CAF9402" w14:textId="77777777" w:rsidR="00063485" w:rsidRPr="000E124A" w:rsidRDefault="00063485" w:rsidP="00063485">
      <w:pPr>
        <w:pStyle w:val="Heading4"/>
        <w:rPr>
          <w:rFonts w:cs="Calibri"/>
        </w:rPr>
      </w:pPr>
      <w:r>
        <w:rPr>
          <w:rFonts w:cs="Calibri"/>
        </w:rPr>
        <w:t xml:space="preserve">[1] </w:t>
      </w:r>
      <w:r w:rsidRPr="000E124A">
        <w:rPr>
          <w:rFonts w:cs="Calibri"/>
        </w:rPr>
        <w:t xml:space="preserve">Hidden Supremacy – </w:t>
      </w:r>
      <w:r w:rsidRPr="000E124A">
        <w:rPr>
          <w:rFonts w:cs="Calibri"/>
          <w:b w:val="0"/>
        </w:rPr>
        <w:t>Only virtue ethics can account for degrees of white supremacy – other theories cannot resolve microaggressions and unintentional forms of racism that occur pre-consciously.</w:t>
      </w:r>
      <w:r w:rsidRPr="000E124A">
        <w:rPr>
          <w:rFonts w:cs="Calibri"/>
        </w:rPr>
        <w:t xml:space="preserve"> O’Connel.</w:t>
      </w:r>
    </w:p>
    <w:p w14:paraId="16CDC0D5" w14:textId="77777777" w:rsidR="00063485" w:rsidRPr="000E124A" w:rsidRDefault="00063485" w:rsidP="00063485">
      <w:r w:rsidRPr="000E124A">
        <w:t>[O’Connel, Maureen. “After White Supremacy? The Viability of Virtue Ethics for Racial Justice.” Journal of Moral Theology. Published 2014] SHS ZS</w:t>
      </w:r>
    </w:p>
    <w:p w14:paraId="6E6B7661" w14:textId="77777777" w:rsidR="00063485" w:rsidRPr="00DF0891" w:rsidRDefault="00063485" w:rsidP="00063485">
      <w:pPr>
        <w:spacing w:before="100" w:beforeAutospacing="1" w:after="100" w:afterAutospacing="1" w:line="240" w:lineRule="auto"/>
        <w:rPr>
          <w:rFonts w:eastAsia="Times New Roman"/>
          <w:position w:val="8"/>
          <w:sz w:val="12"/>
          <w:szCs w:val="14"/>
        </w:rPr>
      </w:pPr>
      <w:r w:rsidRPr="000E124A">
        <w:rPr>
          <w:rFonts w:eastAsia="Times New Roman"/>
          <w:sz w:val="12"/>
        </w:rPr>
        <w:t xml:space="preserve">In addition to a way of thinking and knowing, </w:t>
      </w:r>
      <w:r w:rsidRPr="00780C6E">
        <w:rPr>
          <w:rFonts w:eastAsia="Times New Roman"/>
          <w:b/>
          <w:bCs/>
          <w:highlight w:val="cyan"/>
          <w:u w:val="single"/>
        </w:rPr>
        <w:t>white supremacy can</w:t>
      </w:r>
      <w:r w:rsidRPr="000E124A">
        <w:rPr>
          <w:rFonts w:eastAsia="Times New Roman"/>
          <w:sz w:val="12"/>
        </w:rPr>
        <w:t xml:space="preserve"> also </w:t>
      </w:r>
      <w:r w:rsidRPr="00780C6E">
        <w:rPr>
          <w:rFonts w:eastAsia="Times New Roman"/>
          <w:b/>
          <w:bCs/>
          <w:highlight w:val="cyan"/>
          <w:u w:val="single"/>
        </w:rPr>
        <w:t>be understood as a habituated set of dispositions</w:t>
      </w:r>
      <w:r w:rsidRPr="000E124A">
        <w:rPr>
          <w:rFonts w:eastAsia="Times New Roman"/>
          <w:sz w:val="12"/>
        </w:rPr>
        <w:t xml:space="preserve"> and prac- tices, </w:t>
      </w:r>
      <w:r w:rsidRPr="00780C6E">
        <w:rPr>
          <w:rFonts w:eastAsia="Times New Roman"/>
          <w:b/>
          <w:bCs/>
          <w:highlight w:val="cyan"/>
          <w:u w:val="single"/>
        </w:rPr>
        <w:t>performed with varying levels of intentionality</w:t>
      </w:r>
      <w:r w:rsidRPr="000E124A">
        <w:rPr>
          <w:rFonts w:eastAsia="Times New Roman"/>
          <w:sz w:val="12"/>
        </w:rPr>
        <w:t xml:space="preserve"> (discussed in further detail in the next section) </w:t>
      </w:r>
      <w:r w:rsidRPr="000E124A">
        <w:rPr>
          <w:rFonts w:eastAsia="Times New Roman"/>
          <w:b/>
          <w:bCs/>
          <w:u w:val="single"/>
        </w:rPr>
        <w:t>and calcified over lifetimes and generations</w:t>
      </w:r>
      <w:r w:rsidRPr="000E124A">
        <w:rPr>
          <w:rFonts w:eastAsia="Times New Roman"/>
          <w:sz w:val="12"/>
        </w:rPr>
        <w:t xml:space="preserve">, which inform and reinforce whites’ individual and col- lective stances toward themselves and others. MacMallin explains </w:t>
      </w:r>
      <w:r w:rsidRPr="00780C6E">
        <w:rPr>
          <w:rFonts w:eastAsia="Times New Roman"/>
          <w:b/>
          <w:bCs/>
          <w:highlight w:val="cyan"/>
          <w:u w:val="single"/>
        </w:rPr>
        <w:t>whiteness</w:t>
      </w:r>
      <w:r w:rsidRPr="000E124A">
        <w:rPr>
          <w:rFonts w:eastAsia="Times New Roman"/>
          <w:b/>
          <w:bCs/>
          <w:u w:val="single"/>
        </w:rPr>
        <w:t xml:space="preserve"> in terms of “the practices, habits, and assumptions that </w:t>
      </w:r>
      <w:r w:rsidRPr="00780C6E">
        <w:rPr>
          <w:rFonts w:eastAsia="Times New Roman"/>
          <w:b/>
          <w:bCs/>
          <w:highlight w:val="cyan"/>
          <w:u w:val="single"/>
        </w:rPr>
        <w:t>impede human flourishing</w:t>
      </w:r>
      <w:r w:rsidRPr="000E124A">
        <w:rPr>
          <w:rFonts w:eastAsia="Times New Roman"/>
          <w:sz w:val="12"/>
        </w:rPr>
        <w:t xml:space="preserve"> and democracy and that </w:t>
      </w:r>
      <w:r w:rsidRPr="000E124A">
        <w:rPr>
          <w:rFonts w:eastAsia="Times New Roman"/>
          <w:b/>
          <w:bCs/>
          <w:u w:val="single"/>
        </w:rPr>
        <w:t>stem from the concept of whiteness as a superior and pure group</w:t>
      </w:r>
      <w:r w:rsidRPr="000E124A">
        <w:rPr>
          <w:rFonts w:eastAsia="Times New Roman"/>
          <w:sz w:val="12"/>
        </w:rPr>
        <w:t xml:space="preserve"> within the human family.”</w:t>
      </w:r>
      <w:r w:rsidRPr="000E124A">
        <w:rPr>
          <w:rFonts w:eastAsia="Times New Roman"/>
          <w:position w:val="8"/>
          <w:sz w:val="12"/>
          <w:szCs w:val="14"/>
        </w:rPr>
        <w:t xml:space="preserve">26 </w:t>
      </w:r>
      <w:r w:rsidRPr="00780C6E">
        <w:rPr>
          <w:rFonts w:eastAsia="Times New Roman"/>
          <w:b/>
          <w:bCs/>
          <w:highlight w:val="cyan"/>
          <w:u w:val="single"/>
        </w:rPr>
        <w:t>Whiteness</w:t>
      </w:r>
      <w:r w:rsidRPr="000E124A">
        <w:rPr>
          <w:rFonts w:eastAsia="Times New Roman"/>
          <w:sz w:val="12"/>
        </w:rPr>
        <w:t xml:space="preserve">, he contends, is a predisposition that </w:t>
      </w:r>
      <w:r w:rsidRPr="00780C6E">
        <w:rPr>
          <w:rFonts w:eastAsia="Times New Roman"/>
          <w:b/>
          <w:bCs/>
          <w:highlight w:val="cyan"/>
          <w:u w:val="single"/>
        </w:rPr>
        <w:t>runs deep- er than</w:t>
      </w:r>
      <w:r w:rsidRPr="000E124A">
        <w:rPr>
          <w:rFonts w:eastAsia="Times New Roman"/>
          <w:b/>
          <w:bCs/>
          <w:u w:val="single"/>
        </w:rPr>
        <w:t xml:space="preserve"> our </w:t>
      </w:r>
      <w:r w:rsidRPr="00780C6E">
        <w:rPr>
          <w:rFonts w:eastAsia="Times New Roman"/>
          <w:b/>
          <w:bCs/>
          <w:highlight w:val="cyan"/>
          <w:u w:val="single"/>
        </w:rPr>
        <w:t>intentional will and organizes</w:t>
      </w:r>
      <w:r w:rsidRPr="000E124A">
        <w:rPr>
          <w:rFonts w:eastAsia="Times New Roman"/>
          <w:b/>
          <w:bCs/>
          <w:u w:val="single"/>
        </w:rPr>
        <w:t xml:space="preserve"> both thought and </w:t>
      </w:r>
      <w:r w:rsidRPr="00780C6E">
        <w:rPr>
          <w:rFonts w:eastAsia="Times New Roman"/>
          <w:b/>
          <w:bCs/>
          <w:highlight w:val="cyan"/>
          <w:u w:val="single"/>
        </w:rPr>
        <w:t>behavior</w:t>
      </w:r>
      <w:r w:rsidRPr="000E124A">
        <w:rPr>
          <w:rFonts w:eastAsia="Times New Roman"/>
          <w:b/>
          <w:bCs/>
          <w:u w:val="single"/>
        </w:rPr>
        <w:t xml:space="preserve"> consciously and </w:t>
      </w:r>
      <w:r w:rsidRPr="00780C6E">
        <w:rPr>
          <w:rFonts w:eastAsia="Times New Roman"/>
          <w:b/>
          <w:bCs/>
          <w:highlight w:val="cyan"/>
          <w:u w:val="single"/>
        </w:rPr>
        <w:t>pre-consciously</w:t>
      </w:r>
      <w:r w:rsidRPr="000E124A">
        <w:rPr>
          <w:rFonts w:eastAsia="Times New Roman"/>
          <w:sz w:val="12"/>
        </w:rPr>
        <w:t xml:space="preserve">. In terms of the dispositional dimension of the habitus of white- ness, </w:t>
      </w:r>
      <w:r w:rsidRPr="000E124A">
        <w:rPr>
          <w:rFonts w:eastAsia="Times New Roman"/>
          <w:b/>
          <w:bCs/>
          <w:u w:val="single"/>
        </w:rPr>
        <w:t>scholars identify fear and hatred of racial others</w:t>
      </w:r>
      <w:r w:rsidRPr="000E124A">
        <w:rPr>
          <w:rFonts w:eastAsia="Times New Roman"/>
          <w:sz w:val="12"/>
        </w:rPr>
        <w:t xml:space="preserve">, and the confu- sion of navigating the contradictions and cognitive dissonance of whiteness, evidenced by the fact that </w:t>
      </w:r>
      <w:r w:rsidRPr="000E124A">
        <w:rPr>
          <w:rFonts w:eastAsia="Times New Roman"/>
          <w:b/>
          <w:bCs/>
          <w:u w:val="single"/>
        </w:rPr>
        <w:t>most stereotypes of people of color are</w:t>
      </w:r>
      <w:r w:rsidRPr="000E124A">
        <w:rPr>
          <w:rFonts w:eastAsia="Times New Roman"/>
          <w:sz w:val="12"/>
        </w:rPr>
        <w:t xml:space="preserve"> deeply </w:t>
      </w:r>
      <w:r w:rsidRPr="000E124A">
        <w:rPr>
          <w:rFonts w:eastAsia="Times New Roman"/>
          <w:b/>
          <w:bCs/>
          <w:u w:val="single"/>
        </w:rPr>
        <w:t>rooted in affective dimensions of the self</w:t>
      </w:r>
      <w:r w:rsidRPr="000E124A">
        <w:rPr>
          <w:rFonts w:eastAsia="Times New Roman"/>
          <w:sz w:val="12"/>
        </w:rPr>
        <w:t xml:space="preserve">. Everyday practices of white supremacy are too many to enumerate here but generally include a general antipathy to difference, a sense of enti- tlement to social advantages, denial of the reality of racism or shock when confronted with overt expressions of racism, or guilt about ra- cial injustice. Applebaum identifies </w:t>
      </w:r>
      <w:r w:rsidRPr="000E124A">
        <w:rPr>
          <w:rFonts w:eastAsia="Times New Roman"/>
          <w:b/>
          <w:bCs/>
          <w:u w:val="single"/>
        </w:rPr>
        <w:t>a common denominator in the “belief in one’s authority and in one’s own experience as truth</w:t>
      </w:r>
      <w:r w:rsidRPr="000E124A">
        <w:rPr>
          <w:rFonts w:eastAsia="Times New Roman"/>
          <w:sz w:val="12"/>
        </w:rPr>
        <w:t>” along with “</w:t>
      </w:r>
      <w:r w:rsidRPr="000E124A">
        <w:rPr>
          <w:rFonts w:eastAsia="Times New Roman"/>
          <w:b/>
          <w:bCs/>
          <w:u w:val="single"/>
        </w:rPr>
        <w:t>an unwillingness to be challenged</w:t>
      </w:r>
      <w:r w:rsidRPr="000E124A">
        <w:rPr>
          <w:rFonts w:eastAsia="Times New Roman"/>
          <w:sz w:val="1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rPr>
        <w:t xml:space="preserve">The habit- uation of </w:t>
      </w:r>
      <w:r w:rsidRPr="00780C6E">
        <w:rPr>
          <w:rFonts w:eastAsia="Times New Roman"/>
          <w:b/>
          <w:bCs/>
          <w:highlight w:val="cyan"/>
          <w:u w:val="single"/>
        </w:rPr>
        <w:t>whiteness</w:t>
      </w:r>
      <w:r w:rsidRPr="000E124A">
        <w:rPr>
          <w:rFonts w:eastAsia="Times New Roman"/>
          <w:sz w:val="12"/>
        </w:rPr>
        <w:t xml:space="preserve"> is not limited to individuals but also </w:t>
      </w:r>
      <w:r w:rsidRPr="00780C6E">
        <w:rPr>
          <w:rFonts w:eastAsia="Times New Roman"/>
          <w:b/>
          <w:bCs/>
          <w:highlight w:val="cyan"/>
          <w:u w:val="single"/>
        </w:rPr>
        <w:t>depends on the social context of</w:t>
      </w:r>
      <w:r w:rsidRPr="000E124A">
        <w:rPr>
          <w:rFonts w:eastAsia="Times New Roman"/>
          <w:b/>
          <w:bCs/>
          <w:u w:val="single"/>
        </w:rPr>
        <w:t xml:space="preserve"> many </w:t>
      </w:r>
      <w:r w:rsidRPr="00780C6E">
        <w:rPr>
          <w:rFonts w:eastAsia="Times New Roman"/>
          <w:b/>
          <w:bCs/>
          <w:highlight w:val="cyan"/>
          <w:u w:val="single"/>
        </w:rPr>
        <w:t>racial events</w:t>
      </w:r>
      <w:r w:rsidRPr="000E124A">
        <w:rPr>
          <w:rFonts w:eastAsia="Times New Roman"/>
          <w:sz w:val="12"/>
        </w:rPr>
        <w:t xml:space="preserve">, where the reception of these habits by other members of the dominant group only further en- trenches them in the self-understanding and worldviews of individual members and the group as a whole. Yancy identifies several such habits of whiteness: </w:t>
      </w:r>
      <w:r w:rsidRPr="000E124A">
        <w:rPr>
          <w:rFonts w:eastAsia="Times New Roman"/>
          <w:b/>
          <w:bCs/>
          <w:u w:val="single"/>
        </w:rPr>
        <w:t>clutching purs- es, crossing streets or locking car doors as men of color approach</w:t>
      </w:r>
      <w:r w:rsidRPr="000E124A">
        <w:rPr>
          <w:rFonts w:eastAsia="Times New Roman"/>
          <w:sz w:val="12"/>
        </w:rPr>
        <w:t>, and policing one’s thoughts for political correctness or one’s neigh- borhood for residential correctness. Psychologist Derald Wing Su describes these habits in terms of “</w:t>
      </w:r>
      <w:r w:rsidRPr="00780C6E">
        <w:rPr>
          <w:rFonts w:eastAsia="Times New Roman"/>
          <w:b/>
          <w:bCs/>
          <w:highlight w:val="cyan"/>
          <w:u w:val="single"/>
        </w:rPr>
        <w:t>microaggressions</w:t>
      </w:r>
      <w:r w:rsidRPr="000E124A">
        <w:rPr>
          <w:rFonts w:eastAsia="Times New Roman"/>
          <w:sz w:val="12"/>
        </w:rPr>
        <w:t xml:space="preserve">” or regular in- sults, assaults or invalidations unknowingly communicated verbally, </w:t>
      </w:r>
      <w:r w:rsidRPr="000E124A">
        <w:rPr>
          <w:rFonts w:eastAsia="Times New Roman"/>
          <w:b/>
          <w:bCs/>
          <w:u w:val="single"/>
        </w:rPr>
        <w:t xml:space="preserve">nonverbally or symbolically by </w:t>
      </w:r>
      <w:r w:rsidRPr="00780C6E">
        <w:rPr>
          <w:rFonts w:eastAsia="Times New Roman"/>
          <w:b/>
          <w:bCs/>
          <w:highlight w:val="cyan"/>
          <w:u w:val="single"/>
        </w:rPr>
        <w:t>good intentioned whites</w:t>
      </w:r>
      <w:r w:rsidRPr="000E124A">
        <w:rPr>
          <w:rFonts w:eastAsia="Times New Roman"/>
          <w:b/>
          <w:bCs/>
          <w:u w:val="single"/>
        </w:rPr>
        <w:t xml:space="preserve"> that </w:t>
      </w:r>
      <w:r w:rsidRPr="00780C6E">
        <w:rPr>
          <w:rFonts w:eastAsia="Times New Roman"/>
          <w:b/>
          <w:bCs/>
          <w:highlight w:val="cyan"/>
          <w:u w:val="single"/>
        </w:rPr>
        <w:t>convey messages of</w:t>
      </w:r>
      <w:r w:rsidRPr="000E124A">
        <w:rPr>
          <w:rFonts w:eastAsia="Times New Roman"/>
          <w:b/>
          <w:bCs/>
          <w:u w:val="single"/>
        </w:rPr>
        <w:t xml:space="preserve"> our own </w:t>
      </w:r>
      <w:r w:rsidRPr="00780C6E">
        <w:rPr>
          <w:rFonts w:eastAsia="Times New Roman"/>
          <w:b/>
          <w:bCs/>
          <w:highlight w:val="cyan"/>
          <w:u w:val="single"/>
        </w:rPr>
        <w:t>superiority</w:t>
      </w:r>
      <w:r w:rsidRPr="000E124A">
        <w:rPr>
          <w:rFonts w:eastAsia="Times New Roman"/>
          <w:sz w:val="1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rPr>
        <w:t xml:space="preserve">These might include inabilities to properly pro- nounce or remember names of persons of color, inquiring as to their country of origin or qualifications for a job or degree, or invalidating their experience by simply not asking about it.Obviously, the </w:t>
      </w:r>
      <w:r w:rsidRPr="00780C6E">
        <w:rPr>
          <w:rFonts w:eastAsia="Times New Roman"/>
          <w:b/>
          <w:bCs/>
          <w:highlight w:val="cyan"/>
          <w:u w:val="single"/>
        </w:rPr>
        <w:t>habitual characteristics of white supremacy corre- late to</w:t>
      </w:r>
      <w:r w:rsidRPr="000E124A">
        <w:rPr>
          <w:rFonts w:eastAsia="Times New Roman"/>
          <w:b/>
          <w:bCs/>
          <w:u w:val="single"/>
        </w:rPr>
        <w:t xml:space="preserve"> features of </w:t>
      </w:r>
      <w:r w:rsidRPr="00780C6E">
        <w:rPr>
          <w:rFonts w:eastAsia="Times New Roman"/>
          <w:b/>
          <w:bCs/>
          <w:highlight w:val="cyan"/>
          <w:u w:val="single"/>
        </w:rPr>
        <w:t>virtue ethics</w:t>
      </w:r>
      <w:r w:rsidRPr="000E124A">
        <w:rPr>
          <w:rFonts w:eastAsia="Times New Roman"/>
          <w:sz w:val="12"/>
        </w:rPr>
        <w:t>, which we will turn to in the next sec- tion. For now, I call attention to Yancy’s observation that “</w:t>
      </w:r>
      <w:r w:rsidRPr="00780C6E">
        <w:rPr>
          <w:rFonts w:eastAsia="Times New Roman"/>
          <w:b/>
          <w:bCs/>
          <w:highlight w:val="cyan"/>
          <w:u w:val="single"/>
        </w:rPr>
        <w:t xml:space="preserve">the ways in which whites have </w:t>
      </w:r>
      <w:r w:rsidRPr="00780C6E">
        <w:rPr>
          <w:rFonts w:eastAsia="Times New Roman"/>
          <w:b/>
          <w:bCs/>
          <w:i/>
          <w:iCs/>
          <w:highlight w:val="cyan"/>
          <w:u w:val="single"/>
        </w:rPr>
        <w:t xml:space="preserve">become </w:t>
      </w:r>
      <w:r w:rsidRPr="00780C6E">
        <w:rPr>
          <w:rFonts w:eastAsia="Times New Roman"/>
          <w:b/>
          <w:bCs/>
          <w:highlight w:val="cyan"/>
          <w:u w:val="single"/>
        </w:rPr>
        <w:t xml:space="preserve">the </w:t>
      </w:r>
      <w:r w:rsidRPr="00780C6E">
        <w:rPr>
          <w:rFonts w:eastAsia="Times New Roman"/>
          <w:b/>
          <w:bCs/>
          <w:i/>
          <w:iCs/>
          <w:highlight w:val="cyan"/>
          <w:u w:val="single"/>
        </w:rPr>
        <w:t xml:space="preserve">white </w:t>
      </w:r>
      <w:r w:rsidRPr="00780C6E">
        <w:rPr>
          <w:rFonts w:eastAsia="Times New Roman"/>
          <w:b/>
          <w:bCs/>
          <w:highlight w:val="cyan"/>
          <w:u w:val="single"/>
        </w:rPr>
        <w:t>selves we are</w:t>
      </w:r>
      <w:r w:rsidRPr="000E124A">
        <w:rPr>
          <w:rFonts w:eastAsia="Times New Roman"/>
          <w:sz w:val="12"/>
        </w:rPr>
        <w:t>”</w:t>
      </w:r>
      <w:r w:rsidRPr="000E124A">
        <w:rPr>
          <w:rFonts w:eastAsia="Times New Roman"/>
          <w:position w:val="8"/>
          <w:sz w:val="12"/>
          <w:szCs w:val="14"/>
        </w:rPr>
        <w:t xml:space="preserve">29 </w:t>
      </w:r>
      <w:r w:rsidRPr="000E124A">
        <w:rPr>
          <w:rFonts w:eastAsia="Times New Roman"/>
          <w:sz w:val="12"/>
        </w:rPr>
        <w:t xml:space="preserve">underscores the point that </w:t>
      </w:r>
      <w:r w:rsidRPr="00780C6E">
        <w:rPr>
          <w:rFonts w:eastAsia="Times New Roman"/>
          <w:b/>
          <w:bCs/>
          <w:highlight w:val="cyan"/>
          <w:u w:val="single"/>
        </w:rPr>
        <w:t>whiteness</w:t>
      </w:r>
      <w:r w:rsidRPr="000E124A">
        <w:rPr>
          <w:rFonts w:eastAsia="Times New Roman"/>
          <w:b/>
          <w:bCs/>
          <w:u w:val="single"/>
        </w:rPr>
        <w:t xml:space="preserve"> is an unfolding social construct in which whites participate</w:t>
      </w:r>
      <w:r w:rsidRPr="000E124A">
        <w:rPr>
          <w:rFonts w:eastAsia="Times New Roman"/>
          <w:sz w:val="12"/>
        </w:rPr>
        <w:t xml:space="preserve">, and </w:t>
      </w:r>
      <w:r w:rsidRPr="000E124A">
        <w:rPr>
          <w:rFonts w:eastAsia="Times New Roman"/>
          <w:b/>
          <w:bCs/>
          <w:u w:val="single"/>
        </w:rPr>
        <w:t xml:space="preserve">this </w:t>
      </w:r>
      <w:r w:rsidRPr="00780C6E">
        <w:rPr>
          <w:rFonts w:eastAsia="Times New Roman"/>
          <w:b/>
          <w:bCs/>
          <w:highlight w:val="cyan"/>
          <w:u w:val="single"/>
        </w:rPr>
        <w:t>construct shapes our way of being</w:t>
      </w:r>
      <w:r w:rsidRPr="000E124A">
        <w:rPr>
          <w:rFonts w:eastAsia="Times New Roman"/>
          <w:sz w:val="12"/>
        </w:rPr>
        <w:t xml:space="preserve">, not simply our way of seeing or of thinking, in ways that we are not able to recognize. </w:t>
      </w:r>
      <w:r w:rsidRPr="00780C6E">
        <w:rPr>
          <w:rFonts w:eastAsia="Times New Roman"/>
          <w:b/>
          <w:bCs/>
          <w:highlight w:val="cyan"/>
          <w:u w:val="single"/>
        </w:rPr>
        <w:t>It also shapes our</w:t>
      </w:r>
      <w:r w:rsidRPr="000E124A">
        <w:rPr>
          <w:rFonts w:eastAsia="Times New Roman"/>
          <w:b/>
          <w:bCs/>
          <w:u w:val="single"/>
        </w:rPr>
        <w:t xml:space="preserve"> </w:t>
      </w:r>
      <w:r w:rsidRPr="00780C6E">
        <w:rPr>
          <w:rFonts w:eastAsia="Times New Roman"/>
          <w:b/>
          <w:bCs/>
          <w:highlight w:val="cyan"/>
          <w:u w:val="single"/>
        </w:rPr>
        <w:t>physicality</w:t>
      </w:r>
      <w:r w:rsidRPr="000E124A">
        <w:rPr>
          <w:rFonts w:eastAsia="Times New Roman"/>
          <w:sz w:val="12"/>
        </w:rPr>
        <w:t>. Karyn McKinney notes that for many Euro-Americans, “becoming white,” an assimilation process that spans generations and is easier for those without distinc- tive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2BA960A0" w14:textId="77777777" w:rsidR="00063485" w:rsidRPr="000E124A" w:rsidRDefault="00063485" w:rsidP="00063485">
      <w:pPr>
        <w:pStyle w:val="Heading4"/>
        <w:rPr>
          <w:rFonts w:cs="Calibri"/>
        </w:rPr>
      </w:pPr>
      <w:r>
        <w:rPr>
          <w:rFonts w:cs="Calibri"/>
        </w:rPr>
        <w:t xml:space="preserve">[2]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1BEC977E" w14:textId="77777777" w:rsidR="00063485" w:rsidRPr="000E124A" w:rsidRDefault="00063485" w:rsidP="00063485">
      <w:r w:rsidRPr="000E124A">
        <w:t>[Foot, Phillipa; “Natural Goodness”; Oxford University (2001)</w:t>
      </w:r>
      <w:r>
        <w:t xml:space="preserve"> Brackets and ellipses in original text.</w:t>
      </w:r>
      <w:r w:rsidRPr="000E124A">
        <w:t xml:space="preserve">] SHS </w:t>
      </w:r>
      <w:r>
        <w:t>DH</w:t>
      </w:r>
    </w:p>
    <w:p w14:paraId="5E7C8D8B" w14:textId="77777777" w:rsidR="00063485" w:rsidRPr="00B706A9" w:rsidRDefault="00063485" w:rsidP="00063485">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6B4F065A" w14:textId="77777777" w:rsidR="00063485" w:rsidRDefault="00063485" w:rsidP="00063485"/>
    <w:p w14:paraId="51B3AA5F" w14:textId="77777777" w:rsidR="00063485" w:rsidRPr="00861082" w:rsidRDefault="00063485" w:rsidP="00063485">
      <w:pPr>
        <w:rPr>
          <w:sz w:val="12"/>
        </w:rPr>
      </w:pPr>
    </w:p>
    <w:p w14:paraId="749BEC21" w14:textId="77777777" w:rsidR="00063485" w:rsidRPr="00EF0425" w:rsidRDefault="00063485" w:rsidP="00063485">
      <w:pPr>
        <w:rPr>
          <w:rFonts w:ascii="TimesNewRomanPSMT" w:eastAsia="Times New Roman" w:hAnsi="TimesNewRomanPSMT"/>
          <w:sz w:val="12"/>
        </w:rPr>
      </w:pPr>
    </w:p>
    <w:p w14:paraId="1CBEA43A" w14:textId="77777777" w:rsidR="00063485" w:rsidRDefault="00063485" w:rsidP="00063485">
      <w:pPr>
        <w:pStyle w:val="Heading3"/>
      </w:pPr>
      <w:r>
        <w:t>Offense</w:t>
      </w:r>
    </w:p>
    <w:p w14:paraId="58AF10D2" w14:textId="77777777" w:rsidR="00063485" w:rsidRDefault="00063485" w:rsidP="00063485">
      <w:pPr>
        <w:pStyle w:val="Heading4"/>
      </w:pPr>
      <w:r>
        <w:t>I affirm – Resolved: A just government ought to recognize the unconditional right of workers to strike for all strikes. I’m willing to spec anything in cx as long as I don’t have to abandon my maxim.</w:t>
      </w:r>
    </w:p>
    <w:p w14:paraId="4F253AA1" w14:textId="77777777" w:rsidR="00063485" w:rsidRDefault="00063485" w:rsidP="00063485">
      <w:pPr>
        <w:pStyle w:val="Heading4"/>
      </w:pPr>
    </w:p>
    <w:p w14:paraId="6247135E" w14:textId="77777777" w:rsidR="00063485" w:rsidRDefault="00063485" w:rsidP="00063485">
      <w:pPr>
        <w:pStyle w:val="Heading4"/>
      </w:pPr>
      <w:r>
        <w:t>Affirm:</w:t>
      </w:r>
    </w:p>
    <w:p w14:paraId="5BBEF808" w14:textId="77777777" w:rsidR="00063485" w:rsidRPr="00780C6E" w:rsidRDefault="00063485" w:rsidP="00063485">
      <w:pPr>
        <w:pStyle w:val="Heading4"/>
      </w:pPr>
      <w:r>
        <w:t>Strikes are key to fostering an ethical community that values mutual sacrifice and risk taking, new friendships, and is courageous.</w:t>
      </w:r>
    </w:p>
    <w:p w14:paraId="483E208D" w14:textId="77777777" w:rsidR="00063485" w:rsidRDefault="00063485" w:rsidP="00063485">
      <w:r w:rsidRPr="00780C6E">
        <w:rPr>
          <w:rStyle w:val="Style13ptBold"/>
        </w:rPr>
        <w:t>LaborNotes 19</w:t>
      </w:r>
      <w:r w:rsidRPr="00E20342">
        <w:t xml:space="preserve"> [</w:t>
      </w:r>
      <w:r>
        <w:t xml:space="preserve">Labor Notes. </w:t>
      </w:r>
      <w:r w:rsidRPr="00E20342">
        <w:t>October 17,</w:t>
      </w:r>
      <w:r>
        <w:t xml:space="preserve"> 2019</w:t>
      </w:r>
      <w:r w:rsidRPr="00E20342">
        <w:t xml:space="preserve">. “Why Strikes Matter”. 10-17-2019. </w:t>
      </w:r>
      <w:hyperlink r:id="rId8" w:history="1">
        <w:r w:rsidRPr="002067C4">
          <w:rPr>
            <w:rStyle w:val="Hyperlink"/>
          </w:rPr>
          <w:t>https://www.labornotes.org/2019/10/why-strikes-matter. Accessed 11-5-2021</w:t>
        </w:r>
      </w:hyperlink>
      <w:r w:rsidRPr="00E20342">
        <w:t>]</w:t>
      </w:r>
      <w:r>
        <w:t xml:space="preserve"> SHS DH</w:t>
      </w:r>
    </w:p>
    <w:p w14:paraId="12738C4E" w14:textId="77777777" w:rsidR="00063485" w:rsidRPr="000A07E8" w:rsidRDefault="00063485" w:rsidP="00063485">
      <w:pPr>
        <w:rPr>
          <w:sz w:val="16"/>
        </w:rPr>
      </w:pPr>
      <w:r w:rsidRPr="00780C6E">
        <w:rPr>
          <w:sz w:val="16"/>
        </w:rPr>
        <w:t xml:space="preserve">DISCOVER YOUR POWER The key word is “force.” A strike is not just a symbolic protest. It works because we withhold something that the employer needs—its production, its good public image, its profits, and above all its control over us. As one union slogan has it, “this university works because we do”—or this company, or this city. A strike reveals something that employers would prefer we not notice: they need us. </w:t>
      </w:r>
      <w:r w:rsidRPr="00780C6E">
        <w:rPr>
          <w:rStyle w:val="Emphasis"/>
          <w:highlight w:val="cyan"/>
        </w:rPr>
        <w:t>Workplaces are typically run as dictatorships.</w:t>
      </w:r>
      <w:r w:rsidRPr="00E20342">
        <w:rPr>
          <w:rStyle w:val="Emphasis"/>
        </w:rPr>
        <w:t xml:space="preserve"> The discovery that your boss does not have absolute power over you—and that in fact, you and your co-workers can exert power over him—is a revelation. There’s no feeling like it. </w:t>
      </w:r>
      <w:r w:rsidRPr="00780C6E">
        <w:rPr>
          <w:rStyle w:val="Emphasis"/>
          <w:highlight w:val="cyan"/>
        </w:rPr>
        <w:t>Going on strike changes you,</w:t>
      </w:r>
      <w:r w:rsidRPr="00E20342">
        <w:rPr>
          <w:rStyle w:val="Emphasis"/>
        </w:rPr>
        <w:t xml:space="preserve"> personally </w:t>
      </w:r>
      <w:r w:rsidRPr="00780C6E">
        <w:rPr>
          <w:rStyle w:val="Emphasis"/>
          <w:highlight w:val="cyan"/>
        </w:rPr>
        <w:t>and as a union.</w:t>
      </w:r>
      <w:r w:rsidRPr="00E20342">
        <w:rPr>
          <w:rStyle w:val="Emphasis"/>
        </w:rPr>
        <w:t xml:space="preserve"> </w:t>
      </w:r>
      <w:r w:rsidRPr="00780C6E">
        <w:rPr>
          <w:sz w:val="16"/>
        </w:rPr>
        <w:t xml:space="preserve">“Walking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w:t>
      </w:r>
      <w:r w:rsidRPr="00780C6E">
        <w:rPr>
          <w:rStyle w:val="Emphasis"/>
          <w:highlight w:val="cyan"/>
        </w:rPr>
        <w:t>Strikers develop new skills and a deeper sense that they own and run their union.</w:t>
      </w:r>
      <w:r w:rsidRPr="00E20342">
        <w:rPr>
          <w:rStyle w:val="Emphasis"/>
        </w:rPr>
        <w:t xml:space="preserve"> New leaders emerge from the ranks and go on to become stewards. </w:t>
      </w:r>
      <w:r w:rsidRPr="00780C6E">
        <w:rPr>
          <w:rStyle w:val="Emphasis"/>
          <w:highlight w:val="cyan"/>
        </w:rPr>
        <w:t xml:space="preserve">New friendships are formed; workers who didn’t </w:t>
      </w:r>
      <w:r w:rsidRPr="00780C6E">
        <w:rPr>
          <w:rStyle w:val="Emphasis"/>
        </w:rPr>
        <w:t xml:space="preserve">know or </w:t>
      </w:r>
      <w:r w:rsidRPr="00780C6E">
        <w:rPr>
          <w:rStyle w:val="Emphasis"/>
          <w:highlight w:val="cyan"/>
        </w:rPr>
        <w:t>trust one another before forge bonds of solidarity.</w:t>
      </w:r>
      <w:r w:rsidRPr="00E20342">
        <w:rPr>
          <w:rStyle w:val="Emphasis"/>
        </w:rPr>
        <w:t xml:space="preserve"> A few stubborn co-workers finally see why the union matters and sign on as members. </w:t>
      </w:r>
      <w:r w:rsidRPr="00780C6E">
        <w:rPr>
          <w:rStyle w:val="Emphasis"/>
          <w:highlight w:val="cyan"/>
        </w:rPr>
        <w:t>Allies from faith groups, neighborhood groups, or other unions adopt your cause.</w:t>
      </w:r>
      <w:r w:rsidRPr="00E20342">
        <w:rPr>
          <w:rStyle w:val="Emphasis"/>
        </w:rPr>
        <w:t xml:space="preserve"> You and your co-workers lose some fear of the boss—and the boss gains some fear of you. In all these ways and more—not to mention the contract gains you may win—</w:t>
      </w:r>
      <w:r w:rsidRPr="00780C6E">
        <w:rPr>
          <w:rStyle w:val="Emphasis"/>
          <w:highlight w:val="cyan"/>
        </w:rPr>
        <w:t>a strike can be a tremendous union-building activity</w:t>
      </w:r>
      <w:r w:rsidRPr="00780C6E">
        <w:rPr>
          <w:sz w:val="16"/>
        </w:rPr>
        <w:t xml:space="preserve">. JUST THE THREAT 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 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 The transformation can also reach beyond the workplace. </w:t>
      </w:r>
      <w:r w:rsidRPr="00E20342">
        <w:rPr>
          <w:rStyle w:val="Emphasis"/>
        </w:rPr>
        <w:t xml:space="preserve">Strikes open up our political horizons, expanding our sense of what’s possible if we use our power. </w:t>
      </w:r>
      <w:r w:rsidRPr="00780C6E">
        <w:rPr>
          <w:sz w:val="16"/>
        </w:rPr>
        <w:t xml:space="preserve">This summer, a general strike in Puerto Rico brought down two corrupt governors in quick succession. This fall, Amazon workers struck for a day as they pushed their employer to take on climate change. Large-scale strikes will be crucial if we expect to rescue our world from the corporations that promote poverty and environmental collapse. The 1% are not going to hand us anything. A NEW UPSURGE? Strikes in the U.S. have declined dramatically over the past half-century. Since 1947 the Bureau of Labor Statistics has tracked strikes and lockouts involving 1,000 or more workers. From 1947 through 1981, there were hundreds of such big strikes each year. Last year there were 20. The decline in strikes is a reflection of unions’ diminishing power and numbers—and a reason for it. But strikes aren’t dead. Over the years it has gotten harder (in some ways) to strike and win. </w:t>
      </w:r>
      <w:r w:rsidRPr="00E20342">
        <w:rPr>
          <w:rStyle w:val="Emphasis"/>
        </w:rPr>
        <w:t>Some of the best tactics have been outlawed; some of the best sources of leverage have been neutralized. A hundred years ago, striking took physical bravery. Your employer might hire armed thugs to attack you. Today in the U.S. that’s less likely. Employers have found more sophisticated ways to weaken strikes. Still</w:t>
      </w:r>
      <w:r w:rsidRPr="00780C6E">
        <w:rPr>
          <w:rStyle w:val="Emphasis"/>
          <w:highlight w:val="cyan"/>
        </w:rPr>
        <w:t>, it takes real courage to walk out. You might lose your job</w:t>
      </w:r>
      <w:r w:rsidRPr="00780C6E">
        <w:rPr>
          <w:rStyle w:val="Emphasis"/>
        </w:rPr>
        <w:t xml:space="preserve">, and a court might deem your firing legal. If striking is illegal in your state or sector, you might have to break the law. If union leaders are reluctant to strike, you might have to out-organize them. </w:t>
      </w:r>
      <w:r w:rsidRPr="00780C6E">
        <w:rPr>
          <w:sz w:val="16"/>
        </w:rPr>
        <w:t>Or the union could miscalculate—you might find you don’t have enough leverage to win. You might have to walk back in empty-handed. Workers today have to soberly assess their power up against rich, complex, global corporations. Sometimes a strike alone may not be enough to win; it might have to be part of a larger campaign. But the strike itself remains a powerful tool—economically powerful, personally transformative to the participants, and inspiring to the public. The spreading wave of teacher strikes has won many material improvements for teachers and schools, and has raised teachers’ expectations across the country for what they and their students deserve. It has caught the public imagination, rallied whole communities behind the strikers, and put strikes back on the agenda. Optimists in the labor movement (and worriers in the business world) are asking, who’s next? Will workers in the private sector catch the strike spirit? In 2019 we saw General Motors auto workers, Toledo nurses, Pennsylvania locomotive workers, Uber and Lyft drivers, and Stop &amp; Shop grocery workers all hit the bricks. Could this be the beginning of the next big upsurge? Let’s make it so.</w:t>
      </w:r>
    </w:p>
    <w:p w14:paraId="75DA3FF5" w14:textId="77777777" w:rsidR="00063485" w:rsidRDefault="00063485" w:rsidP="00063485">
      <w:pPr>
        <w:pStyle w:val="Heading4"/>
      </w:pPr>
      <w:r w:rsidRPr="008102D0">
        <w:t>Ethical communities are key to acting virtuously – means my offense procedurally outweighs.</w:t>
      </w:r>
      <w:r>
        <w:t xml:space="preserve"> </w:t>
      </w:r>
    </w:p>
    <w:p w14:paraId="50D49FFA" w14:textId="77777777" w:rsidR="00063485" w:rsidRPr="0091637E" w:rsidRDefault="00063485" w:rsidP="00063485">
      <w:pPr>
        <w:pStyle w:val="Heading4"/>
      </w:pPr>
      <w:r>
        <w:t xml:space="preserve">Markulla 98 </w:t>
      </w:r>
      <w:r w:rsidRPr="0013123B">
        <w:rPr>
          <w:b w:val="0"/>
          <w:bCs/>
          <w:sz w:val="20"/>
          <w:szCs w:val="16"/>
        </w:rPr>
        <w:t>[“Ethics and Virtue.” Markkula Center. https://www.scu.edu/ethics/ethics-resources/ethical-decision-making/ethics-and-virtue/. Published 1988] SHS ZS</w:t>
      </w:r>
    </w:p>
    <w:p w14:paraId="080A0AF9" w14:textId="77777777" w:rsidR="00063485" w:rsidRPr="008B3813" w:rsidRDefault="00063485" w:rsidP="00063485">
      <w:pPr>
        <w:rPr>
          <w:sz w:val="12"/>
        </w:rPr>
      </w:pPr>
      <w:r w:rsidRPr="008B3813">
        <w:rPr>
          <w:sz w:val="12"/>
        </w:rPr>
        <w:t xml:space="preserve">At </w:t>
      </w:r>
      <w:r w:rsidRPr="00780C6E">
        <w:rPr>
          <w:b/>
          <w:bCs/>
          <w:highlight w:val="cyan"/>
          <w:u w:val="single"/>
        </w:rPr>
        <w:t>the heart of</w:t>
      </w:r>
      <w:r w:rsidRPr="008B3813">
        <w:rPr>
          <w:sz w:val="12"/>
        </w:rPr>
        <w:t xml:space="preserve"> the </w:t>
      </w:r>
      <w:r w:rsidRPr="00780C6E">
        <w:rPr>
          <w:b/>
          <w:bCs/>
          <w:highlight w:val="cyan"/>
          <w:u w:val="single"/>
        </w:rPr>
        <w:t>virtue</w:t>
      </w:r>
      <w:r w:rsidRPr="008B3813">
        <w:rPr>
          <w:sz w:val="12"/>
        </w:rPr>
        <w:t xml:space="preserve"> approach to </w:t>
      </w:r>
      <w:r w:rsidRPr="00780C6E">
        <w:rPr>
          <w:b/>
          <w:bCs/>
          <w:highlight w:val="cyan"/>
          <w:u w:val="single"/>
        </w:rPr>
        <w:t>ethics</w:t>
      </w:r>
      <w:r w:rsidRPr="00780C6E">
        <w:rPr>
          <w:sz w:val="12"/>
          <w:highlight w:val="cyan"/>
        </w:rPr>
        <w:t xml:space="preserve"> </w:t>
      </w:r>
      <w:r w:rsidRPr="00780C6E">
        <w:rPr>
          <w:b/>
          <w:bCs/>
          <w:highlight w:val="cyan"/>
          <w:u w:val="single"/>
        </w:rPr>
        <w:t>is the</w:t>
      </w:r>
      <w:r w:rsidRPr="008B3813">
        <w:rPr>
          <w:sz w:val="12"/>
        </w:rPr>
        <w:t xml:space="preserve"> idea of "</w:t>
      </w:r>
      <w:r w:rsidRPr="00780C6E">
        <w:rPr>
          <w:b/>
          <w:bCs/>
          <w:highlight w:val="cyan"/>
          <w:u w:val="single"/>
        </w:rPr>
        <w:t>community</w:t>
      </w:r>
      <w:r w:rsidRPr="008B3813">
        <w:rPr>
          <w:sz w:val="12"/>
        </w:rPr>
        <w:t xml:space="preserve">". </w:t>
      </w:r>
      <w:r w:rsidRPr="00780C6E">
        <w:rPr>
          <w:b/>
          <w:bCs/>
          <w:highlight w:val="cyan"/>
          <w:u w:val="single"/>
        </w:rPr>
        <w:t>A person's character traits are not developed in isolation, but within</w:t>
      </w:r>
      <w:r w:rsidRPr="008B3813">
        <w:rPr>
          <w:sz w:val="12"/>
        </w:rPr>
        <w:t xml:space="preserve"> and by the </w:t>
      </w:r>
      <w:r w:rsidRPr="00780C6E">
        <w:rPr>
          <w:b/>
          <w:bCs/>
          <w:highlight w:val="cyan"/>
          <w:u w:val="single"/>
        </w:rPr>
        <w:t>communities</w:t>
      </w:r>
      <w:r w:rsidRPr="00C32976">
        <w:rPr>
          <w:b/>
          <w:bCs/>
          <w:u w:val="single"/>
        </w:rPr>
        <w:t xml:space="preserve"> to which he or she belongs</w:t>
      </w:r>
      <w:r w:rsidRPr="008B3813">
        <w:rPr>
          <w:sz w:val="12"/>
        </w:rPr>
        <w:t xml:space="preserve">, including family, church, school, and other private and public associations. As people grow and mature, their </w:t>
      </w:r>
      <w:r w:rsidRPr="00780C6E">
        <w:rPr>
          <w:b/>
          <w:bCs/>
          <w:highlight w:val="cyan"/>
          <w:u w:val="single"/>
        </w:rPr>
        <w:t>personalities are</w:t>
      </w:r>
      <w:r w:rsidRPr="00C32976">
        <w:rPr>
          <w:b/>
          <w:bCs/>
          <w:u w:val="single"/>
        </w:rPr>
        <w:t xml:space="preserve"> deeply </w:t>
      </w:r>
      <w:r w:rsidRPr="00780C6E">
        <w:rPr>
          <w:b/>
          <w:bCs/>
          <w:highlight w:val="cyan"/>
          <w:u w:val="single"/>
        </w:rPr>
        <w:t>affected by the values that their communities prize</w:t>
      </w:r>
      <w:r w:rsidRPr="008B3813">
        <w:rPr>
          <w:sz w:val="12"/>
        </w:rPr>
        <w:t xml:space="preserve">, by the personality traits that their communities encourage, and by the role models that their communities put forth for imitation through traditional stories, fiction, movies, television, and so on. </w:t>
      </w:r>
      <w:r w:rsidRPr="00780C6E">
        <w:rPr>
          <w:b/>
          <w:bCs/>
          <w:highlight w:val="cyan"/>
          <w:u w:val="single"/>
        </w:rPr>
        <w:t>The virtue approach urges us to</w:t>
      </w:r>
      <w:r w:rsidRPr="00780C6E">
        <w:rPr>
          <w:sz w:val="12"/>
          <w:highlight w:val="cyan"/>
        </w:rPr>
        <w:t xml:space="preserve"> </w:t>
      </w:r>
      <w:r w:rsidRPr="00780C6E">
        <w:rPr>
          <w:b/>
          <w:bCs/>
          <w:highlight w:val="cyan"/>
          <w:u w:val="single"/>
        </w:rPr>
        <w:t>pay attention to</w:t>
      </w:r>
      <w:r w:rsidRPr="008B3813">
        <w:rPr>
          <w:sz w:val="12"/>
        </w:rPr>
        <w:t xml:space="preserve"> the contours of </w:t>
      </w:r>
      <w:r w:rsidRPr="00C32976">
        <w:rPr>
          <w:b/>
          <w:bCs/>
          <w:u w:val="single"/>
        </w:rPr>
        <w:t xml:space="preserve">our </w:t>
      </w:r>
      <w:r w:rsidRPr="00780C6E">
        <w:rPr>
          <w:b/>
          <w:bCs/>
          <w:highlight w:val="cyan"/>
          <w:u w:val="single"/>
        </w:rPr>
        <w:t>communities and the habits of character</w:t>
      </w:r>
      <w:r w:rsidRPr="00C32976">
        <w:rPr>
          <w:b/>
          <w:bCs/>
          <w:u w:val="single"/>
        </w:rPr>
        <w:t xml:space="preserve"> </w:t>
      </w:r>
      <w:r w:rsidRPr="00780C6E">
        <w:rPr>
          <w:b/>
          <w:bCs/>
          <w:highlight w:val="cyan"/>
          <w:u w:val="single"/>
        </w:rPr>
        <w:t>they encourage and instill</w:t>
      </w:r>
      <w:r w:rsidRPr="008B3813">
        <w:rPr>
          <w:sz w:val="12"/>
        </w:rPr>
        <w:t xml:space="preserve">. The </w:t>
      </w:r>
      <w:r w:rsidRPr="00C32976">
        <w:rPr>
          <w:b/>
          <w:bCs/>
          <w:u w:val="single"/>
        </w:rPr>
        <w:t>moral life,</w:t>
      </w:r>
      <w:r w:rsidRPr="008B3813">
        <w:rPr>
          <w:sz w:val="12"/>
        </w:rPr>
        <w:t xml:space="preserve"> then, </w:t>
      </w:r>
      <w:r w:rsidRPr="00C32976">
        <w:rPr>
          <w:b/>
          <w:bCs/>
          <w:u w:val="single"/>
        </w:rPr>
        <w:t>is not simply a matter of following moral rules</w:t>
      </w:r>
      <w:r w:rsidRPr="008B3813">
        <w:rPr>
          <w:sz w:val="12"/>
        </w:rPr>
        <w:t xml:space="preserve"> and of learning to apply them to specific situations. The </w:t>
      </w:r>
      <w:r w:rsidRPr="00780C6E">
        <w:rPr>
          <w:b/>
          <w:bCs/>
          <w:highlight w:val="cyan"/>
          <w:u w:val="single"/>
        </w:rPr>
        <w:t>moral life is also a matter of</w:t>
      </w:r>
      <w:r w:rsidRPr="008B3813">
        <w:rPr>
          <w:sz w:val="12"/>
        </w:rPr>
        <w:t xml:space="preserve"> trying to </w:t>
      </w:r>
      <w:r w:rsidRPr="00C32976">
        <w:rPr>
          <w:b/>
          <w:bCs/>
          <w:u w:val="single"/>
        </w:rPr>
        <w:t xml:space="preserve">determine the kind of people we should be and of </w:t>
      </w:r>
      <w:r w:rsidRPr="00780C6E">
        <w:rPr>
          <w:b/>
          <w:bCs/>
          <w:highlight w:val="cyan"/>
          <w:u w:val="single"/>
        </w:rPr>
        <w:t>attending to the development of character within our communities</w:t>
      </w:r>
      <w:r w:rsidRPr="008B3813">
        <w:rPr>
          <w:sz w:val="12"/>
        </w:rPr>
        <w:t xml:space="preserve"> and ourselves.</w:t>
      </w:r>
    </w:p>
    <w:p w14:paraId="04539B12" w14:textId="77777777" w:rsidR="00063485" w:rsidRPr="00704F46" w:rsidRDefault="00063485" w:rsidP="00063485"/>
    <w:p w14:paraId="1670C640" w14:textId="77777777" w:rsidR="00063485" w:rsidRDefault="00063485" w:rsidP="00063485">
      <w:pPr>
        <w:pStyle w:val="Heading3"/>
      </w:pPr>
      <w:r>
        <w:t>Underview</w:t>
      </w:r>
    </w:p>
    <w:p w14:paraId="7F724E60" w14:textId="77777777" w:rsidR="00063485" w:rsidRPr="002413D5" w:rsidRDefault="00063485" w:rsidP="00063485">
      <w:pPr>
        <w:pStyle w:val="Heading4"/>
      </w:pPr>
      <w:r>
        <w:t xml:space="preserve">[1] Aff gets 1AR theory – It’s key to check neg abuse, no 1AR theory means neg can be infinitely abusive because nothing can stop them, which outweighs because it means aff can’t win.  Drop the debater on 1AR theory because the aff can’t split the 2ar between both theory and substance.  No neg RVIs since the neg can dump on the shell for 6 minutes and make the 2AR impossible.  Competing interpretations because reasonability collapses – you have to win offense to your justification which concedes the validity of the theory. 1AR Theory before neg theory – a) the neg can win their shell in the long 2nr but it’s impossible for the aff to beat the shell back in the 2ar b) key to check back against abusive neg strategies. </w:t>
      </w:r>
    </w:p>
    <w:p w14:paraId="5F35C3DE" w14:textId="77777777" w:rsidR="00063485" w:rsidRDefault="00063485" w:rsidP="00063485">
      <w:pPr>
        <w:pStyle w:val="Heading4"/>
      </w:pPr>
      <w:r>
        <w:t>[2] Fairness is a voter a) all argumentation presupposes fairness – i.e. that the judge won’t hack for either side b) judges cannot evaluate the round properly if it is skewed</w:t>
      </w:r>
      <w:bookmarkEnd w:id="0"/>
    </w:p>
    <w:p w14:paraId="2CA7F364" w14:textId="77777777" w:rsidR="00063485" w:rsidRDefault="00063485" w:rsidP="00063485">
      <w:pPr>
        <w:pStyle w:val="Heading4"/>
      </w:pPr>
      <w:r>
        <w:t xml:space="preserve">[3] Permissibility affirms a) </w:t>
      </w:r>
      <w:r w:rsidRPr="00CD40EC">
        <w:t xml:space="preserve">Conditional logic: </w:t>
      </w:r>
      <w:r>
        <w:t>If a</w:t>
      </w:r>
      <w:r w:rsidRPr="00CD40EC">
        <w:t xml:space="preserve"> system of morals must be applicable to every agent in order to label actions as morally permissible, it results in the conditional statement, “If a system of morals exists</w:t>
      </w:r>
      <w:r>
        <w:rPr>
          <w:rStyle w:val="Strong"/>
          <w:rFonts w:cs="Times New Roman"/>
          <w:szCs w:val="21"/>
          <w:bdr w:val="none" w:sz="0" w:space="0" w:color="auto" w:frame="1"/>
          <w:shd w:val="clear" w:color="auto" w:fill="FFFFFF"/>
        </w:rPr>
        <w:t xml:space="preserve"> then voting ought to be compulsory.</w:t>
      </w:r>
      <w:r w:rsidRPr="00CD40EC">
        <w:t>” Skep denies the antecedent, and in conditional logic</w:t>
      </w:r>
      <w:r w:rsidRPr="001E609B">
        <w:rPr>
          <w:rStyle w:val="FootnoteReference"/>
        </w:rPr>
        <w:footnoteReference w:id="1"/>
      </w:r>
      <w:r w:rsidRPr="00CD40EC">
        <w:t xml:space="preserve">, statements with false antecedents always have true consequents, thus resolution is permissible, which means skep affirms. </w:t>
      </w:r>
      <w:r>
        <w:t xml:space="preserve">B) </w:t>
      </w:r>
      <w:r w:rsidRPr="00CD40EC">
        <w:t xml:space="preserve">Law of Excluded Middle: Moral systems that don’t or can’t assign permissibility or impermissibility to actions are incomplete guides to action. </w:t>
      </w:r>
      <w:r>
        <w:t>If permissibility is true, then there cannot be prohibitions. Without prohibitions, there’s no reason to negate, so affirm.</w:t>
      </w:r>
      <w:r w:rsidRPr="00CD40EC">
        <w:t xml:space="preserve"> </w:t>
      </w:r>
    </w:p>
    <w:p w14:paraId="66D1B947" w14:textId="77777777" w:rsidR="00B57D82" w:rsidRDefault="00B57D82"/>
    <w:sectPr w:rsidR="00B57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4D5F8" w14:textId="77777777" w:rsidR="00194B76" w:rsidRDefault="00194B76" w:rsidP="00063485">
      <w:pPr>
        <w:spacing w:after="0" w:line="240" w:lineRule="auto"/>
      </w:pPr>
      <w:r>
        <w:separator/>
      </w:r>
    </w:p>
  </w:endnote>
  <w:endnote w:type="continuationSeparator" w:id="0">
    <w:p w14:paraId="68406887" w14:textId="77777777" w:rsidR="00194B76" w:rsidRDefault="00194B76" w:rsidP="0006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99D83" w14:textId="77777777" w:rsidR="00194B76" w:rsidRDefault="00194B76" w:rsidP="00063485">
      <w:pPr>
        <w:spacing w:after="0" w:line="240" w:lineRule="auto"/>
      </w:pPr>
      <w:r>
        <w:separator/>
      </w:r>
    </w:p>
  </w:footnote>
  <w:footnote w:type="continuationSeparator" w:id="0">
    <w:p w14:paraId="55B77359" w14:textId="77777777" w:rsidR="00194B76" w:rsidRDefault="00194B76" w:rsidP="00063485">
      <w:pPr>
        <w:spacing w:after="0" w:line="240" w:lineRule="auto"/>
      </w:pPr>
      <w:r>
        <w:continuationSeparator/>
      </w:r>
    </w:p>
  </w:footnote>
  <w:footnote w:id="1">
    <w:p w14:paraId="423111B4" w14:textId="77777777" w:rsidR="00063485" w:rsidRDefault="00063485" w:rsidP="00063485">
      <w:pPr>
        <w:pStyle w:val="FootnoteText"/>
        <w:ind w:left="-720" w:right="-720"/>
      </w:pPr>
      <w:r>
        <w:rPr>
          <w:rStyle w:val="FootnoteReference"/>
        </w:rPr>
        <w:footnoteRef/>
      </w:r>
      <w:r>
        <w:t xml:space="preserve"> </w:t>
      </w:r>
      <w:r>
        <w:rPr>
          <w:sz w:val="14"/>
        </w:rPr>
        <w:t>http://philosophy.lander.edu/logic/conditional.html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485"/>
    <w:rsid w:val="00063485"/>
    <w:rsid w:val="00194B76"/>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3A274"/>
  <w15:chartTrackingRefBased/>
  <w15:docId w15:val="{147F4D51-309F-43C2-8DEE-935BEDCE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3485"/>
    <w:rPr>
      <w:rFonts w:ascii="Calibri" w:eastAsiaTheme="minorHAnsi" w:hAnsi="Calibri" w:cs="Calibri"/>
      <w:lang w:eastAsia="en-US"/>
    </w:rPr>
  </w:style>
  <w:style w:type="paragraph" w:styleId="Heading1">
    <w:name w:val="heading 1"/>
    <w:aliases w:val="Pocket"/>
    <w:basedOn w:val="Normal"/>
    <w:next w:val="Normal"/>
    <w:link w:val="Heading1Char"/>
    <w:qFormat/>
    <w:rsid w:val="000634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34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34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0634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34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485"/>
  </w:style>
  <w:style w:type="character" w:customStyle="1" w:styleId="Heading3Char">
    <w:name w:val="Heading 3 Char"/>
    <w:aliases w:val="Block Char"/>
    <w:basedOn w:val="DefaultParagraphFont"/>
    <w:link w:val="Heading3"/>
    <w:uiPriority w:val="2"/>
    <w:rsid w:val="00063485"/>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06348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063485"/>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3485"/>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063485"/>
    <w:rPr>
      <w:color w:val="auto"/>
      <w:u w:val="none"/>
    </w:rPr>
  </w:style>
  <w:style w:type="paragraph" w:customStyle="1" w:styleId="textbold">
    <w:name w:val="text bold"/>
    <w:basedOn w:val="Normal"/>
    <w:link w:val="Emphasis"/>
    <w:uiPriority w:val="7"/>
    <w:qFormat/>
    <w:rsid w:val="00063485"/>
    <w:rPr>
      <w:rFonts w:eastAsiaTheme="minorEastAsia"/>
      <w:b/>
      <w:iCs/>
      <w:sz w:val="28"/>
      <w:u w:val="single"/>
      <w:bdr w:val="single" w:sz="12" w:space="0" w:color="auto"/>
      <w:lang w:eastAsia="zh-CN"/>
    </w:rPr>
  </w:style>
  <w:style w:type="paragraph" w:styleId="FootnoteText">
    <w:name w:val="footnote text"/>
    <w:basedOn w:val="Normal"/>
    <w:link w:val="FootnoteTextChar"/>
    <w:uiPriority w:val="99"/>
    <w:unhideWhenUsed/>
    <w:qFormat/>
    <w:rsid w:val="00063485"/>
    <w:pPr>
      <w:spacing w:after="0" w:line="240" w:lineRule="auto"/>
    </w:pPr>
    <w:rPr>
      <w:sz w:val="20"/>
      <w:szCs w:val="20"/>
    </w:rPr>
  </w:style>
  <w:style w:type="character" w:customStyle="1" w:styleId="FootnoteTextChar">
    <w:name w:val="Footnote Text Char"/>
    <w:basedOn w:val="DefaultParagraphFont"/>
    <w:link w:val="FootnoteText"/>
    <w:uiPriority w:val="99"/>
    <w:rsid w:val="00063485"/>
    <w:rPr>
      <w:rFonts w:ascii="Calibri" w:eastAsiaTheme="minorHAnsi" w:hAnsi="Calibri" w:cs="Calibri"/>
      <w:sz w:val="20"/>
      <w:szCs w:val="20"/>
      <w:lang w:eastAsia="en-US"/>
    </w:rPr>
  </w:style>
  <w:style w:type="character" w:styleId="FootnoteReference">
    <w:name w:val="footnote reference"/>
    <w:aliases w:val="FN Ref,footnote reference,fr,o,FR,(NECG) Footnote Reference"/>
    <w:basedOn w:val="DefaultParagraphFont"/>
    <w:uiPriority w:val="99"/>
    <w:unhideWhenUsed/>
    <w:qFormat/>
    <w:rsid w:val="00063485"/>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63485"/>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063485"/>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63485"/>
    <w:rPr>
      <w:rFonts w:ascii="Calibri" w:eastAsia="Times New Roman" w:hAnsi="Calibri" w:cs="Calibri"/>
      <w:sz w:val="24"/>
      <w:lang w:eastAsia="en-US"/>
    </w:rPr>
  </w:style>
  <w:style w:type="character" w:customStyle="1" w:styleId="Heading1Char">
    <w:name w:val="Heading 1 Char"/>
    <w:aliases w:val="Pocket Char"/>
    <w:basedOn w:val="DefaultParagraphFont"/>
    <w:link w:val="Heading1"/>
    <w:rsid w:val="0006348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63485"/>
    <w:rPr>
      <w:rFonts w:ascii="Calibri" w:eastAsiaTheme="majorEastAsia" w:hAnsi="Calibri" w:cstheme="majorBidi"/>
      <w:b/>
      <w:sz w:val="44"/>
      <w:szCs w:val="26"/>
      <w:u w:val="double"/>
      <w:lang w:eastAsia="en-US"/>
    </w:rPr>
  </w:style>
  <w:style w:type="character" w:customStyle="1" w:styleId="StyleUnderline">
    <w:name w:val="Style Underline"/>
    <w:aliases w:val="Underline"/>
    <w:basedOn w:val="DefaultParagraphFont"/>
    <w:uiPriority w:val="6"/>
    <w:qFormat/>
    <w:rsid w:val="00063485"/>
    <w:rPr>
      <w:b w:val="0"/>
      <w:sz w:val="22"/>
      <w:u w:val="single"/>
    </w:rPr>
  </w:style>
  <w:style w:type="character" w:styleId="FollowedHyperlink">
    <w:name w:val="FollowedHyperlink"/>
    <w:basedOn w:val="DefaultParagraphFont"/>
    <w:uiPriority w:val="99"/>
    <w:semiHidden/>
    <w:unhideWhenUsed/>
    <w:rsid w:val="0006348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ornotes.org/2019/10/why-strikes-matter.%20Accessed%2011-5-2021" TargetMode="External"/><Relationship Id="rId3" Type="http://schemas.openxmlformats.org/officeDocument/2006/relationships/settings" Target="settings.xml"/><Relationship Id="rId7" Type="http://schemas.openxmlformats.org/officeDocument/2006/relationships/hyperlink" Target="http://www.jstor.org/stable/275041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4079</Words>
  <Characters>23251</Characters>
  <Application>Microsoft Office Word</Application>
  <DocSecurity>0</DocSecurity>
  <Lines>193</Lines>
  <Paragraphs>54</Paragraphs>
  <ScaleCrop>false</ScaleCrop>
  <Company/>
  <LinksUpToDate>false</LinksUpToDate>
  <CharactersWithSpaces>27276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2021-11-06T00:28:00Z</dcterms:created>
  <dcterms:modified xsi:type="dcterms:W3CDTF">2021-11-06T00:28:00Z</dcterms:modified>
</cp:coreProperties>
</file>