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1C473" w14:textId="77777777" w:rsidR="00BC0B8D" w:rsidRDefault="00BC0B8D" w:rsidP="00BC0B8D">
      <w:pPr>
        <w:pStyle w:val="Heading1"/>
      </w:pPr>
      <w:r>
        <w:t>Valley R2 Neg vs Princeton</w:t>
      </w:r>
    </w:p>
    <w:p w14:paraId="104A1864" w14:textId="77777777" w:rsidR="00BC0B8D" w:rsidRDefault="00BC0B8D" w:rsidP="00BC0B8D">
      <w:pPr>
        <w:pStyle w:val="Heading1"/>
      </w:pPr>
      <w:r>
        <w:t>1NC</w:t>
      </w:r>
    </w:p>
    <w:p w14:paraId="0596790B" w14:textId="77777777" w:rsidR="00BC0B8D" w:rsidRDefault="00BC0B8D" w:rsidP="00BC0B8D"/>
    <w:p w14:paraId="2D79BA5A" w14:textId="77777777" w:rsidR="00BC0B8D" w:rsidRDefault="00BC0B8D" w:rsidP="00BC0B8D">
      <w:pPr>
        <w:pStyle w:val="Heading3"/>
      </w:pPr>
      <w:r>
        <w:t>K</w:t>
      </w:r>
    </w:p>
    <w:p w14:paraId="31EECB77" w14:textId="77777777" w:rsidR="00BC0B8D" w:rsidRPr="00BA66E2" w:rsidRDefault="00BC0B8D" w:rsidP="00BC0B8D">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14:paraId="3100539F" w14:textId="77777777" w:rsidR="00BC0B8D" w:rsidRPr="00BA66E2" w:rsidRDefault="00BC0B8D" w:rsidP="00BC0B8D">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7494C7DC" w14:textId="77777777" w:rsidR="00BC0B8D" w:rsidRDefault="00BC0B8D" w:rsidP="00BC0B8D">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0AC43F9B" w14:textId="77777777" w:rsidR="00BC0B8D" w:rsidRDefault="00BC0B8D" w:rsidP="00BC0B8D">
      <w:pPr>
        <w:rPr>
          <w:sz w:val="16"/>
        </w:rPr>
      </w:pPr>
    </w:p>
    <w:p w14:paraId="25C8DA61" w14:textId="77777777" w:rsidR="00BC0B8D" w:rsidRPr="00EC29F9" w:rsidRDefault="00BC0B8D" w:rsidP="00BC0B8D">
      <w:pPr>
        <w:pStyle w:val="Heading4"/>
        <w:rPr>
          <w:rFonts w:cstheme="majorHAnsi"/>
        </w:rPr>
      </w:pPr>
      <w:r>
        <w:rPr>
          <w:rFonts w:cstheme="majorHAnsi"/>
        </w:rPr>
        <w:t>Claims</w:t>
      </w:r>
      <w:r w:rsidRPr="00EC29F9">
        <w:rPr>
          <w:rFonts w:cstheme="majorHAnsi"/>
        </w:rPr>
        <w:t xml:space="preserve"> of fluid identity are antithetical to the cultural survival of indigenous people</w:t>
      </w:r>
      <w:r>
        <w:rPr>
          <w:rFonts w:cstheme="majorHAnsi"/>
        </w:rPr>
        <w:t xml:space="preserve"> – subjectivity cannot be rhizomatic – it is tied to place</w:t>
      </w:r>
    </w:p>
    <w:p w14:paraId="256E7024" w14:textId="77777777" w:rsidR="00BC0B8D" w:rsidRPr="00EC29F9" w:rsidRDefault="00BC0B8D" w:rsidP="00BC0B8D">
      <w:pPr>
        <w:rPr>
          <w:rFonts w:cstheme="majorHAnsi"/>
          <w:sz w:val="12"/>
          <w:szCs w:val="12"/>
        </w:rPr>
      </w:pPr>
      <w:r w:rsidRPr="00EC29F9">
        <w:rPr>
          <w:rFonts w:cstheme="majorHAnsi"/>
          <w:sz w:val="12"/>
          <w:szCs w:val="12"/>
        </w:rPr>
        <w:t xml:space="preserve">Sandy </w:t>
      </w:r>
      <w:proofErr w:type="gramStart"/>
      <w:r w:rsidRPr="00EC29F9">
        <w:rPr>
          <w:rStyle w:val="Heading4Char"/>
          <w:rFonts w:cstheme="majorHAnsi"/>
        </w:rPr>
        <w:t>Grande</w:t>
      </w:r>
      <w:r w:rsidRPr="00EC29F9">
        <w:rPr>
          <w:rFonts w:cstheme="majorHAnsi"/>
          <w:sz w:val="12"/>
          <w:szCs w:val="12"/>
        </w:rPr>
        <w:t xml:space="preserve"> ,</w:t>
      </w:r>
      <w:proofErr w:type="gramEnd"/>
      <w:r w:rsidRPr="00EC29F9">
        <w:rPr>
          <w:rFonts w:cstheme="majorHAnsi"/>
          <w:sz w:val="12"/>
          <w:szCs w:val="12"/>
        </w:rPr>
        <w:t xml:space="preserve"> PhD, is associate professor and Chair of the Education Department at Connecticut College,</w:t>
      </w:r>
      <w:r w:rsidRPr="00EC29F9">
        <w:rPr>
          <w:rStyle w:val="Heading4Char"/>
          <w:rFonts w:cstheme="majorHAnsi"/>
        </w:rPr>
        <w:t xml:space="preserve"> director of the Center for the Comparative Study of Race and Ethnicity</w:t>
      </w:r>
      <w:r w:rsidRPr="00EC29F9">
        <w:rPr>
          <w:rFonts w:cstheme="majorHAnsi"/>
          <w:sz w:val="12"/>
          <w:szCs w:val="12"/>
        </w:rPr>
        <w:t>. “Chapter Four American Indian Geographies of Identity and Power.” Red Pedagogy Native American Social and Political Thought. 20</w:t>
      </w:r>
      <w:r w:rsidRPr="00EC29F9">
        <w:rPr>
          <w:rStyle w:val="Heading4Char"/>
          <w:rFonts w:cstheme="majorHAnsi"/>
        </w:rPr>
        <w:t>04</w:t>
      </w:r>
      <w:r w:rsidRPr="00EC29F9">
        <w:rPr>
          <w:rFonts w:cstheme="majorHAnsi"/>
          <w:sz w:val="12"/>
          <w:szCs w:val="12"/>
        </w:rPr>
        <w:t>. JJN</w:t>
      </w:r>
    </w:p>
    <w:p w14:paraId="18D0D1B3" w14:textId="77777777" w:rsidR="00BC0B8D" w:rsidRDefault="00BC0B8D" w:rsidP="00BC0B8D">
      <w:pPr>
        <w:rPr>
          <w:sz w:val="14"/>
        </w:rPr>
      </w:pPr>
      <w:proofErr w:type="gramStart"/>
      <w:r w:rsidRPr="00EC29F9">
        <w:rPr>
          <w:sz w:val="14"/>
        </w:rPr>
        <w:t xml:space="preserve">That being said, </w:t>
      </w:r>
      <w:r w:rsidRPr="00EC29F9">
        <w:rPr>
          <w:rStyle w:val="StyleUnderline"/>
        </w:rPr>
        <w:t>postmodern</w:t>
      </w:r>
      <w:proofErr w:type="gramEnd"/>
      <w:r w:rsidRPr="00EC29F9">
        <w:rPr>
          <w:rStyle w:val="StyleUnderline"/>
        </w:rPr>
        <w:t xml:space="preserve"> constructions of </w:t>
      </w:r>
      <w:r w:rsidRPr="00540930">
        <w:rPr>
          <w:rStyle w:val="StyleUnderline"/>
          <w:highlight w:val="green"/>
        </w:rPr>
        <w:t>identity as "free-floating"</w:t>
      </w:r>
      <w:r w:rsidRPr="00EC29F9">
        <w:rPr>
          <w:rStyle w:val="StyleUnderline"/>
        </w:rPr>
        <w:t xml:space="preserve"> also </w:t>
      </w:r>
      <w:r w:rsidRPr="00540930">
        <w:rPr>
          <w:rStyle w:val="StyleUnderline"/>
          <w:highlight w:val="green"/>
        </w:rPr>
        <w:t>create a new set of problematics for</w:t>
      </w:r>
      <w:r w:rsidRPr="00EC29F9">
        <w:rPr>
          <w:rStyle w:val="StyleUnderline"/>
        </w:rPr>
        <w:t xml:space="preserve"> American </w:t>
      </w:r>
      <w:r w:rsidRPr="00540930">
        <w:rPr>
          <w:rStyle w:val="StyleUnderline"/>
          <w:highlight w:val="green"/>
        </w:rPr>
        <w:t>Indians</w:t>
      </w:r>
      <w:r w:rsidRPr="00EC29F9">
        <w:rPr>
          <w:rStyle w:val="StyleUnderline"/>
        </w:rPr>
        <w:t>.</w:t>
      </w:r>
      <w:r w:rsidRPr="00EC29F9">
        <w:rPr>
          <w:sz w:val="14"/>
        </w:rPr>
        <w:t xml:space="preserve"> As articulated in chapter 2, </w:t>
      </w:r>
      <w:r w:rsidRPr="00EC29F9">
        <w:rPr>
          <w:rStyle w:val="StyleUnderline"/>
        </w:rPr>
        <w:t xml:space="preserve">American </w:t>
      </w:r>
      <w:r w:rsidRPr="00540930">
        <w:rPr>
          <w:rStyle w:val="StyleUnderline"/>
          <w:highlight w:val="green"/>
        </w:rPr>
        <w:t>Indians are not</w:t>
      </w:r>
      <w:r w:rsidRPr="00EC29F9">
        <w:rPr>
          <w:rStyle w:val="StyleUnderline"/>
        </w:rPr>
        <w:t xml:space="preserve"> like other subjugated </w:t>
      </w:r>
      <w:r w:rsidRPr="00795318">
        <w:rPr>
          <w:rStyle w:val="StyleUnderline"/>
        </w:rPr>
        <w:t xml:space="preserve">groups </w:t>
      </w:r>
      <w:r w:rsidRPr="00540930">
        <w:rPr>
          <w:rStyle w:val="StyleUnderline"/>
          <w:highlight w:val="green"/>
        </w:rPr>
        <w:t>struggling to define their place within the</w:t>
      </w:r>
      <w:r w:rsidRPr="00795318">
        <w:rPr>
          <w:rStyle w:val="StyleUnderline"/>
        </w:rPr>
        <w:t xml:space="preserve"> larger </w:t>
      </w:r>
      <w:r w:rsidRPr="00540930">
        <w:rPr>
          <w:rStyle w:val="StyleUnderline"/>
          <w:highlight w:val="green"/>
        </w:rPr>
        <w:t>democratic project</w:t>
      </w:r>
      <w:r w:rsidRPr="00795318">
        <w:rPr>
          <w:sz w:val="14"/>
        </w:rPr>
        <w:t xml:space="preserve">. Specifically, </w:t>
      </w:r>
      <w:r w:rsidRPr="00540930">
        <w:rPr>
          <w:rStyle w:val="StyleUnderline"/>
          <w:highlight w:val="green"/>
        </w:rPr>
        <w:t>they do not seek</w:t>
      </w:r>
      <w:r w:rsidRPr="00795318">
        <w:rPr>
          <w:rStyle w:val="StyleUnderline"/>
        </w:rPr>
        <w:t xml:space="preserve"> greater "</w:t>
      </w:r>
      <w:r w:rsidRPr="00540930">
        <w:rPr>
          <w:rStyle w:val="StyleUnderline"/>
          <w:highlight w:val="green"/>
        </w:rPr>
        <w:t>inclusion</w:t>
      </w:r>
      <w:r w:rsidRPr="00795318">
        <w:rPr>
          <w:rStyle w:val="StyleUnderline"/>
        </w:rPr>
        <w:t>"</w:t>
      </w:r>
      <w:r w:rsidRPr="00795318">
        <w:rPr>
          <w:sz w:val="14"/>
        </w:rPr>
        <w:t xml:space="preserve">; rather, </w:t>
      </w:r>
      <w:r w:rsidRPr="00540930">
        <w:rPr>
          <w:rStyle w:val="StyleUnderline"/>
          <w:highlight w:val="green"/>
        </w:rPr>
        <w:t>they</w:t>
      </w:r>
      <w:r w:rsidRPr="00795318">
        <w:rPr>
          <w:rStyle w:val="StyleUnderline"/>
        </w:rPr>
        <w:t xml:space="preserve"> are </w:t>
      </w:r>
      <w:r w:rsidRPr="00540930">
        <w:rPr>
          <w:rStyle w:val="StyleUnderline"/>
          <w:highlight w:val="green"/>
        </w:rPr>
        <w:t>engage</w:t>
      </w:r>
      <w:r w:rsidRPr="00795318">
        <w:rPr>
          <w:rStyle w:val="StyleUnderline"/>
        </w:rPr>
        <w:t xml:space="preserve">d </w:t>
      </w:r>
      <w:r w:rsidRPr="00540930">
        <w:rPr>
          <w:rStyle w:val="StyleUnderline"/>
          <w:highlight w:val="green"/>
        </w:rPr>
        <w:t>in a</w:t>
      </w:r>
      <w:r w:rsidRPr="00795318">
        <w:rPr>
          <w:rStyle w:val="StyleUnderline"/>
        </w:rPr>
        <w:t xml:space="preserve"> perpetual </w:t>
      </w:r>
      <w:r w:rsidRPr="00540930">
        <w:rPr>
          <w:rStyle w:val="StyleUnderline"/>
          <w:highlight w:val="green"/>
        </w:rPr>
        <w:t>struggle to have their</w:t>
      </w:r>
      <w:r w:rsidRPr="00795318">
        <w:rPr>
          <w:rStyle w:val="StyleUnderline"/>
        </w:rPr>
        <w:t xml:space="preserve"> legal and moral claims to </w:t>
      </w:r>
      <w:r w:rsidRPr="00540930">
        <w:rPr>
          <w:rStyle w:val="StyleUnderline"/>
          <w:highlight w:val="green"/>
        </w:rPr>
        <w:t>sovereignty recognized.</w:t>
      </w:r>
      <w:r w:rsidRPr="00795318">
        <w:rPr>
          <w:rStyle w:val="StyleUnderline"/>
        </w:rPr>
        <w:t xml:space="preserve"> </w:t>
      </w:r>
      <w:r w:rsidRPr="00795318">
        <w:rPr>
          <w:sz w:val="14"/>
        </w:rPr>
        <w:t xml:space="preserve">The duration and </w:t>
      </w:r>
      <w:r w:rsidRPr="00795318">
        <w:rPr>
          <w:rStyle w:val="StyleUnderline"/>
        </w:rPr>
        <w:t xml:space="preserve">severity of </w:t>
      </w:r>
      <w:r w:rsidRPr="00540930">
        <w:rPr>
          <w:rStyle w:val="StyleUnderline"/>
          <w:highlight w:val="green"/>
        </w:rPr>
        <w:t>this struggle</w:t>
      </w:r>
      <w:r w:rsidRPr="00795318">
        <w:rPr>
          <w:rStyle w:val="StyleUnderline"/>
        </w:rPr>
        <w:t xml:space="preserve"> for American Indians </w:t>
      </w:r>
      <w:r w:rsidRPr="00540930">
        <w:rPr>
          <w:rStyle w:val="StyleUnderline"/>
          <w:highlight w:val="green"/>
        </w:rPr>
        <w:t>removes</w:t>
      </w:r>
      <w:r w:rsidRPr="00EC29F9">
        <w:rPr>
          <w:rStyle w:val="StyleUnderline"/>
        </w:rPr>
        <w:t xml:space="preserve"> the question of </w:t>
      </w:r>
      <w:r w:rsidRPr="00540930">
        <w:rPr>
          <w:rStyle w:val="StyleUnderline"/>
          <w:highlight w:val="green"/>
        </w:rPr>
        <w:t xml:space="preserve">identity from </w:t>
      </w:r>
      <w:r w:rsidRPr="00795318">
        <w:rPr>
          <w:rStyle w:val="StyleUnderline"/>
        </w:rPr>
        <w:t>the</w:t>
      </w:r>
      <w:r w:rsidRPr="00EC29F9">
        <w:rPr>
          <w:rStyle w:val="StyleUnderline"/>
        </w:rPr>
        <w:t xml:space="preserve"> </w:t>
      </w:r>
      <w:r w:rsidRPr="00795318">
        <w:rPr>
          <w:rStyle w:val="StyleUnderline"/>
        </w:rPr>
        <w:t>superficial</w:t>
      </w:r>
      <w:r w:rsidRPr="00EC29F9">
        <w:rPr>
          <w:rStyle w:val="StyleUnderline"/>
        </w:rPr>
        <w:t xml:space="preserve"> realm of </w:t>
      </w:r>
      <w:r w:rsidRPr="00540930">
        <w:rPr>
          <w:rStyle w:val="StyleUnderline"/>
          <w:highlight w:val="green"/>
        </w:rPr>
        <w:t>cultural politics to</w:t>
      </w:r>
      <w:r w:rsidRPr="00EC29F9">
        <w:rPr>
          <w:rStyle w:val="StyleUnderline"/>
        </w:rPr>
        <w:t xml:space="preserve"> the more profound arena of </w:t>
      </w:r>
      <w:r w:rsidRPr="00540930">
        <w:rPr>
          <w:rStyle w:val="StyleUnderline"/>
          <w:highlight w:val="green"/>
        </w:rPr>
        <w:t>cultural survival</w:t>
      </w:r>
      <w:r w:rsidRPr="00EC29F9">
        <w:rPr>
          <w:rStyle w:val="StyleUnderline"/>
        </w:rPr>
        <w:t xml:space="preserve">. </w:t>
      </w:r>
      <w:r w:rsidRPr="00EC29F9">
        <w:rPr>
          <w:sz w:val="14"/>
        </w:rPr>
        <w:t xml:space="preserve">Thus, </w:t>
      </w:r>
      <w:r w:rsidRPr="00EC29F9">
        <w:rPr>
          <w:rStyle w:val="StyleUnderline"/>
        </w:rPr>
        <w:t xml:space="preserve">contrary to postmodern analyses, American </w:t>
      </w:r>
      <w:r w:rsidRPr="00540930">
        <w:rPr>
          <w:rStyle w:val="Emphasis"/>
          <w:highlight w:val="green"/>
        </w:rPr>
        <w:t>Indians do not exercise essentialist tactics</w:t>
      </w:r>
      <w:r w:rsidRPr="00795318">
        <w:rPr>
          <w:rStyle w:val="Emphasis"/>
        </w:rPr>
        <w:t xml:space="preserve"> </w:t>
      </w:r>
      <w:proofErr w:type="gramStart"/>
      <w:r w:rsidRPr="00795318">
        <w:rPr>
          <w:rStyle w:val="Emphasis"/>
        </w:rPr>
        <w:t xml:space="preserve">in order </w:t>
      </w:r>
      <w:r w:rsidRPr="00540930">
        <w:rPr>
          <w:rStyle w:val="Emphasis"/>
          <w:highlight w:val="green"/>
        </w:rPr>
        <w:t>to</w:t>
      </w:r>
      <w:proofErr w:type="gramEnd"/>
      <w:r w:rsidRPr="00540930">
        <w:rPr>
          <w:rStyle w:val="Emphasis"/>
          <w:highlight w:val="green"/>
        </w:rPr>
        <w:t xml:space="preserve"> establish hierarchies of "authenticity</w:t>
      </w:r>
      <w:r w:rsidRPr="00795318">
        <w:rPr>
          <w:rStyle w:val="Emphasis"/>
        </w:rPr>
        <w:t xml:space="preserve">," </w:t>
      </w:r>
      <w:r w:rsidRPr="00540930">
        <w:rPr>
          <w:rStyle w:val="Emphasis"/>
          <w:highlight w:val="green"/>
        </w:rPr>
        <w:t>but</w:t>
      </w:r>
      <w:r w:rsidRPr="00795318">
        <w:rPr>
          <w:rStyle w:val="Emphasis"/>
        </w:rPr>
        <w:t xml:space="preserve"> rather </w:t>
      </w:r>
      <w:r w:rsidRPr="00540930">
        <w:rPr>
          <w:rStyle w:val="Emphasis"/>
          <w:highlight w:val="green"/>
        </w:rPr>
        <w:t>as a means of resisting</w:t>
      </w:r>
      <w:r w:rsidRPr="00795318">
        <w:rPr>
          <w:rStyle w:val="Emphasis"/>
        </w:rPr>
        <w:t xml:space="preserve"> wholesale </w:t>
      </w:r>
      <w:r w:rsidRPr="00540930">
        <w:rPr>
          <w:rStyle w:val="Emphasis"/>
          <w:highlight w:val="green"/>
        </w:rPr>
        <w:t>appropriation</w:t>
      </w:r>
      <w:r w:rsidRPr="00EC29F9">
        <w:rPr>
          <w:rStyle w:val="StyleUnderline"/>
        </w:rPr>
        <w:t xml:space="preserve"> of Indian culture and identity.</w:t>
      </w:r>
      <w:r w:rsidRPr="00EC29F9">
        <w:rPr>
          <w:sz w:val="14"/>
        </w:rPr>
        <w:t xml:space="preserve"> Specifically, </w:t>
      </w:r>
      <w:r w:rsidRPr="00EC29F9">
        <w:rPr>
          <w:rStyle w:val="StyleUnderline"/>
        </w:rPr>
        <w:t>indigenous peoples work to fend off</w:t>
      </w:r>
      <w:r w:rsidRPr="00EC29F9">
        <w:rPr>
          <w:sz w:val="14"/>
        </w:rPr>
        <w:t xml:space="preserve"> the global capitalist </w:t>
      </w:r>
      <w:r w:rsidRPr="00EC29F9">
        <w:rPr>
          <w:rStyle w:val="StyleUnderline"/>
        </w:rPr>
        <w:t>forces that</w:t>
      </w:r>
      <w:r w:rsidRPr="00EC29F9">
        <w:rPr>
          <w:sz w:val="14"/>
        </w:rPr>
        <w:t xml:space="preserve"> crave indigenous cultures at the same time such forces </w:t>
      </w:r>
      <w:r w:rsidRPr="00EC29F9">
        <w:rPr>
          <w:rStyle w:val="StyleUnderline"/>
        </w:rPr>
        <w:t>operate to destroy all that sustains indigenous communities</w:t>
      </w:r>
      <w:r w:rsidRPr="00EC29F9">
        <w:rPr>
          <w:sz w:val="14"/>
        </w:rPr>
        <w:t xml:space="preserve"> (i.e., land bases, natural resources).17 Therefore, while it is important to recognize the way essentialism works to undermine the emancipatory project, it is also important to be aware of the dangers of postmodern constructions of identity as they interface with American Indian realities. To facilitate better understanding of the specific ways postmodernism and cultural imperialism work together to undermine the integrity and viability of American Indian communities, the phenomena of identity appropriation and cultural encroachment are discussed below. Though examined discretely, both forces emanate from the political project of colonization, the social project of postmodernism, and the insatiable, if not cannibalistic, desire of capitalism to consume all that it produces. Identity Appropriation Ever since we entered the post–Dances with Wolves era,</w:t>
      </w:r>
      <w:r w:rsidRPr="00EC29F9">
        <w:rPr>
          <w:rStyle w:val="StyleUnderline"/>
        </w:rPr>
        <w:t xml:space="preserve"> </w:t>
      </w:r>
      <w:r w:rsidRPr="00540930">
        <w:rPr>
          <w:rStyle w:val="StyleUnderline"/>
          <w:highlight w:val="green"/>
        </w:rPr>
        <w:t>it has become</w:t>
      </w:r>
      <w:r w:rsidRPr="00EC29F9">
        <w:rPr>
          <w:rStyle w:val="StyleUnderline"/>
        </w:rPr>
        <w:t xml:space="preserve"> increasingly </w:t>
      </w:r>
      <w:r w:rsidRPr="00540930">
        <w:rPr>
          <w:rStyle w:val="StyleUnderline"/>
          <w:highlight w:val="green"/>
        </w:rPr>
        <w:t>popular to be</w:t>
      </w:r>
      <w:r w:rsidRPr="00EC29F9">
        <w:rPr>
          <w:rStyle w:val="StyleUnderline"/>
        </w:rPr>
        <w:t xml:space="preserve"> American </w:t>
      </w:r>
      <w:r w:rsidRPr="00540930">
        <w:rPr>
          <w:rStyle w:val="StyleUnderline"/>
          <w:highlight w:val="green"/>
        </w:rPr>
        <w:t>Indian.</w:t>
      </w:r>
      <w:r w:rsidRPr="00EC29F9">
        <w:rPr>
          <w:sz w:val="14"/>
        </w:rPr>
        <w:t xml:space="preserve"> </w:t>
      </w:r>
      <w:proofErr w:type="spellStart"/>
      <w:r w:rsidRPr="00EC29F9">
        <w:rPr>
          <w:sz w:val="14"/>
        </w:rPr>
        <w:t>Joane</w:t>
      </w:r>
      <w:proofErr w:type="spellEnd"/>
      <w:r w:rsidRPr="00EC29F9">
        <w:rPr>
          <w:sz w:val="14"/>
        </w:rPr>
        <w:t xml:space="preserve"> Nagel, a sociologist and expert in the politics of ethnicity, attests that between 1960 and 1990 the number of Americans reporting "American Indian" as their racial category in the U.S. Census more than tripled. Researchers attribute this growth to the phenomenon of "ethnic </w:t>
      </w:r>
      <w:proofErr w:type="gramStart"/>
      <w:r w:rsidRPr="00EC29F9">
        <w:rPr>
          <w:sz w:val="14"/>
        </w:rPr>
        <w:t>switching ,</w:t>
      </w:r>
      <w:proofErr w:type="gramEnd"/>
      <w:r w:rsidRPr="00EC29F9">
        <w:rPr>
          <w:sz w:val="14"/>
        </w:rPr>
        <w:t>" a process by which individuals previously identifying as "non-Indian" now claim "Indian" as their racial affiliation. Nagel (1995) identifies three factors as contributing to the practice of ethnic switching: changes in federal Indian policy, changes in American ethnic politics, and increases in American Indian political activism. The changes in federal Indian policy referenced by Nagel are the termination and relocation policies of the 1960s and 1970s that led to the growth of urban Indian populations and the various land-claims settlements of the 1980s, which also led to increases in certain tribal populations.I8 The changes in ethnic politics are those that reverberated from the civil rights and Red Power movements that ostensibly made American Indian identification "a more attractive ethnic option." The increased political activism from these movements also helped to raise American Indian ethnic consciousness, encouraging individuals to reclaim their Native American ancestry (Nagel 1995,956). While Nagel makes strong arguments for the three factors she identifies, she ignores the possibility that part of the resurgence may also be due to increasing incidents of identity appropriation or "ethnic fraud"—the practice of claiming an Indian identity based on the recent discovery of real or imagined residuals of Indian blood in one's distant ancestry. While there is nothing inherently wrong with "claiming" one's ancestral background, when such claims are opportunistically used to</w:t>
      </w:r>
      <w:r w:rsidRPr="00EC29F9">
        <w:rPr>
          <w:rStyle w:val="StyleUnderline"/>
        </w:rPr>
        <w:t xml:space="preserve"> cash in on </w:t>
      </w:r>
      <w:r w:rsidRPr="00EC29F9">
        <w:rPr>
          <w:sz w:val="14"/>
        </w:rPr>
        <w:t>scholarships, set-aside programs, and other</w:t>
      </w:r>
      <w:r w:rsidRPr="00EC29F9">
        <w:rPr>
          <w:rStyle w:val="StyleUnderline"/>
        </w:rPr>
        <w:t xml:space="preserve"> affirmative actions </w:t>
      </w:r>
      <w:r w:rsidRPr="00EC29F9">
        <w:rPr>
          <w:sz w:val="14"/>
        </w:rPr>
        <w:t>intended to correct centuries of unequal treatment it becomes highly problematic. For example, studies conducted at UCLA in 1988-1989 and 1993 reveal that of the enrolled 179 American Indian students, 125 did not or could not provide adequate documentation of their tribal affiliation, and that, on average, less than 15 percent of American Indian students were enrolled in federally recognized tribes (</w:t>
      </w:r>
      <w:proofErr w:type="spellStart"/>
      <w:r w:rsidRPr="00EC29F9">
        <w:rPr>
          <w:sz w:val="14"/>
        </w:rPr>
        <w:t>Machamer</w:t>
      </w:r>
      <w:proofErr w:type="spellEnd"/>
      <w:r w:rsidRPr="00EC29F9">
        <w:rPr>
          <w:sz w:val="14"/>
        </w:rPr>
        <w:t xml:space="preserve"> 1997). More important, a significant number of students who initially identified themselves as American Indian to gain admission ultimately relinquished that identity by the time of graduation, suggesting that economic incentives aside, "new Indians" eventually reclaimed their whiteness (</w:t>
      </w:r>
      <w:proofErr w:type="spellStart"/>
      <w:r w:rsidRPr="00EC29F9">
        <w:rPr>
          <w:sz w:val="14"/>
        </w:rPr>
        <w:t>Machamer</w:t>
      </w:r>
      <w:proofErr w:type="spellEnd"/>
      <w:r w:rsidRPr="00EC29F9">
        <w:rPr>
          <w:sz w:val="14"/>
        </w:rPr>
        <w:t xml:space="preserve"> 1997). Such practices indicate that it is not only popular but also profitable to be "Indian" in postmodern America. These so-called fraudulent Indians have also found ways to profit in the publishing world as their (highly romanticized) work is often favored over that of "legitimate" American Indian scholars. Deloria (1998) observes that what passes in the academic world as legitimate scholarship on American Indians is either the product of average (whitestream) scholars advocating a predetermined anti-Indian agenda 19 or that of "fraudulent Indians" who cater to whitestream notions of Indian-ness, moving him to ask: "Who is it that has made such people as Adolph Hungry Wolf, </w:t>
      </w:r>
      <w:proofErr w:type="spellStart"/>
      <w:r w:rsidRPr="00EC29F9">
        <w:rPr>
          <w:sz w:val="14"/>
        </w:rPr>
        <w:t>Jamake</w:t>
      </w:r>
      <w:proofErr w:type="spellEnd"/>
      <w:r w:rsidRPr="00EC29F9">
        <w:rPr>
          <w:sz w:val="14"/>
        </w:rPr>
        <w:t xml:space="preserve"> Highwater, Joseph </w:t>
      </w:r>
      <w:proofErr w:type="spellStart"/>
      <w:r w:rsidRPr="00EC29F9">
        <w:rPr>
          <w:sz w:val="14"/>
        </w:rPr>
        <w:t>Epes</w:t>
      </w:r>
      <w:proofErr w:type="spellEnd"/>
      <w:r w:rsidRPr="00EC29F9">
        <w:rPr>
          <w:sz w:val="14"/>
        </w:rPr>
        <w:t xml:space="preserve"> Brown, </w:t>
      </w:r>
      <w:proofErr w:type="spellStart"/>
      <w:r w:rsidRPr="00EC29F9">
        <w:rPr>
          <w:sz w:val="14"/>
        </w:rPr>
        <w:t>Su</w:t>
      </w:r>
      <w:proofErr w:type="spellEnd"/>
      <w:r w:rsidRPr="00EC29F9">
        <w:rPr>
          <w:sz w:val="14"/>
        </w:rPr>
        <w:t xml:space="preserve"> Bear, Rolling Thunder, Wallace Black Elk, John Redtail </w:t>
      </w:r>
      <w:proofErr w:type="spellStart"/>
      <w:r w:rsidRPr="00EC29F9">
        <w:rPr>
          <w:sz w:val="14"/>
        </w:rPr>
        <w:t>Freesoul</w:t>
      </w:r>
      <w:proofErr w:type="spellEnd"/>
      <w:r w:rsidRPr="00EC29F9">
        <w:rPr>
          <w:sz w:val="14"/>
        </w:rPr>
        <w:t xml:space="preserve">, Lynn Andrews, and </w:t>
      </w:r>
      <w:proofErr w:type="spellStart"/>
      <w:r w:rsidRPr="00EC29F9">
        <w:rPr>
          <w:sz w:val="14"/>
        </w:rPr>
        <w:t>Dhyani</w:t>
      </w:r>
      <w:proofErr w:type="spellEnd"/>
      <w:r w:rsidRPr="00EC29F9">
        <w:rPr>
          <w:sz w:val="14"/>
        </w:rPr>
        <w:t xml:space="preserve"> </w:t>
      </w:r>
      <w:proofErr w:type="spellStart"/>
      <w:r w:rsidRPr="00EC29F9">
        <w:rPr>
          <w:sz w:val="14"/>
        </w:rPr>
        <w:t>Ywahoo</w:t>
      </w:r>
      <w:proofErr w:type="spellEnd"/>
      <w:r w:rsidRPr="00EC29F9">
        <w:rPr>
          <w:sz w:val="14"/>
        </w:rPr>
        <w:t xml:space="preserve"> the spokespeople of American Indians?" He responds by naming whitestream America as both patron and peddler of the Hollywood Indian, adding, "They [the fraudulent Indians] represent the intense desire of whites to create in their own minds an Indian they want to believe in" (1998, 79). In addition to outright identity fraud, </w:t>
      </w:r>
      <w:r w:rsidRPr="00EC29F9">
        <w:rPr>
          <w:rStyle w:val="StyleUnderline"/>
        </w:rPr>
        <w:t>American Indian communities also endure the more superficial but equally problematic phenomenon of "</w:t>
      </w:r>
      <w:r w:rsidRPr="00540930">
        <w:rPr>
          <w:rStyle w:val="StyleUnderline"/>
          <w:highlight w:val="green"/>
        </w:rPr>
        <w:t>ethnic vogueing</w:t>
      </w:r>
      <w:r w:rsidRPr="00EC29F9">
        <w:rPr>
          <w:rStyle w:val="StyleUnderline"/>
        </w:rPr>
        <w:t>."</w:t>
      </w:r>
      <w:r w:rsidRPr="00EC29F9">
        <w:rPr>
          <w:sz w:val="14"/>
        </w:rPr>
        <w:t xml:space="preserve"> Every summer there is a seasonal influx of tour buses, church groups, and do-gooders that discharge a veritable wave of whiteness into Indian communities. Armed with their own constructions of Indian-ness, the </w:t>
      </w:r>
      <w:r w:rsidRPr="00540930">
        <w:rPr>
          <w:rStyle w:val="StyleUnderline"/>
          <w:highlight w:val="green"/>
        </w:rPr>
        <w:t>interlopers appropriate</w:t>
      </w:r>
      <w:r w:rsidRPr="00EC29F9">
        <w:rPr>
          <w:rStyle w:val="StyleUnderline"/>
        </w:rPr>
        <w:t xml:space="preserve"> and try on various elements of </w:t>
      </w:r>
      <w:r w:rsidRPr="00540930">
        <w:rPr>
          <w:rStyle w:val="StyleUnderline"/>
          <w:highlight w:val="green"/>
        </w:rPr>
        <w:t>Native culture</w:t>
      </w:r>
      <w:r w:rsidRPr="00EC29F9">
        <w:rPr>
          <w:rStyle w:val="StyleUnderline"/>
        </w:rPr>
        <w:t xml:space="preserve">, voyeuristically </w:t>
      </w:r>
      <w:r w:rsidRPr="00540930">
        <w:rPr>
          <w:rStyle w:val="StyleUnderline"/>
          <w:highlight w:val="green"/>
        </w:rPr>
        <w:t>touring reservation</w:t>
      </w:r>
      <w:r w:rsidRPr="00EC29F9">
        <w:rPr>
          <w:rStyle w:val="StyleUnderline"/>
        </w:rPr>
        <w:t xml:space="preserve"> communities </w:t>
      </w:r>
      <w:r w:rsidRPr="00540930">
        <w:rPr>
          <w:rStyle w:val="StyleUnderline"/>
          <w:highlight w:val="green"/>
        </w:rPr>
        <w:t>like</w:t>
      </w:r>
      <w:r w:rsidRPr="00EC29F9">
        <w:rPr>
          <w:rStyle w:val="StyleUnderline"/>
        </w:rPr>
        <w:t xml:space="preserve"> cultural predators loose in </w:t>
      </w:r>
      <w:r w:rsidRPr="00540930">
        <w:rPr>
          <w:rStyle w:val="StyleUnderline"/>
          <w:highlight w:val="green"/>
        </w:rPr>
        <w:t>Indian theme parks</w:t>
      </w:r>
      <w:r w:rsidRPr="00EC29F9">
        <w:rPr>
          <w:rStyle w:val="StyleUnderline"/>
        </w:rPr>
        <w:t>.</w:t>
      </w:r>
      <w:r w:rsidRPr="00EC29F9">
        <w:rPr>
          <w:sz w:val="14"/>
        </w:rPr>
        <w:t xml:space="preserve"> They stay for as long as their experience meets their needs and then they leave, completely dysconscious20 of the fact that their adventures have conscripted Native culture as fashion, Indian as exotic, and the sacred as entertainment.21 All told, </w:t>
      </w:r>
      <w:r w:rsidRPr="00EC29F9">
        <w:rPr>
          <w:rStyle w:val="StyleUnderline"/>
        </w:rPr>
        <w:t>the practice of identity appropriation has become so widespread that some American Indian organizations have felt compelled to devise statements and enact policies against its proliferation</w:t>
      </w:r>
      <w:r w:rsidRPr="00EC29F9">
        <w:rPr>
          <w:sz w:val="14"/>
        </w:rPr>
        <w:t xml:space="preserve">. 22 Even the federal government has acknowledged the impact of ethnic fraud, passing Public Law 101- 644, or what is commonly referred to as the Indian Arts and Crafts Act (IACA).23 In an effort to "protect" Native craftspeople, the federal government passed legislation that forbids </w:t>
      </w:r>
      <w:proofErr w:type="spellStart"/>
      <w:r w:rsidRPr="00EC29F9">
        <w:rPr>
          <w:sz w:val="14"/>
        </w:rPr>
        <w:t>any one</w:t>
      </w:r>
      <w:proofErr w:type="spellEnd"/>
      <w:r w:rsidRPr="00EC29F9">
        <w:rPr>
          <w:sz w:val="14"/>
        </w:rPr>
        <w:t xml:space="preserve"> other than a "certified Indian" to display for sale or sell any good that is suggested to be "Indian produced." Individuals found to be in violation of this law are subject to penalties of up to one million dollars and fifteen years in prison (PL. 101-644,1990). While such legislation appears to protect the interests of American Indian artists, the IACA ultimately does more to protect whitestream consumers against the purchase of "fraudulent" goods. As a result of the legislation, countless "legitimate" Indian artists from over two hundred federally unrecognized tribes (and other adequately "blooded" Indians who refuse to comply with the federal "blood-certifying" system) found themselves out of work, now criminalized for practicing their own trades (</w:t>
      </w:r>
      <w:proofErr w:type="spellStart"/>
      <w:r w:rsidRPr="00EC29F9">
        <w:rPr>
          <w:sz w:val="14"/>
        </w:rPr>
        <w:t>Jaimes</w:t>
      </w:r>
      <w:proofErr w:type="spellEnd"/>
      <w:r w:rsidRPr="00EC29F9">
        <w:rPr>
          <w:sz w:val="14"/>
        </w:rPr>
        <w:t xml:space="preserve"> 1992). In addition to being exclusionary, the IACA undermines the political and economic power of tribes by stripping them of their sovereign right to control their own labor and means of production. While measures such as the IACA may appear reasonable in theory, in practice they become problematic. The reliance on essentialist logic rarely "protects" Indian interests and often backfires to undermine them. Furthermore, insofar as compliance with "ethnic fraud" policies requires the formation of an Indian Identity Police,' enforcement becomes a dubious enterprise, inviting even more scrutiny from outside federal and private agencies. Cultural Imperialism "</w:t>
      </w:r>
      <w:r w:rsidRPr="00540930">
        <w:rPr>
          <w:rStyle w:val="StyleUnderline"/>
          <w:highlight w:val="green"/>
        </w:rPr>
        <w:t>Indian Country</w:t>
      </w:r>
      <w:r w:rsidRPr="00EC29F9">
        <w:rPr>
          <w:rStyle w:val="StyleUnderline"/>
        </w:rPr>
        <w:t xml:space="preserve">" persists </w:t>
      </w:r>
      <w:r w:rsidRPr="00540930">
        <w:rPr>
          <w:rStyle w:val="StyleUnderline"/>
          <w:highlight w:val="green"/>
        </w:rPr>
        <w:t>as</w:t>
      </w:r>
      <w:r w:rsidRPr="00EC29F9">
        <w:rPr>
          <w:rStyle w:val="StyleUnderline"/>
        </w:rPr>
        <w:t xml:space="preserve"> both a metaphoric space and </w:t>
      </w:r>
      <w:r w:rsidRPr="00540930">
        <w:rPr>
          <w:rStyle w:val="StyleUnderline"/>
          <w:highlight w:val="green"/>
        </w:rPr>
        <w:t>a geographic place</w:t>
      </w:r>
      <w:r w:rsidRPr="00EC29F9">
        <w:rPr>
          <w:rStyle w:val="StyleUnderline"/>
        </w:rPr>
        <w:t xml:space="preserve">, one that profoundly </w:t>
      </w:r>
      <w:r w:rsidRPr="00540930">
        <w:rPr>
          <w:rStyle w:val="Emphasis"/>
          <w:highlight w:val="green"/>
        </w:rPr>
        <w:t>shapes the subjectivities of those who traverse it</w:t>
      </w:r>
      <w:r w:rsidRPr="00EC29F9">
        <w:rPr>
          <w:sz w:val="14"/>
        </w:rPr>
        <w:t xml:space="preserve">. Specifically, </w:t>
      </w:r>
      <w:r w:rsidRPr="00540930">
        <w:rPr>
          <w:rStyle w:val="StyleUnderline"/>
          <w:highlight w:val="green"/>
        </w:rPr>
        <w:t>the relationship between</w:t>
      </w:r>
      <w:r w:rsidRPr="00EC29F9">
        <w:rPr>
          <w:rStyle w:val="StyleUnderline"/>
        </w:rPr>
        <w:t xml:space="preserve"> American Indian communities and the surrounding </w:t>
      </w:r>
      <w:r w:rsidRPr="00540930">
        <w:rPr>
          <w:rStyle w:val="StyleUnderline"/>
          <w:highlight w:val="green"/>
        </w:rPr>
        <w:t>(white) border towns</w:t>
      </w:r>
      <w:r w:rsidRPr="00EC29F9">
        <w:rPr>
          <w:rStyle w:val="StyleUnderline"/>
        </w:rPr>
        <w:t xml:space="preserve"> not only </w:t>
      </w:r>
      <w:r w:rsidRPr="00540930">
        <w:rPr>
          <w:rStyle w:val="StyleUnderline"/>
          <w:highlight w:val="green"/>
        </w:rPr>
        <w:t>shapes</w:t>
      </w:r>
      <w:r w:rsidRPr="00EC29F9">
        <w:rPr>
          <w:rStyle w:val="StyleUnderline"/>
        </w:rPr>
        <w:t xml:space="preserve"> the ways </w:t>
      </w:r>
      <w:r w:rsidRPr="00540930">
        <w:rPr>
          <w:rStyle w:val="StyleUnderline"/>
          <w:highlight w:val="green"/>
        </w:rPr>
        <w:t>Indian</w:t>
      </w:r>
      <w:r w:rsidRPr="00EC29F9">
        <w:rPr>
          <w:rStyle w:val="StyleUnderline"/>
        </w:rPr>
        <w:t xml:space="preserve">s perceive and construct the whitestream but also their </w:t>
      </w:r>
      <w:r w:rsidRPr="00540930">
        <w:rPr>
          <w:rStyle w:val="StyleUnderline"/>
          <w:highlight w:val="green"/>
        </w:rPr>
        <w:t>views of themselves</w:t>
      </w:r>
      <w:r w:rsidRPr="00EC29F9">
        <w:rPr>
          <w:rStyle w:val="StyleUnderline"/>
        </w:rPr>
        <w:t>.</w:t>
      </w:r>
      <w:r w:rsidRPr="00EC29F9">
        <w:rPr>
          <w:sz w:val="14"/>
        </w:rPr>
        <w:t xml:space="preserve"> Thus, </w:t>
      </w:r>
      <w:r w:rsidRPr="00EC29F9">
        <w:rPr>
          <w:rStyle w:val="StyleUnderline"/>
        </w:rPr>
        <w:t>while reservation borders exist as vestiges of forced removal, colonialist domination, and whitestream greed, they are also understood as marking the defensive perimeters between cultural integrity and wholesale appropriation. They are the literal dividing lines between "us" and "them," demarcating the borders of this nation's only internal sovereigns</w:t>
      </w:r>
      <w:r w:rsidRPr="00EC29F9">
        <w:rPr>
          <w:sz w:val="14"/>
        </w:rPr>
        <w:t xml:space="preserve">. Though the power of this status is continually challenged, American Indians have retained enough of their plenary powers to establish tribal courts, tribal governments, and tribal police forces; the borders of such communities are thus material realities and not simply "signifiers" of Indian Country. </w:t>
      </w:r>
      <w:proofErr w:type="gramStart"/>
      <w:r w:rsidRPr="00EC29F9">
        <w:rPr>
          <w:sz w:val="14"/>
        </w:rPr>
        <w:t xml:space="preserve">That being said, </w:t>
      </w:r>
      <w:r w:rsidRPr="00EC29F9">
        <w:rPr>
          <w:rStyle w:val="StyleUnderline"/>
        </w:rPr>
        <w:t>tribal</w:t>
      </w:r>
      <w:proofErr w:type="gramEnd"/>
      <w:r w:rsidRPr="00EC29F9">
        <w:rPr>
          <w:rStyle w:val="StyleUnderline"/>
        </w:rPr>
        <w:t xml:space="preserve"> sovereignty remains deeply fettered by the fact that most </w:t>
      </w:r>
      <w:r w:rsidRPr="00540930">
        <w:rPr>
          <w:rStyle w:val="StyleUnderline"/>
          <w:highlight w:val="green"/>
        </w:rPr>
        <w:t>reservation economies</w:t>
      </w:r>
      <w:r w:rsidRPr="00EC29F9">
        <w:rPr>
          <w:rStyle w:val="StyleUnderline"/>
        </w:rPr>
        <w:t xml:space="preserve"> are only sustainable with the infusion of outside capital</w:t>
      </w:r>
      <w:r w:rsidRPr="00EC29F9">
        <w:rPr>
          <w:sz w:val="14"/>
        </w:rPr>
        <w:t xml:space="preserve"> (Deloria and Lytle 1984). This </w:t>
      </w:r>
      <w:r w:rsidRPr="00EC29F9">
        <w:rPr>
          <w:rStyle w:val="StyleUnderline"/>
        </w:rPr>
        <w:t xml:space="preserve">dependency on outside capital generates a subordinating effect, often </w:t>
      </w:r>
      <w:r w:rsidRPr="00540930">
        <w:rPr>
          <w:rStyle w:val="StyleUnderline"/>
          <w:highlight w:val="green"/>
        </w:rPr>
        <w:t>leav</w:t>
      </w:r>
      <w:r w:rsidRPr="00795318">
        <w:rPr>
          <w:rStyle w:val="StyleUnderline"/>
        </w:rPr>
        <w:t>i</w:t>
      </w:r>
      <w:r w:rsidRPr="00EC29F9">
        <w:rPr>
          <w:rStyle w:val="StyleUnderline"/>
        </w:rPr>
        <w:t xml:space="preserve">ng American </w:t>
      </w:r>
      <w:r w:rsidRPr="00540930">
        <w:rPr>
          <w:rStyle w:val="StyleUnderline"/>
          <w:highlight w:val="green"/>
        </w:rPr>
        <w:t>Indians at the mercy of</w:t>
      </w:r>
      <w:r w:rsidRPr="00EC29F9">
        <w:rPr>
          <w:rStyle w:val="StyleUnderline"/>
        </w:rPr>
        <w:t xml:space="preserve"> venture </w:t>
      </w:r>
      <w:r w:rsidRPr="00540930">
        <w:rPr>
          <w:rStyle w:val="StyleUnderline"/>
          <w:highlight w:val="green"/>
        </w:rPr>
        <w:t>capitalists and whitestream do-gooders</w:t>
      </w:r>
      <w:r w:rsidRPr="00EC29F9">
        <w:rPr>
          <w:rStyle w:val="StyleUnderline"/>
        </w:rPr>
        <w:t xml:space="preserve">. </w:t>
      </w:r>
      <w:r w:rsidRPr="00EC29F9">
        <w:rPr>
          <w:sz w:val="14"/>
        </w:rPr>
        <w:t xml:space="preserve">Emissaries of white justice, private entrepreneurs, and New Age liberals thus descend on reservation communities, forging lucrative careers at the same time they engage in "charitable" practices. Indeed, most of the </w:t>
      </w:r>
      <w:proofErr w:type="gramStart"/>
      <w:r w:rsidRPr="00EC29F9">
        <w:rPr>
          <w:sz w:val="14"/>
        </w:rPr>
        <w:t>business people</w:t>
      </w:r>
      <w:proofErr w:type="gramEnd"/>
      <w:r w:rsidRPr="00EC29F9">
        <w:rPr>
          <w:sz w:val="14"/>
        </w:rPr>
        <w:t xml:space="preserve">, teachers, principals, doctors, and health care professionals in reservation communities are white and most of the laborers, minimum-wagers, underemployed, and unemployed are American Indian. Safely bivouacked in their internal and external compounds, they wield power and broker services by day and, by night, </w:t>
      </w:r>
      <w:proofErr w:type="gramStart"/>
      <w:r w:rsidRPr="00EC29F9">
        <w:rPr>
          <w:sz w:val="14"/>
        </w:rPr>
        <w:t>retreat back</w:t>
      </w:r>
      <w:proofErr w:type="gramEnd"/>
      <w:r w:rsidRPr="00EC29F9">
        <w:rPr>
          <w:sz w:val="14"/>
        </w:rPr>
        <w:t xml:space="preserve"> into the comforts of their bourgeois border towns. Though the social and political impact of "do-gooders" is significant</w:t>
      </w:r>
      <w:r w:rsidRPr="00EC29F9">
        <w:rPr>
          <w:rStyle w:val="StyleUnderline"/>
        </w:rPr>
        <w:t xml:space="preserve">, culture vultures and venture capitalists wreak even more damage as </w:t>
      </w:r>
      <w:r w:rsidRPr="00540930">
        <w:rPr>
          <w:rStyle w:val="StyleUnderline"/>
          <w:highlight w:val="green"/>
        </w:rPr>
        <w:t>they</w:t>
      </w:r>
      <w:r w:rsidRPr="00EC29F9">
        <w:rPr>
          <w:rStyle w:val="StyleUnderline"/>
        </w:rPr>
        <w:t xml:space="preserve"> aim to </w:t>
      </w:r>
      <w:r w:rsidRPr="00540930">
        <w:rPr>
          <w:rStyle w:val="StyleUnderline"/>
          <w:highlight w:val="green"/>
        </w:rPr>
        <w:t>sell everything</w:t>
      </w:r>
      <w:r w:rsidRPr="00EC29F9">
        <w:rPr>
          <w:rStyle w:val="StyleUnderline"/>
        </w:rPr>
        <w:t xml:space="preserve"> Indian, </w:t>
      </w:r>
      <w:proofErr w:type="gramStart"/>
      <w:r w:rsidRPr="00EC29F9">
        <w:rPr>
          <w:rStyle w:val="StyleUnderline"/>
        </w:rPr>
        <w:t xml:space="preserve">from </w:t>
      </w:r>
      <w:r w:rsidRPr="00540930">
        <w:rPr>
          <w:rStyle w:val="StyleUnderline"/>
          <w:highlight w:val="green"/>
        </w:rPr>
        <w:t>Native</w:t>
      </w:r>
      <w:r w:rsidRPr="00EC29F9">
        <w:rPr>
          <w:rStyle w:val="StyleUnderline"/>
        </w:rPr>
        <w:t xml:space="preserve"> art and music,</w:t>
      </w:r>
      <w:proofErr w:type="gramEnd"/>
      <w:r w:rsidRPr="00EC29F9">
        <w:rPr>
          <w:rStyle w:val="StyleUnderline"/>
        </w:rPr>
        <w:t xml:space="preserve"> to spirituality and DNA. </w:t>
      </w:r>
      <w:r w:rsidRPr="00EC29F9">
        <w:rPr>
          <w:sz w:val="14"/>
        </w:rPr>
        <w:t>Indigenous scholar Laurie Ann Whitt (1998) faults late-capitalist views of ownership and property for sustaining cultural imperialism, which she sees as "the central historical dynamic mediating Euro-American/indigenous relations." In particular, she identifies the following two central assumptions of property and ownership as underlying relations of imperialism: (1) the belief that ownership is individually held; and (2) the belief that individual owners have the right to privacy, in both the maintenance and the economic management of their property. Whitt maintains that these "politics of property" have provided the premise under which U.S. imperialists have seized everything from American Indian lands to spiritual traditions and cultural practices (1998, 148). Specifically, the first assumption—that ownership is individually held—is used to negate tribal (collective) "ownership" over Indian lands, spiritual practices, and cultural traditions: If (a) ownership of such "goods" cannot be traced back to a single individual; then, (b) no "one" must own them. This logic is insidiously and explicitly employed by whitestream proprietors to transfer commonly held indigenous "property" to the realm of public domain. Once American Indian "property" is reclassified as material of the public domain, the second assumption of U.S. property law comes into effect, that is, that any individual can claim property formerly in the "public domain" and that such claim bestows private and exclusive ownership thereafter, with all the privacy rights inherent to such ownership. In other words, once the music, art, spiritual, and cultural traditions of American Indians are deemed to be part of the "public domain," they become fair game to anyone seeking to pilfer, copy, and re-create such goods and practices, reaping considerable profits in a capitalist marketplace that craves the exotic and authentic. Therefore, the whitestream politics of property not only fails to discourage the commodification of American Indian goods and traditions but also actively encourages it. The latest and perhaps most egregious form of capitalist profiteering to impact indigenous communities is the quest for genetic materials set in motion by the Human Genome Diversity Project (HGDP). Burrows (1994) reports that indigenous opposition to the project has been extensive and emphatic, and that, in 1993, the Annual Assembly of the World Council of Indigenous Peoples unanimously resolved to "categorically reject and condemn HGDP as it applies to [indigenous peoples'] rights, lives, and dignity" (Burrows 1994, 33). In addition, Whitt (1998) reports that indigenous representatives at the 1993 session of the U.N. Commission on Sustainable Development (CSD) called for a stop to the HGDP. As representatives of those who have been subjected to ethnocide and genocide for five hundred years, delegates questioned why the only alternative to "saving" indigenous peoples being discussed was the collection and storage of indigenous DNA. The delegates argued that such a strategy was just a more sophisticated version of how the remains of indigenous peoples have been collected and stored in museums and scientific institutions for centuries. They argued: "Why don't they address the causes of our being endangered instead of spending $20 million for five years to collect and store us in cold laboratories? If this money will be used instead to provide us with the basic social services and promote our rights as indigenous peoples, then our biodiversity will be protected" (</w:t>
      </w:r>
      <w:proofErr w:type="spellStart"/>
      <w:r w:rsidRPr="00EC29F9">
        <w:rPr>
          <w:sz w:val="14"/>
        </w:rPr>
        <w:t>Tauli</w:t>
      </w:r>
      <w:proofErr w:type="spellEnd"/>
      <w:r w:rsidRPr="00EC29F9">
        <w:rPr>
          <w:sz w:val="14"/>
        </w:rPr>
        <w:t xml:space="preserve">-Corpus 1993, 25). Whether it is land, spiritual practice, or genetic material that is being mined, appropriated, and sold, the logic of domination remains the same—in the eyes of U.S. law and policy the collective rights and concerns of indigenous peoples are considered subordinate to individual rights. Thus, the extension of marketplace logic to the realms of cultural and intellectual property not only extends the power of the whitestream but also diminishes the power of indigenous communities, continuing the project of cultural imperialism that began over five hundred years ago </w:t>
      </w:r>
      <w:proofErr w:type="gramStart"/>
      <w:r w:rsidRPr="00EC29F9">
        <w:rPr>
          <w:sz w:val="14"/>
        </w:rPr>
        <w:t>In</w:t>
      </w:r>
      <w:proofErr w:type="gramEnd"/>
      <w:r w:rsidRPr="00EC29F9">
        <w:rPr>
          <w:sz w:val="14"/>
        </w:rPr>
        <w:t xml:space="preserve"> view of the above, it is clear to see how </w:t>
      </w:r>
      <w:r w:rsidRPr="00795318">
        <w:rPr>
          <w:rStyle w:val="Emphasis"/>
        </w:rPr>
        <w:t xml:space="preserve">postmodernism—the notion of </w:t>
      </w:r>
      <w:r w:rsidRPr="00540930">
        <w:rPr>
          <w:rStyle w:val="Emphasis"/>
          <w:highlight w:val="green"/>
        </w:rPr>
        <w:t>fluid boundaries</w:t>
      </w:r>
      <w:r w:rsidRPr="00795318">
        <w:rPr>
          <w:rStyle w:val="Emphasis"/>
        </w:rPr>
        <w:t xml:space="preserve">, the relativizing of difference and negation of grand narratives—primarily </w:t>
      </w:r>
      <w:r w:rsidRPr="00540930">
        <w:rPr>
          <w:rStyle w:val="Emphasis"/>
          <w:highlight w:val="green"/>
        </w:rPr>
        <w:t>serves whitestream America</w:t>
      </w:r>
      <w:r w:rsidRPr="00795318">
        <w:rPr>
          <w:rStyle w:val="Emphasis"/>
        </w:rPr>
        <w:t>.</w:t>
      </w:r>
      <w:r w:rsidRPr="00EC29F9">
        <w:rPr>
          <w:rStyle w:val="StyleUnderline"/>
        </w:rPr>
        <w:t xml:space="preserve"> The </w:t>
      </w:r>
      <w:proofErr w:type="spellStart"/>
      <w:r w:rsidRPr="00EC29F9">
        <w:rPr>
          <w:rStyle w:val="StyleUnderline"/>
        </w:rPr>
        <w:t>multiphrenia</w:t>
      </w:r>
      <w:proofErr w:type="spellEnd"/>
      <w:r w:rsidRPr="00EC29F9">
        <w:rPr>
          <w:rStyle w:val="StyleUnderline"/>
        </w:rPr>
        <w:t xml:space="preserve"> of </w:t>
      </w:r>
      <w:r w:rsidRPr="00540930">
        <w:rPr>
          <w:rStyle w:val="StyleUnderline"/>
          <w:highlight w:val="green"/>
        </w:rPr>
        <w:t>postmodern</w:t>
      </w:r>
      <w:r w:rsidRPr="00EC29F9">
        <w:rPr>
          <w:rStyle w:val="StyleUnderline"/>
        </w:rPr>
        <w:t xml:space="preserve"> plurality, its "world of simulation" and </w:t>
      </w:r>
      <w:r w:rsidRPr="00540930">
        <w:rPr>
          <w:rStyle w:val="StyleUnderline"/>
          <w:highlight w:val="green"/>
        </w:rPr>
        <w:t>obliteration of</w:t>
      </w:r>
      <w:r w:rsidRPr="00EC29F9">
        <w:rPr>
          <w:rStyle w:val="StyleUnderline"/>
        </w:rPr>
        <w:t xml:space="preserve"> any sense of </w:t>
      </w:r>
      <w:r w:rsidRPr="00540930">
        <w:rPr>
          <w:rStyle w:val="StyleUnderline"/>
          <w:highlight w:val="green"/>
        </w:rPr>
        <w:t>objective reality</w:t>
      </w:r>
      <w:r w:rsidRPr="00EC29F9">
        <w:rPr>
          <w:rStyle w:val="StyleUnderline"/>
        </w:rPr>
        <w:t xml:space="preserve">, </w:t>
      </w:r>
      <w:r w:rsidRPr="00540930">
        <w:rPr>
          <w:rStyle w:val="StyleUnderline"/>
          <w:highlight w:val="green"/>
        </w:rPr>
        <w:t>has given rise to a</w:t>
      </w:r>
      <w:r w:rsidRPr="00EC29F9">
        <w:rPr>
          <w:rStyle w:val="StyleUnderline"/>
        </w:rPr>
        <w:t xml:space="preserve"> frenetic </w:t>
      </w:r>
      <w:r w:rsidRPr="00540930">
        <w:rPr>
          <w:rStyle w:val="StyleUnderline"/>
          <w:highlight w:val="green"/>
        </w:rPr>
        <w:t>search for the "authentic</w:t>
      </w:r>
      <w:r w:rsidRPr="00EC29F9">
        <w:rPr>
          <w:rStyle w:val="StyleUnderline"/>
        </w:rPr>
        <w:t xml:space="preserve">" led by culture vultures </w:t>
      </w:r>
      <w:r w:rsidRPr="00540930">
        <w:rPr>
          <w:rStyle w:val="StyleUnderline"/>
          <w:highlight w:val="green"/>
        </w:rPr>
        <w:t>and</w:t>
      </w:r>
      <w:r w:rsidRPr="00EC29F9">
        <w:rPr>
          <w:rStyle w:val="StyleUnderline"/>
        </w:rPr>
        <w:t xml:space="preserve"> capitalist bandits fraught with "</w:t>
      </w:r>
      <w:r w:rsidRPr="00540930">
        <w:rPr>
          <w:rStyle w:val="StyleUnderline"/>
          <w:highlight w:val="green"/>
        </w:rPr>
        <w:t>imperialist nostalgia</w:t>
      </w:r>
      <w:r w:rsidRPr="00EC29F9">
        <w:rPr>
          <w:rStyle w:val="StyleUnderline"/>
        </w:rPr>
        <w:t>."</w:t>
      </w:r>
      <w:r w:rsidRPr="00EC29F9">
        <w:rPr>
          <w:sz w:val="14"/>
        </w:rPr>
        <w:t xml:space="preserve">25 </w:t>
      </w:r>
      <w:r w:rsidRPr="00EC29F9">
        <w:rPr>
          <w:rStyle w:val="StyleUnderline"/>
        </w:rPr>
        <w:t>In response, American Indian communities have restricted access to the discursive spaces of American Indian culture and identity and the nondiscursive borders of American Indian communities</w:t>
      </w:r>
      <w:r w:rsidRPr="00EC29F9">
        <w:rPr>
          <w:sz w:val="14"/>
        </w:rPr>
        <w:t xml:space="preserve">. In short, </w:t>
      </w:r>
      <w:r w:rsidRPr="00EC29F9">
        <w:rPr>
          <w:rStyle w:val="StyleUnderline"/>
        </w:rPr>
        <w:t xml:space="preserve">the notion of </w:t>
      </w:r>
      <w:r w:rsidRPr="00795318">
        <w:rPr>
          <w:rStyle w:val="Emphasis"/>
        </w:rPr>
        <w:t>fluidity has never worked to the advantage of indigenous peoples.</w:t>
      </w:r>
      <w:r w:rsidRPr="00EC29F9">
        <w:rPr>
          <w:rStyle w:val="StyleUnderline"/>
        </w:rPr>
        <w:t xml:space="preserve"> </w:t>
      </w:r>
      <w:r w:rsidRPr="00540930">
        <w:rPr>
          <w:rStyle w:val="Emphasis"/>
          <w:highlight w:val="green"/>
        </w:rPr>
        <w:t>Federal agencies</w:t>
      </w:r>
      <w:r w:rsidRPr="00795318">
        <w:rPr>
          <w:rStyle w:val="Emphasis"/>
        </w:rPr>
        <w:t xml:space="preserve"> have </w:t>
      </w:r>
      <w:r w:rsidRPr="00540930">
        <w:rPr>
          <w:rStyle w:val="Emphasis"/>
          <w:highlight w:val="green"/>
        </w:rPr>
        <w:t>invoke</w:t>
      </w:r>
      <w:r w:rsidRPr="00795318">
        <w:rPr>
          <w:rStyle w:val="Emphasis"/>
        </w:rPr>
        <w:t xml:space="preserve">d the language of </w:t>
      </w:r>
      <w:r w:rsidRPr="00540930">
        <w:rPr>
          <w:rStyle w:val="Emphasis"/>
          <w:highlight w:val="green"/>
        </w:rPr>
        <w:t>fluid</w:t>
      </w:r>
      <w:r w:rsidRPr="00795318">
        <w:rPr>
          <w:rStyle w:val="Emphasis"/>
        </w:rPr>
        <w:t xml:space="preserve"> or unstable </w:t>
      </w:r>
      <w:r w:rsidRPr="00540930">
        <w:rPr>
          <w:rStyle w:val="Emphasis"/>
          <w:highlight w:val="green"/>
        </w:rPr>
        <w:t>identities</w:t>
      </w:r>
      <w:r w:rsidRPr="00795318">
        <w:rPr>
          <w:rStyle w:val="Emphasis"/>
        </w:rPr>
        <w:t xml:space="preserve"> as the rationale </w:t>
      </w:r>
      <w:r w:rsidRPr="00540930">
        <w:rPr>
          <w:rStyle w:val="Emphasis"/>
          <w:highlight w:val="green"/>
        </w:rPr>
        <w:t>for dismantling</w:t>
      </w:r>
      <w:r w:rsidRPr="00795318">
        <w:rPr>
          <w:rStyle w:val="Emphasis"/>
        </w:rPr>
        <w:t xml:space="preserve"> the structures of </w:t>
      </w:r>
      <w:r w:rsidRPr="00540930">
        <w:rPr>
          <w:rStyle w:val="Emphasis"/>
          <w:highlight w:val="green"/>
        </w:rPr>
        <w:t>tribal life.</w:t>
      </w:r>
      <w:r w:rsidRPr="00795318">
        <w:rPr>
          <w:rStyle w:val="Emphasis"/>
        </w:rPr>
        <w:t xml:space="preserve"> </w:t>
      </w:r>
      <w:r w:rsidRPr="00EC29F9">
        <w:rPr>
          <w:rStyle w:val="StyleUnderline"/>
        </w:rPr>
        <w:t xml:space="preserve">Whitestream America has seized upon the message of relativism to declare open season on Indians, and </w:t>
      </w:r>
      <w:r w:rsidRPr="00540930">
        <w:rPr>
          <w:rStyle w:val="StyleUnderline"/>
          <w:highlight w:val="green"/>
        </w:rPr>
        <w:t>whitestream academics</w:t>
      </w:r>
      <w:r w:rsidRPr="00EC29F9">
        <w:rPr>
          <w:rStyle w:val="StyleUnderline"/>
        </w:rPr>
        <w:t xml:space="preserve"> have </w:t>
      </w:r>
      <w:r w:rsidRPr="00540930">
        <w:rPr>
          <w:rStyle w:val="StyleUnderline"/>
          <w:highlight w:val="green"/>
        </w:rPr>
        <w:t>employ</w:t>
      </w:r>
      <w:r w:rsidRPr="00EC29F9">
        <w:rPr>
          <w:rStyle w:val="StyleUnderline"/>
        </w:rPr>
        <w:t xml:space="preserve">ed the language of </w:t>
      </w:r>
      <w:r w:rsidRPr="00540930">
        <w:rPr>
          <w:rStyle w:val="StyleUnderline"/>
          <w:highlight w:val="green"/>
        </w:rPr>
        <w:t>signification and simulation to transmute centuries of war</w:t>
      </w:r>
      <w:r w:rsidRPr="00EC29F9">
        <w:rPr>
          <w:rStyle w:val="StyleUnderline"/>
        </w:rPr>
        <w:t xml:space="preserve"> between indigenous peoples and their respective nation-states </w:t>
      </w:r>
      <w:r w:rsidRPr="00540930">
        <w:rPr>
          <w:rStyle w:val="StyleUnderline"/>
          <w:highlight w:val="green"/>
        </w:rPr>
        <w:t>into a</w:t>
      </w:r>
      <w:r w:rsidRPr="00EC29F9">
        <w:rPr>
          <w:rStyle w:val="StyleUnderline"/>
        </w:rPr>
        <w:t xml:space="preserve"> "genetic and </w:t>
      </w:r>
      <w:r w:rsidRPr="00540930">
        <w:rPr>
          <w:rStyle w:val="StyleUnderline"/>
          <w:highlight w:val="green"/>
        </w:rPr>
        <w:t>cultural dialogue</w:t>
      </w:r>
      <w:r w:rsidRPr="00EC29F9">
        <w:rPr>
          <w:rStyle w:val="StyleUnderline"/>
        </w:rPr>
        <w:t>"</w:t>
      </w:r>
      <w:r w:rsidRPr="00EC29F9">
        <w:rPr>
          <w:sz w:val="14"/>
        </w:rPr>
        <w:t xml:space="preserve"> (Valle and Tones 1995, 141). Thus</w:t>
      </w:r>
      <w:r w:rsidRPr="00EC29F9">
        <w:rPr>
          <w:rStyle w:val="StyleUnderline"/>
        </w:rPr>
        <w:t xml:space="preserve">, </w:t>
      </w:r>
      <w:proofErr w:type="gramStart"/>
      <w:r w:rsidRPr="00EC29F9">
        <w:rPr>
          <w:rStyle w:val="StyleUnderline"/>
        </w:rPr>
        <w:t>in spite of</w:t>
      </w:r>
      <w:proofErr w:type="gramEnd"/>
      <w:r w:rsidRPr="00EC29F9">
        <w:rPr>
          <w:rStyle w:val="StyleUnderline"/>
        </w:rPr>
        <w:t xml:space="preserve"> its "democratic" promise, </w:t>
      </w:r>
      <w:r w:rsidRPr="00540930">
        <w:rPr>
          <w:rStyle w:val="StyleUnderline"/>
          <w:highlight w:val="green"/>
        </w:rPr>
        <w:t>postmodernism</w:t>
      </w:r>
      <w:r w:rsidRPr="00EC29F9">
        <w:rPr>
          <w:rStyle w:val="StyleUnderline"/>
        </w:rPr>
        <w:t xml:space="preserve"> and its ludic theories of identity </w:t>
      </w:r>
      <w:r w:rsidRPr="00540930">
        <w:rPr>
          <w:rStyle w:val="StyleUnderline"/>
          <w:highlight w:val="green"/>
        </w:rPr>
        <w:t>fail to provide indigenous communities the theoretical</w:t>
      </w:r>
      <w:r w:rsidRPr="00122451">
        <w:rPr>
          <w:rStyle w:val="StyleUnderline"/>
        </w:rPr>
        <w:t xml:space="preserve"> </w:t>
      </w:r>
      <w:r w:rsidRPr="00540930">
        <w:rPr>
          <w:rStyle w:val="StyleUnderline"/>
          <w:highlight w:val="green"/>
        </w:rPr>
        <w:t>grounding for</w:t>
      </w:r>
      <w:r w:rsidRPr="00EC29F9">
        <w:rPr>
          <w:rStyle w:val="StyleUnderline"/>
        </w:rPr>
        <w:t xml:space="preserve"> asserting their claims as colonized peoples, and, more important, </w:t>
      </w:r>
      <w:r w:rsidRPr="00540930">
        <w:rPr>
          <w:rStyle w:val="StyleUnderline"/>
          <w:highlight w:val="green"/>
        </w:rPr>
        <w:t>impede</w:t>
      </w:r>
      <w:r w:rsidRPr="00EC29F9">
        <w:rPr>
          <w:rStyle w:val="StyleUnderline"/>
        </w:rPr>
        <w:t xml:space="preserve"> construction of </w:t>
      </w:r>
      <w:r w:rsidRPr="00540930">
        <w:rPr>
          <w:rStyle w:val="StyleUnderline"/>
          <w:highlight w:val="green"/>
        </w:rPr>
        <w:t>transcendent emancipatory theories</w:t>
      </w:r>
      <w:r w:rsidRPr="00EC29F9">
        <w:rPr>
          <w:rStyle w:val="StyleUnderline"/>
        </w:rPr>
        <w:t xml:space="preserve">. </w:t>
      </w:r>
      <w:r w:rsidRPr="00EC29F9">
        <w:rPr>
          <w:sz w:val="14"/>
        </w:rPr>
        <w:t>Despite the pressures of cultural encroachment and cultural imperialism, however, indigenous communities continue to evolve as sites of political con- testation and cultural empowerment. They manage to survive the dangers of colonialist forces by employing proactive strategies, which emphasize education, empowerment, and self-determination, and defensive tactics that protect against unfettered economic and political encroachment. Thus, whatever else the borders of indigenous communities may or may not demarcate, they continue to serve as potent geographic filters of all that is non-</w:t>
      </w:r>
      <w:proofErr w:type="gramStart"/>
      <w:r w:rsidRPr="00EC29F9">
        <w:rPr>
          <w:sz w:val="14"/>
        </w:rPr>
        <w:t>Indian—dividing</w:t>
      </w:r>
      <w:proofErr w:type="gramEnd"/>
      <w:r w:rsidRPr="00EC29F9">
        <w:rPr>
          <w:sz w:val="14"/>
        </w:rPr>
        <w:t xml:space="preserve"> between the real and metaphoric spaces that differentiate Indian country from the rest of whitestream America. Pedagogical Implications of Postmodern Theories </w:t>
      </w:r>
      <w:r w:rsidRPr="00EC29F9">
        <w:rPr>
          <w:rStyle w:val="StyleUnderline"/>
        </w:rPr>
        <w:t xml:space="preserve">As students learn to navigate the plurality of difference, it is equally important to avoid falling into the (postmodern) trap of relativism. </w:t>
      </w:r>
      <w:r w:rsidRPr="00540930">
        <w:rPr>
          <w:rStyle w:val="StyleUnderline"/>
          <w:highlight w:val="green"/>
        </w:rPr>
        <w:t>A</w:t>
      </w:r>
      <w:r w:rsidRPr="00EC29F9">
        <w:rPr>
          <w:rStyle w:val="StyleUnderline"/>
        </w:rPr>
        <w:t xml:space="preserve"> postmodern </w:t>
      </w:r>
      <w:r w:rsidRPr="00540930">
        <w:rPr>
          <w:rStyle w:val="StyleUnderline"/>
          <w:highlight w:val="green"/>
        </w:rPr>
        <w:t>theory of difference that insists on impartiality masks</w:t>
      </w:r>
      <w:r w:rsidRPr="00EC29F9">
        <w:rPr>
          <w:rStyle w:val="StyleUnderline"/>
        </w:rPr>
        <w:t xml:space="preserve"> the power and </w:t>
      </w:r>
      <w:r w:rsidRPr="00540930">
        <w:rPr>
          <w:rStyle w:val="StyleUnderline"/>
          <w:highlight w:val="green"/>
        </w:rPr>
        <w:t>privilege that underpins whitestream</w:t>
      </w:r>
      <w:r w:rsidRPr="00EC29F9">
        <w:rPr>
          <w:rStyle w:val="StyleUnderline"/>
        </w:rPr>
        <w:t xml:space="preserve"> culture and </w:t>
      </w:r>
      <w:r w:rsidRPr="00540930">
        <w:rPr>
          <w:rStyle w:val="StyleUnderline"/>
          <w:highlight w:val="green"/>
        </w:rPr>
        <w:t>perspectives</w:t>
      </w:r>
      <w:r w:rsidRPr="00EC29F9">
        <w:rPr>
          <w:rStyle w:val="StyleUnderline"/>
        </w:rPr>
        <w:t>.</w:t>
      </w:r>
      <w:r w:rsidRPr="00EC29F9">
        <w:rPr>
          <w:sz w:val="14"/>
        </w:rPr>
        <w:t xml:space="preserve"> In other words, </w:t>
      </w:r>
      <w:r w:rsidRPr="00795318">
        <w:rPr>
          <w:rStyle w:val="StyleUnderline"/>
        </w:rPr>
        <w:t>American</w:t>
      </w:r>
      <w:r w:rsidRPr="00540930">
        <w:rPr>
          <w:rStyle w:val="StyleUnderline"/>
          <w:highlight w:val="green"/>
        </w:rPr>
        <w:t xml:space="preserve"> Indian </w:t>
      </w:r>
      <w:r w:rsidRPr="00795318">
        <w:rPr>
          <w:rStyle w:val="StyleUnderline"/>
        </w:rPr>
        <w:t>student</w:t>
      </w:r>
      <w:r w:rsidRPr="00540930">
        <w:rPr>
          <w:rStyle w:val="StyleUnderline"/>
          <w:highlight w:val="green"/>
        </w:rPr>
        <w:t>s</w:t>
      </w:r>
      <w:r w:rsidRPr="00EC29F9">
        <w:rPr>
          <w:rStyle w:val="StyleUnderline"/>
        </w:rPr>
        <w:t xml:space="preserve"> </w:t>
      </w:r>
      <w:r w:rsidRPr="00540930">
        <w:rPr>
          <w:rStyle w:val="StyleUnderline"/>
          <w:highlight w:val="green"/>
        </w:rPr>
        <w:t xml:space="preserve">do not </w:t>
      </w:r>
      <w:proofErr w:type="gramStart"/>
      <w:r w:rsidRPr="00540930">
        <w:rPr>
          <w:rStyle w:val="StyleUnderline"/>
          <w:highlight w:val="green"/>
        </w:rPr>
        <w:t>enter</w:t>
      </w:r>
      <w:r w:rsidRPr="00EC29F9">
        <w:rPr>
          <w:rStyle w:val="StyleUnderline"/>
        </w:rPr>
        <w:t xml:space="preserve"> into</w:t>
      </w:r>
      <w:proofErr w:type="gramEnd"/>
      <w:r w:rsidRPr="00EC29F9">
        <w:rPr>
          <w:rStyle w:val="StyleUnderline"/>
        </w:rPr>
        <w:t xml:space="preserve"> </w:t>
      </w:r>
      <w:r w:rsidRPr="00540930">
        <w:rPr>
          <w:rStyle w:val="StyleUnderline"/>
          <w:highlight w:val="green"/>
        </w:rPr>
        <w:t>a</w:t>
      </w:r>
      <w:r w:rsidRPr="00EC29F9">
        <w:rPr>
          <w:rStyle w:val="StyleUnderline"/>
        </w:rPr>
        <w:t xml:space="preserve"> social </w:t>
      </w:r>
      <w:r w:rsidRPr="00540930">
        <w:rPr>
          <w:rStyle w:val="StyleUnderline"/>
          <w:highlight w:val="green"/>
        </w:rPr>
        <w:t>space in which identities compete with equal power for legitimacy</w:t>
      </w:r>
      <w:r w:rsidRPr="00EC29F9">
        <w:rPr>
          <w:rStyle w:val="StyleUnderline"/>
        </w:rPr>
        <w:t xml:space="preserve">; rather, </w:t>
      </w:r>
      <w:r w:rsidRPr="00540930">
        <w:rPr>
          <w:rStyle w:val="StyleUnderline"/>
          <w:highlight w:val="green"/>
        </w:rPr>
        <w:t>they are infused into a</w:t>
      </w:r>
      <w:r w:rsidRPr="00EC29F9">
        <w:rPr>
          <w:rStyle w:val="StyleUnderline"/>
        </w:rPr>
        <w:t xml:space="preserve"> political </w:t>
      </w:r>
      <w:r w:rsidRPr="00540930">
        <w:rPr>
          <w:rStyle w:val="StyleUnderline"/>
          <w:highlight w:val="green"/>
        </w:rPr>
        <w:t>terrain that presumes their inferiority</w:t>
      </w:r>
      <w:r w:rsidRPr="00EC29F9">
        <w:rPr>
          <w:sz w:val="14"/>
        </w:rPr>
        <w:t xml:space="preserve">. For example, </w:t>
      </w:r>
      <w:r w:rsidRPr="00EC29F9">
        <w:rPr>
          <w:rStyle w:val="StyleUnderline"/>
        </w:rPr>
        <w:t>postmodern musings of subjectivity as disembodied and free-floating ignore the fact that American Indian students, along with other indigenous peoples, are "engaged with the state in a complex relationship in which there are varying degrees of interdependency at play"</w:t>
      </w:r>
      <w:r w:rsidRPr="00EC29F9">
        <w:rPr>
          <w:sz w:val="14"/>
        </w:rPr>
        <w:t xml:space="preserve"> (Alfred 1999, 85). As such, </w:t>
      </w:r>
      <w:r w:rsidRPr="00EC29F9">
        <w:rPr>
          <w:rStyle w:val="StyleUnderline"/>
        </w:rPr>
        <w:t xml:space="preserve">American </w:t>
      </w:r>
      <w:r w:rsidRPr="00540930">
        <w:rPr>
          <w:rStyle w:val="StyleUnderline"/>
          <w:highlight w:val="green"/>
        </w:rPr>
        <w:t>Indian</w:t>
      </w:r>
      <w:r w:rsidRPr="00EC29F9">
        <w:rPr>
          <w:rStyle w:val="StyleUnderline"/>
        </w:rPr>
        <w:t xml:space="preserve"> student</w:t>
      </w:r>
      <w:r w:rsidRPr="00540930">
        <w:rPr>
          <w:rStyle w:val="StyleUnderline"/>
          <w:highlight w:val="green"/>
        </w:rPr>
        <w:t>s</w:t>
      </w:r>
      <w:r w:rsidRPr="00EC29F9">
        <w:rPr>
          <w:rStyle w:val="StyleUnderline"/>
        </w:rPr>
        <w:t xml:space="preserve"> </w:t>
      </w:r>
      <w:r w:rsidRPr="00540930">
        <w:rPr>
          <w:rStyle w:val="StyleUnderline"/>
          <w:highlight w:val="green"/>
        </w:rPr>
        <w:t>are neither free to "reinvent" themselves nor able to</w:t>
      </w:r>
      <w:r w:rsidRPr="00EC29F9">
        <w:rPr>
          <w:rStyle w:val="StyleUnderline"/>
        </w:rPr>
        <w:t xml:space="preserve"> liberally "</w:t>
      </w:r>
      <w:r w:rsidRPr="00540930">
        <w:rPr>
          <w:rStyle w:val="StyleUnderline"/>
          <w:highlight w:val="green"/>
        </w:rPr>
        <w:t>transgress" borders of difference</w:t>
      </w:r>
      <w:r w:rsidRPr="00EC29F9">
        <w:rPr>
          <w:rStyle w:val="StyleUnderline"/>
        </w:rPr>
        <w:t>, but, rather, remain captive to the determined spaces of colonialist rule. These students experience the binds of the paradox inherent to current modes of identity theory and it becomes increasingly evident that "neither the cold linearity of blood-quantum nor the tortured weakness of self-identification</w:t>
      </w:r>
      <w:r w:rsidRPr="00EC29F9">
        <w:rPr>
          <w:sz w:val="14"/>
        </w:rPr>
        <w:t xml:space="preserve">" </w:t>
      </w:r>
      <w:r w:rsidRPr="00EC29F9">
        <w:rPr>
          <w:rStyle w:val="StyleUnderline"/>
        </w:rPr>
        <w:t>(both systems designed and legitimated by the state</w:t>
      </w:r>
      <w:r w:rsidRPr="00EC29F9">
        <w:rPr>
          <w:sz w:val="14"/>
        </w:rPr>
        <w:t xml:space="preserve">) </w:t>
      </w:r>
      <w:r w:rsidRPr="00EC29F9">
        <w:rPr>
          <w:rStyle w:val="StyleUnderline"/>
        </w:rPr>
        <w:t>will provide them any relief</w:t>
      </w:r>
      <w:r w:rsidRPr="00EC29F9">
        <w:rPr>
          <w:sz w:val="14"/>
        </w:rPr>
        <w:t xml:space="preserve"> (Alfred 1999, 84). Thus, </w:t>
      </w:r>
      <w:r w:rsidRPr="00EC29F9">
        <w:rPr>
          <w:rStyle w:val="StyleUnderline"/>
        </w:rPr>
        <w:t xml:space="preserve">while postmodern theorists rightly question the whole notion of origins and work to disrupt the grand narrative of modernism, its </w:t>
      </w:r>
      <w:proofErr w:type="spellStart"/>
      <w:r w:rsidRPr="00EC29F9">
        <w:rPr>
          <w:rStyle w:val="StyleUnderline"/>
        </w:rPr>
        <w:t>hyperelastic</w:t>
      </w:r>
      <w:proofErr w:type="spellEnd"/>
      <w:r w:rsidRPr="00EC29F9">
        <w:rPr>
          <w:rStyle w:val="StyleUnderline"/>
        </w:rPr>
        <w:t xml:space="preserve"> and all-inclusive categories offer little to no protection against the colonialist forces </w:t>
      </w:r>
      <w:r w:rsidRPr="00EC29F9">
        <w:rPr>
          <w:sz w:val="14"/>
        </w:rPr>
        <w:t>of cultural encroachment and capitalist commodification.</w:t>
      </w:r>
    </w:p>
    <w:p w14:paraId="1E09717B" w14:textId="77777777" w:rsidR="00BC0B8D" w:rsidRDefault="00BC0B8D" w:rsidP="00BC0B8D">
      <w:pPr>
        <w:rPr>
          <w:sz w:val="16"/>
        </w:rPr>
      </w:pPr>
    </w:p>
    <w:p w14:paraId="6B535106" w14:textId="77777777" w:rsidR="00BC0B8D" w:rsidRDefault="00BC0B8D" w:rsidP="00BC0B8D">
      <w:pPr>
        <w:pStyle w:val="Heading4"/>
      </w:pPr>
      <w:r>
        <w:t xml:space="preserve">Rhizomatic politics gets modeled </w:t>
      </w:r>
      <w:proofErr w:type="gramStart"/>
      <w:r>
        <w:t>off of</w:t>
      </w:r>
      <w:proofErr w:type="gramEnd"/>
      <w:r>
        <w:t xml:space="preserve"> settler expansionism – those are the lines of flight represented by settler treaties and individual settlers, designed to smooth spaces of indigeneity </w:t>
      </w:r>
    </w:p>
    <w:p w14:paraId="76584F1C" w14:textId="77777777" w:rsidR="00BC0B8D" w:rsidRPr="003F5E4F" w:rsidRDefault="00BC0B8D" w:rsidP="00BC0B8D">
      <w:pPr>
        <w:rPr>
          <w:sz w:val="12"/>
          <w:szCs w:val="12"/>
        </w:rPr>
      </w:pPr>
      <w:r w:rsidRPr="003F5E4F">
        <w:rPr>
          <w:sz w:val="12"/>
          <w:szCs w:val="12"/>
        </w:rPr>
        <w:t xml:space="preserve">Alex Trimble </w:t>
      </w:r>
      <w:r w:rsidRPr="003F5E4F">
        <w:rPr>
          <w:rStyle w:val="Heading4Char"/>
        </w:rPr>
        <w:t>Young</w:t>
      </w:r>
      <w:r w:rsidRPr="003F5E4F">
        <w:rPr>
          <w:sz w:val="12"/>
          <w:szCs w:val="12"/>
        </w:rPr>
        <w:t xml:space="preserve"> - He is a </w:t>
      </w:r>
      <w:r w:rsidRPr="003F5E4F">
        <w:rPr>
          <w:rStyle w:val="Heading4Char"/>
        </w:rPr>
        <w:t>Copeland Visiting Fellow</w:t>
      </w:r>
      <w:r w:rsidRPr="003F5E4F">
        <w:rPr>
          <w:sz w:val="12"/>
          <w:szCs w:val="12"/>
        </w:rPr>
        <w:t xml:space="preserve"> at Amherst College, His research has garnered multiple national awards, including the American Studies Association’s Comparative Ethnic Studies Prize in 2013, and the Western Literature Association’s J. Golden Taylor Prize in 2010. “Settler Sovereignty and The Rhizomatic West, </w:t>
      </w:r>
      <w:proofErr w:type="gramStart"/>
      <w:r w:rsidRPr="003F5E4F">
        <w:rPr>
          <w:sz w:val="12"/>
          <w:szCs w:val="12"/>
        </w:rPr>
        <w:t>or,</w:t>
      </w:r>
      <w:proofErr w:type="gramEnd"/>
      <w:r w:rsidRPr="003F5E4F">
        <w:rPr>
          <w:sz w:val="12"/>
          <w:szCs w:val="12"/>
        </w:rPr>
        <w:t xml:space="preserve"> The Significance of the Frontier in </w:t>
      </w:r>
      <w:proofErr w:type="spellStart"/>
      <w:r w:rsidRPr="003F5E4F">
        <w:rPr>
          <w:sz w:val="12"/>
          <w:szCs w:val="12"/>
        </w:rPr>
        <w:t>Postwestern</w:t>
      </w:r>
      <w:proofErr w:type="spellEnd"/>
      <w:r w:rsidRPr="003F5E4F">
        <w:rPr>
          <w:sz w:val="12"/>
          <w:szCs w:val="12"/>
        </w:rPr>
        <w:t xml:space="preserve"> Studies.”  WAL 48.1 &amp; 2 (Spring &amp; Summer 20</w:t>
      </w:r>
      <w:r w:rsidRPr="003F5E4F">
        <w:rPr>
          <w:rStyle w:val="Heading4Char"/>
        </w:rPr>
        <w:t>13</w:t>
      </w:r>
      <w:r w:rsidRPr="003F5E4F">
        <w:rPr>
          <w:sz w:val="12"/>
          <w:szCs w:val="12"/>
        </w:rPr>
        <w:t xml:space="preserve">): 115—40. JJN </w:t>
      </w:r>
    </w:p>
    <w:p w14:paraId="34DFCFCC" w14:textId="77777777" w:rsidR="00BC0B8D" w:rsidRDefault="00BC0B8D" w:rsidP="00BC0B8D">
      <w:pPr>
        <w:rPr>
          <w:rStyle w:val="StyleUnderline"/>
        </w:rPr>
      </w:pPr>
      <w:r w:rsidRPr="00EC29F9">
        <w:rPr>
          <w:sz w:val="14"/>
        </w:rPr>
        <w:t xml:space="preserve">In her 2011 monograph The Transit of Empire: Indigenous Critiques of Colonialism, Chickasaw critical theorist Jodi Byrd addresses the relationship between US state power and the rhizome directly in a trenchant critique of Deleuze and </w:t>
      </w:r>
      <w:proofErr w:type="spellStart"/>
      <w:r w:rsidRPr="00EC29F9">
        <w:rPr>
          <w:sz w:val="14"/>
        </w:rPr>
        <w:t>Guattari’s</w:t>
      </w:r>
      <w:proofErr w:type="spellEnd"/>
      <w:r w:rsidRPr="00EC29F9">
        <w:rPr>
          <w:sz w:val="14"/>
        </w:rPr>
        <w:t xml:space="preserve"> investment in frontier logics</w:t>
      </w:r>
      <w:r w:rsidRPr="005628F8">
        <w:rPr>
          <w:rStyle w:val="StyleUnderline"/>
        </w:rPr>
        <w:t xml:space="preserve">: </w:t>
      </w:r>
      <w:r w:rsidRPr="00540930">
        <w:rPr>
          <w:rStyle w:val="StyleUnderline"/>
          <w:highlight w:val="green"/>
        </w:rPr>
        <w:t>Drawing on the paradigmatic Indian wilderness</w:t>
      </w:r>
      <w:r w:rsidRPr="005628F8">
        <w:rPr>
          <w:rStyle w:val="StyleUnderline"/>
        </w:rPr>
        <w:t xml:space="preserve"> </w:t>
      </w:r>
      <w:r w:rsidRPr="00EC29F9">
        <w:rPr>
          <w:rStyle w:val="StyleUnderline"/>
        </w:rPr>
        <w:t>to encapsulate an America in which arborescence becomes rhizomatic</w:t>
      </w:r>
      <w:r w:rsidRPr="00EC29F9">
        <w:rPr>
          <w:sz w:val="14"/>
        </w:rPr>
        <w:t xml:space="preserve">, </w:t>
      </w:r>
      <w:r w:rsidRPr="005628F8">
        <w:rPr>
          <w:rStyle w:val="StyleUnderline"/>
        </w:rPr>
        <w:t>A Thousand Plateaus</w:t>
      </w:r>
      <w:r w:rsidRPr="00EC29F9">
        <w:rPr>
          <w:rStyle w:val="StyleUnderline"/>
        </w:rPr>
        <w:t xml:space="preserve"> performs a global, nomadic reframing in which </w:t>
      </w:r>
      <w:r w:rsidRPr="00540930">
        <w:rPr>
          <w:rStyle w:val="StyleUnderline"/>
          <w:highlight w:val="green"/>
        </w:rPr>
        <w:t>the frontier becomes</w:t>
      </w:r>
      <w:r w:rsidRPr="00EC29F9">
        <w:rPr>
          <w:sz w:val="14"/>
        </w:rPr>
        <w:t xml:space="preserve">, again, Frederick Jackson Turner’s </w:t>
      </w:r>
      <w:r w:rsidRPr="00540930">
        <w:rPr>
          <w:rStyle w:val="StyleUnderline"/>
          <w:highlight w:val="green"/>
        </w:rPr>
        <w:t>site of transformatio</w:t>
      </w:r>
      <w:r w:rsidRPr="00EC29F9">
        <w:rPr>
          <w:rStyle w:val="StyleUnderline"/>
        </w:rPr>
        <w:t>n, possibility, and mappin</w:t>
      </w:r>
      <w:r w:rsidRPr="00EC29F9">
        <w:rPr>
          <w:sz w:val="14"/>
        </w:rPr>
        <w:t xml:space="preserve">g. … </w:t>
      </w:r>
      <w:r w:rsidRPr="00EC29F9">
        <w:rPr>
          <w:rStyle w:val="StyleUnderline"/>
        </w:rPr>
        <w:t xml:space="preserve">The </w:t>
      </w:r>
      <w:r w:rsidRPr="00540930">
        <w:rPr>
          <w:rStyle w:val="StyleUnderline"/>
          <w:highlight w:val="green"/>
        </w:rPr>
        <w:t>maps of settler colonialism were always</w:t>
      </w:r>
      <w:r w:rsidRPr="005628F8">
        <w:rPr>
          <w:rStyle w:val="StyleUnderline"/>
        </w:rPr>
        <w:t xml:space="preserve"> a</w:t>
      </w:r>
      <w:r w:rsidRPr="00EC29F9">
        <w:rPr>
          <w:rStyle w:val="StyleUnderline"/>
        </w:rPr>
        <w:t xml:space="preserve">lready </w:t>
      </w:r>
      <w:r w:rsidRPr="00540930">
        <w:rPr>
          <w:rStyle w:val="StyleUnderline"/>
          <w:highlight w:val="green"/>
        </w:rPr>
        <w:t>proliferative,</w:t>
      </w:r>
      <w:r w:rsidRPr="00EC29F9">
        <w:rPr>
          <w:rStyle w:val="StyleUnderline"/>
        </w:rPr>
        <w:t xml:space="preserve"> the nation state’s borders were always perforated, and the </w:t>
      </w:r>
      <w:r w:rsidRPr="00540930">
        <w:rPr>
          <w:rStyle w:val="StyleUnderline"/>
          <w:highlight w:val="green"/>
        </w:rPr>
        <w:t>US lines of flight across treaties with indigenous nations were</w:t>
      </w:r>
      <w:r w:rsidRPr="00EC29F9">
        <w:rPr>
          <w:rStyle w:val="StyleUnderline"/>
        </w:rPr>
        <w:t xml:space="preserve"> always </w:t>
      </w:r>
      <w:r w:rsidRPr="00540930">
        <w:rPr>
          <w:rStyle w:val="StyleUnderline"/>
          <w:highlight w:val="green"/>
        </w:rPr>
        <w:t>rhizomatic</w:t>
      </w:r>
      <w:r w:rsidRPr="00EC29F9">
        <w:rPr>
          <w:rStyle w:val="StyleUnderline"/>
        </w:rPr>
        <w:t xml:space="preserve"> and fluid rather than hierarchical, linear, and coherent, located not just in the nation-state but </w:t>
      </w:r>
      <w:r w:rsidRPr="00540930">
        <w:rPr>
          <w:rStyle w:val="StyleUnderline"/>
          <w:highlight w:val="green"/>
        </w:rPr>
        <w:t>within</w:t>
      </w:r>
      <w:r w:rsidRPr="00EC29F9">
        <w:rPr>
          <w:rStyle w:val="StyleUnderline"/>
        </w:rPr>
        <w:t xml:space="preserve"> the </w:t>
      </w:r>
      <w:r w:rsidRPr="00540930">
        <w:rPr>
          <w:rStyle w:val="StyleUnderline"/>
          <w:highlight w:val="green"/>
        </w:rPr>
        <w:t>individual settlers</w:t>
      </w:r>
      <w:r w:rsidRPr="00EC29F9">
        <w:rPr>
          <w:rStyle w:val="StyleUnderline"/>
        </w:rPr>
        <w:t xml:space="preserve"> and </w:t>
      </w:r>
      <w:proofErr w:type="spellStart"/>
      <w:r w:rsidRPr="00EC29F9">
        <w:rPr>
          <w:rStyle w:val="StyleUnderline"/>
        </w:rPr>
        <w:t>arrivants</w:t>
      </w:r>
      <w:proofErr w:type="spellEnd"/>
      <w:r w:rsidRPr="00EC29F9">
        <w:rPr>
          <w:rStyle w:val="StyleUnderline"/>
        </w:rPr>
        <w:t xml:space="preserve"> who saw indigenous lands as profit, fortune, and equality</w:t>
      </w:r>
      <w:r w:rsidRPr="00EC29F9">
        <w:rPr>
          <w:sz w:val="14"/>
        </w:rPr>
        <w:t xml:space="preserve">. (13) For Byrd, </w:t>
      </w:r>
      <w:r w:rsidRPr="00EC29F9">
        <w:rPr>
          <w:rStyle w:val="StyleUnderline"/>
        </w:rPr>
        <w:t>t</w:t>
      </w:r>
      <w:r w:rsidRPr="005628F8">
        <w:rPr>
          <w:rStyle w:val="Emphasis"/>
        </w:rPr>
        <w:t xml:space="preserve">he </w:t>
      </w:r>
      <w:r w:rsidRPr="00540930">
        <w:rPr>
          <w:rStyle w:val="Emphasis"/>
          <w:highlight w:val="green"/>
        </w:rPr>
        <w:t xml:space="preserve">power exerted </w:t>
      </w:r>
      <w:r w:rsidRPr="005628F8">
        <w:rPr>
          <w:rStyle w:val="Emphasis"/>
        </w:rPr>
        <w:t xml:space="preserve">over indigenous peoples </w:t>
      </w:r>
      <w:r w:rsidRPr="00540930">
        <w:rPr>
          <w:rStyle w:val="Emphasis"/>
          <w:highlight w:val="green"/>
        </w:rPr>
        <w:t>during settler conquest is not</w:t>
      </w:r>
      <w:r w:rsidRPr="005628F8">
        <w:rPr>
          <w:rStyle w:val="Emphasis"/>
        </w:rPr>
        <w:t xml:space="preserve"> “always </w:t>
      </w:r>
      <w:r w:rsidRPr="00540930">
        <w:rPr>
          <w:rStyle w:val="Emphasis"/>
          <w:highlight w:val="green"/>
        </w:rPr>
        <w:t>arborescent” but</w:t>
      </w:r>
      <w:r w:rsidRPr="005628F8">
        <w:rPr>
          <w:rStyle w:val="Emphasis"/>
        </w:rPr>
        <w:t xml:space="preserve"> rather </w:t>
      </w:r>
      <w:r w:rsidRPr="00540930">
        <w:rPr>
          <w:rStyle w:val="Emphasis"/>
          <w:highlight w:val="green"/>
        </w:rPr>
        <w:t>expressed via</w:t>
      </w:r>
      <w:r w:rsidRPr="005628F8">
        <w:rPr>
          <w:rStyle w:val="Emphasis"/>
        </w:rPr>
        <w:t xml:space="preserve"> the very </w:t>
      </w:r>
      <w:r w:rsidRPr="00540930">
        <w:rPr>
          <w:rStyle w:val="Emphasis"/>
          <w:highlight w:val="green"/>
        </w:rPr>
        <w:t>rhizomatic lines of flight that transgress the</w:t>
      </w:r>
      <w:r w:rsidRPr="005628F8">
        <w:rPr>
          <w:rStyle w:val="Emphasis"/>
        </w:rPr>
        <w:t xml:space="preserve"> coherent </w:t>
      </w:r>
      <w:r w:rsidRPr="00540930">
        <w:rPr>
          <w:rStyle w:val="Emphasis"/>
          <w:highlight w:val="green"/>
        </w:rPr>
        <w:t>juridical order of the</w:t>
      </w:r>
      <w:r w:rsidRPr="005628F8">
        <w:rPr>
          <w:rStyle w:val="Emphasis"/>
        </w:rPr>
        <w:t xml:space="preserve"> settler </w:t>
      </w:r>
      <w:r w:rsidRPr="00540930">
        <w:rPr>
          <w:rStyle w:val="Emphasis"/>
          <w:highlight w:val="green"/>
        </w:rPr>
        <w:t>state</w:t>
      </w:r>
      <w:r w:rsidRPr="005628F8">
        <w:rPr>
          <w:rStyle w:val="Emphasis"/>
        </w:rPr>
        <w:t>, here represented by the treaties that were supposed to guarantee the containment of settler expansion.</w:t>
      </w:r>
      <w:r w:rsidRPr="00EC29F9">
        <w:rPr>
          <w:rStyle w:val="StyleUnderline"/>
        </w:rPr>
        <w:t xml:space="preserve"> While these frontier “lines of flight” did offer the potential of newfound material and formal freedoms for settlers and </w:t>
      </w:r>
      <w:proofErr w:type="spellStart"/>
      <w:r w:rsidRPr="00EC29F9">
        <w:rPr>
          <w:rStyle w:val="StyleUnderline"/>
        </w:rPr>
        <w:t>arrivants</w:t>
      </w:r>
      <w:proofErr w:type="spellEnd"/>
      <w:r w:rsidRPr="00EC29F9">
        <w:rPr>
          <w:rStyle w:val="StyleUnderline"/>
        </w:rPr>
        <w:t xml:space="preserve">, the </w:t>
      </w:r>
      <w:r w:rsidRPr="00540930">
        <w:rPr>
          <w:rStyle w:val="StyleUnderline"/>
          <w:highlight w:val="green"/>
        </w:rPr>
        <w:t>rhizomatic expansion</w:t>
      </w:r>
      <w:r w:rsidRPr="00EC29F9">
        <w:rPr>
          <w:rStyle w:val="StyleUnderline"/>
        </w:rPr>
        <w:t xml:space="preserve"> of settler society also </w:t>
      </w:r>
      <w:r w:rsidRPr="00540930">
        <w:rPr>
          <w:rStyle w:val="Emphasis"/>
          <w:highlight w:val="green"/>
        </w:rPr>
        <w:t>consigned indigenous lands and</w:t>
      </w:r>
      <w:r w:rsidRPr="005628F8">
        <w:rPr>
          <w:rStyle w:val="Emphasis"/>
        </w:rPr>
        <w:t xml:space="preserve"> indigenous </w:t>
      </w:r>
      <w:r w:rsidRPr="00540930">
        <w:rPr>
          <w:rStyle w:val="Emphasis"/>
          <w:highlight w:val="green"/>
        </w:rPr>
        <w:t>peoples</w:t>
      </w:r>
      <w:r w:rsidRPr="005628F8">
        <w:rPr>
          <w:rStyle w:val="Emphasis"/>
        </w:rPr>
        <w:t xml:space="preserve"> themselves </w:t>
      </w:r>
      <w:r w:rsidRPr="00540930">
        <w:rPr>
          <w:rStyle w:val="Emphasis"/>
          <w:highlight w:val="green"/>
        </w:rPr>
        <w:t>to the role of</w:t>
      </w:r>
      <w:r w:rsidRPr="005628F8">
        <w:rPr>
          <w:rStyle w:val="Emphasis"/>
        </w:rPr>
        <w:t xml:space="preserve"> the “apparently </w:t>
      </w:r>
      <w:r w:rsidRPr="00540930">
        <w:rPr>
          <w:rStyle w:val="Emphasis"/>
          <w:highlight w:val="green"/>
        </w:rPr>
        <w:t>open space</w:t>
      </w:r>
      <w:r w:rsidRPr="00EC29F9">
        <w:rPr>
          <w:rStyle w:val="StyleUnderline"/>
        </w:rPr>
        <w:t xml:space="preserve">,” the “transit” across which settler empire expands For Byrd, the danger of embracing </w:t>
      </w:r>
      <w:proofErr w:type="spellStart"/>
      <w:r w:rsidRPr="00EC29F9">
        <w:rPr>
          <w:rStyle w:val="StyleUnderline"/>
        </w:rPr>
        <w:t>Deleuzian</w:t>
      </w:r>
      <w:proofErr w:type="spellEnd"/>
      <w:r w:rsidRPr="00EC29F9">
        <w:rPr>
          <w:rStyle w:val="StyleUnderline"/>
        </w:rPr>
        <w:t xml:space="preserve"> </w:t>
      </w:r>
      <w:proofErr w:type="spellStart"/>
      <w:r w:rsidRPr="00EC29F9">
        <w:rPr>
          <w:rStyle w:val="StyleUnderline"/>
        </w:rPr>
        <w:t>rhizomatics</w:t>
      </w:r>
      <w:proofErr w:type="spellEnd"/>
      <w:r w:rsidRPr="00EC29F9">
        <w:rPr>
          <w:rStyle w:val="StyleUnderline"/>
        </w:rPr>
        <w:t xml:space="preserve"> as a paradigm for cultural studies lies in Deleuze and </w:t>
      </w:r>
      <w:proofErr w:type="spellStart"/>
      <w:r w:rsidRPr="00EC29F9">
        <w:rPr>
          <w:rStyle w:val="StyleUnderline"/>
        </w:rPr>
        <w:t>Guattari’s</w:t>
      </w:r>
      <w:proofErr w:type="spellEnd"/>
      <w:r w:rsidRPr="00EC29F9">
        <w:rPr>
          <w:rStyle w:val="StyleUnderline"/>
        </w:rPr>
        <w:t xml:space="preserve"> tendency to imagine countercultural assemblages as modeled on the rhizomatic form of settler expansion</w:t>
      </w:r>
      <w:r w:rsidRPr="00EC29F9">
        <w:rPr>
          <w:sz w:val="14"/>
        </w:rPr>
        <w:t xml:space="preserve">, as well as in their penchant for citing questionable ethnographic evidence regarding American Indians in their work. Byrd argues that Deleuze and </w:t>
      </w:r>
      <w:proofErr w:type="spellStart"/>
      <w:r w:rsidRPr="00EC29F9">
        <w:rPr>
          <w:sz w:val="14"/>
        </w:rPr>
        <w:t>Guattari</w:t>
      </w:r>
      <w:proofErr w:type="spellEnd"/>
      <w:r w:rsidRPr="00EC29F9">
        <w:rPr>
          <w:sz w:val="14"/>
        </w:rPr>
        <w:t xml:space="preserve"> perform multiple acts of cultural appropriation, scholarly performances akin to those outlined by Philip Deloria in Playing Indian (1998), whereby the “left intellectual … steps forward to ventriloquize the speaking Indian by transforming the becoming- into replacing-Indian” (Byrd 16). Byrd goes on to perform readings of the many such acts of ethnographic ventriloquism in A Thousand Plateaus, lingering on a consideration of their enthusiasm for the work of the fraudulent anthropologist and the new age guru Carlos Castaneda’s writings on Yaqui spirituality.12 Byrd warns that multiple cultural studies works inflected by </w:t>
      </w:r>
      <w:proofErr w:type="spellStart"/>
      <w:r w:rsidRPr="00EC29F9">
        <w:rPr>
          <w:sz w:val="14"/>
        </w:rPr>
        <w:t>Deleuzian</w:t>
      </w:r>
      <w:proofErr w:type="spellEnd"/>
      <w:r w:rsidRPr="00EC29F9">
        <w:rPr>
          <w:sz w:val="14"/>
        </w:rPr>
        <w:t xml:space="preserve"> thought “flow from the phrase ‘Experiment, don’t signify or interpret!’” that Deleuze and </w:t>
      </w:r>
      <w:proofErr w:type="spellStart"/>
      <w:r w:rsidRPr="00EC29F9">
        <w:rPr>
          <w:sz w:val="14"/>
        </w:rPr>
        <w:t>Guattari</w:t>
      </w:r>
      <w:proofErr w:type="spellEnd"/>
      <w:r w:rsidRPr="00EC29F9">
        <w:rPr>
          <w:sz w:val="14"/>
        </w:rPr>
        <w:t xml:space="preserve"> read as the central injunction of Castaneda’s work (18). This slogan “functions as a call for transformational new worlds of relation and relationship that move us toward a joyously </w:t>
      </w:r>
      <w:proofErr w:type="spellStart"/>
      <w:r w:rsidRPr="00EC29F9">
        <w:rPr>
          <w:sz w:val="14"/>
        </w:rPr>
        <w:t>cacaphonic</w:t>
      </w:r>
      <w:proofErr w:type="spellEnd"/>
      <w:r w:rsidRPr="00EC29F9">
        <w:rPr>
          <w:sz w:val="14"/>
        </w:rPr>
        <w:t xml:space="preserve"> multiplicity and away from the lived colonial conditions of indigeneity within the </w:t>
      </w:r>
      <w:proofErr w:type="spellStart"/>
      <w:r w:rsidRPr="00EC29F9">
        <w:rPr>
          <w:sz w:val="14"/>
        </w:rPr>
        <w:t>postcolonizing</w:t>
      </w:r>
      <w:proofErr w:type="spellEnd"/>
      <w:r w:rsidRPr="00EC29F9">
        <w:rPr>
          <w:sz w:val="14"/>
        </w:rPr>
        <w:t xml:space="preserve"> settler society” (Byrd 18). Byrd goes on to argue that this motif, “even if it acknowledges all the divergent discourses that come into race, gender, sexual, and class assemblages,” “</w:t>
      </w:r>
      <w:proofErr w:type="spellStart"/>
      <w:r w:rsidRPr="00EC29F9">
        <w:rPr>
          <w:sz w:val="14"/>
        </w:rPr>
        <w:t>smoothes</w:t>
      </w:r>
      <w:proofErr w:type="spellEnd"/>
      <w:r w:rsidRPr="00EC29F9">
        <w:rPr>
          <w:sz w:val="14"/>
        </w:rPr>
        <w:t xml:space="preserve">” the social field “once again into uncultivated wilderness that allows any trajectory or cultivation to enter it, but not arise from it” (18). The Rhizomatic West (Bank): Frontier Complexity and the Settler State To better understand Byrd’s somewhat recondite point about Deleuze and </w:t>
      </w:r>
      <w:proofErr w:type="spellStart"/>
      <w:r w:rsidRPr="00EC29F9">
        <w:rPr>
          <w:sz w:val="14"/>
        </w:rPr>
        <w:t>Guattari’s</w:t>
      </w:r>
      <w:proofErr w:type="spellEnd"/>
      <w:r w:rsidRPr="00EC29F9">
        <w:rPr>
          <w:sz w:val="14"/>
        </w:rPr>
        <w:t xml:space="preserve"> rhetoric of rhizomatic “lines of flight” and the “smoothing” of social space, it is useful to consider a contemporary example of how one settler society has put these concepts to use in the field, as it were. </w:t>
      </w:r>
      <w:r w:rsidRPr="00EC29F9">
        <w:rPr>
          <w:rStyle w:val="StyleUnderline"/>
        </w:rPr>
        <w:t xml:space="preserve">The work of Israeli scholar </w:t>
      </w:r>
      <w:proofErr w:type="spellStart"/>
      <w:r w:rsidRPr="00EC29F9">
        <w:rPr>
          <w:rStyle w:val="StyleUnderline"/>
        </w:rPr>
        <w:t>Eyal</w:t>
      </w:r>
      <w:proofErr w:type="spellEnd"/>
      <w:r w:rsidRPr="00EC29F9">
        <w:rPr>
          <w:rStyle w:val="StyleUnderline"/>
        </w:rPr>
        <w:t xml:space="preserve"> </w:t>
      </w:r>
      <w:proofErr w:type="spellStart"/>
      <w:r w:rsidRPr="00EC29F9">
        <w:rPr>
          <w:rStyle w:val="StyleUnderline"/>
        </w:rPr>
        <w:t>Weizman</w:t>
      </w:r>
      <w:proofErr w:type="spellEnd"/>
      <w:r w:rsidRPr="00EC29F9">
        <w:rPr>
          <w:rStyle w:val="StyleUnderline"/>
        </w:rPr>
        <w:t xml:space="preserve"> </w:t>
      </w:r>
      <w:r w:rsidRPr="00EC29F9">
        <w:rPr>
          <w:sz w:val="14"/>
        </w:rPr>
        <w:t xml:space="preserve">famously </w:t>
      </w:r>
      <w:r w:rsidRPr="00EC29F9">
        <w:rPr>
          <w:rStyle w:val="StyleUnderline"/>
        </w:rPr>
        <w:t xml:space="preserve">explores how </w:t>
      </w:r>
      <w:r w:rsidRPr="00540930">
        <w:rPr>
          <w:rStyle w:val="StyleUnderline"/>
          <w:highlight w:val="green"/>
        </w:rPr>
        <w:t>the</w:t>
      </w:r>
      <w:r w:rsidRPr="00EC29F9">
        <w:rPr>
          <w:rStyle w:val="StyleUnderline"/>
        </w:rPr>
        <w:t xml:space="preserve"> Israeli Defense Forces</w:t>
      </w:r>
      <w:r w:rsidRPr="00EC29F9">
        <w:rPr>
          <w:sz w:val="14"/>
        </w:rPr>
        <w:t xml:space="preserve"> </w:t>
      </w:r>
      <w:r w:rsidRPr="00540930">
        <w:rPr>
          <w:sz w:val="14"/>
          <w:highlight w:val="green"/>
        </w:rPr>
        <w:t>(</w:t>
      </w:r>
      <w:r w:rsidRPr="00540930">
        <w:rPr>
          <w:rStyle w:val="StyleUnderline"/>
          <w:highlight w:val="green"/>
        </w:rPr>
        <w:t>IDF</w:t>
      </w:r>
      <w:r w:rsidRPr="00EC29F9">
        <w:rPr>
          <w:sz w:val="14"/>
        </w:rPr>
        <w:t xml:space="preserve">) </w:t>
      </w:r>
      <w:r w:rsidRPr="00540930">
        <w:rPr>
          <w:rStyle w:val="StyleUnderline"/>
          <w:highlight w:val="green"/>
        </w:rPr>
        <w:t>employ</w:t>
      </w:r>
      <w:r w:rsidRPr="00EC29F9">
        <w:rPr>
          <w:sz w:val="14"/>
        </w:rPr>
        <w:t xml:space="preserve"> the </w:t>
      </w:r>
      <w:r w:rsidRPr="00EC29F9">
        <w:rPr>
          <w:rStyle w:val="StyleUnderline"/>
        </w:rPr>
        <w:t xml:space="preserve">writings of </w:t>
      </w:r>
      <w:r w:rsidRPr="00540930">
        <w:rPr>
          <w:rStyle w:val="StyleUnderline"/>
          <w:highlight w:val="green"/>
        </w:rPr>
        <w:t>D</w:t>
      </w:r>
      <w:r w:rsidRPr="00EC29F9">
        <w:rPr>
          <w:rStyle w:val="StyleUnderline"/>
        </w:rPr>
        <w:t xml:space="preserve">eleuze </w:t>
      </w:r>
      <w:r w:rsidRPr="00540930">
        <w:rPr>
          <w:rStyle w:val="StyleUnderline"/>
          <w:highlight w:val="green"/>
        </w:rPr>
        <w:t>and</w:t>
      </w:r>
      <w:r w:rsidRPr="00EC29F9">
        <w:rPr>
          <w:rStyle w:val="StyleUnderline"/>
        </w:rPr>
        <w:t xml:space="preserve"> </w:t>
      </w:r>
      <w:proofErr w:type="spellStart"/>
      <w:r w:rsidRPr="00540930">
        <w:rPr>
          <w:rStyle w:val="StyleUnderline"/>
          <w:highlight w:val="green"/>
        </w:rPr>
        <w:t>G</w:t>
      </w:r>
      <w:r w:rsidRPr="00EC29F9">
        <w:rPr>
          <w:rStyle w:val="StyleUnderline"/>
        </w:rPr>
        <w:t>uattari</w:t>
      </w:r>
      <w:proofErr w:type="spellEnd"/>
      <w:r w:rsidRPr="00EC29F9">
        <w:rPr>
          <w:rStyle w:val="StyleUnderline"/>
        </w:rPr>
        <w:t xml:space="preserve"> </w:t>
      </w:r>
      <w:r w:rsidRPr="00540930">
        <w:rPr>
          <w:rStyle w:val="StyleUnderline"/>
          <w:highlight w:val="green"/>
        </w:rPr>
        <w:t>in training</w:t>
      </w:r>
      <w:r w:rsidRPr="00EC29F9">
        <w:rPr>
          <w:rStyle w:val="StyleUnderline"/>
        </w:rPr>
        <w:t xml:space="preserve"> their field commanders. In an interview with General Shimon </w:t>
      </w:r>
      <w:proofErr w:type="spellStart"/>
      <w:r w:rsidRPr="00EC29F9">
        <w:rPr>
          <w:rStyle w:val="StyleUnderline"/>
        </w:rPr>
        <w:t>Naveh</w:t>
      </w:r>
      <w:proofErr w:type="spellEnd"/>
      <w:r w:rsidRPr="00EC29F9">
        <w:rPr>
          <w:rStyle w:val="StyleUnderline"/>
        </w:rPr>
        <w:t xml:space="preserve">, </w:t>
      </w:r>
      <w:proofErr w:type="spellStart"/>
      <w:r w:rsidRPr="00EC29F9">
        <w:rPr>
          <w:rStyle w:val="StyleUnderline"/>
        </w:rPr>
        <w:t>Weizman</w:t>
      </w:r>
      <w:proofErr w:type="spellEnd"/>
      <w:r w:rsidRPr="00EC29F9">
        <w:rPr>
          <w:rStyle w:val="StyleUnderline"/>
        </w:rPr>
        <w:t xml:space="preserve"> reveals how A Thousand Plateaus has proven an especially fruitful text for the IDF:</w:t>
      </w:r>
      <w:r w:rsidRPr="00EC29F9">
        <w:rPr>
          <w:sz w:val="14"/>
        </w:rPr>
        <w:t xml:space="preserve"> [</w:t>
      </w:r>
      <w:proofErr w:type="spellStart"/>
      <w:r w:rsidRPr="00EC29F9">
        <w:rPr>
          <w:sz w:val="14"/>
        </w:rPr>
        <w:t>Naveh</w:t>
      </w:r>
      <w:proofErr w:type="spellEnd"/>
      <w:r w:rsidRPr="00EC29F9">
        <w:rPr>
          <w:sz w:val="14"/>
        </w:rPr>
        <w:t xml:space="preserve"> said that] “several of the concepts in A Thousand </w:t>
      </w:r>
      <w:proofErr w:type="spellStart"/>
      <w:r w:rsidRPr="00EC29F9">
        <w:rPr>
          <w:sz w:val="14"/>
        </w:rPr>
        <w:t>Plateaux</w:t>
      </w:r>
      <w:proofErr w:type="spellEnd"/>
      <w:r w:rsidRPr="00EC29F9">
        <w:rPr>
          <w:sz w:val="14"/>
        </w:rPr>
        <w:t xml:space="preserve"> [sic] became instrumental for us. … </w:t>
      </w:r>
      <w:r w:rsidRPr="00EC29F9">
        <w:rPr>
          <w:rStyle w:val="StyleUnderline"/>
        </w:rPr>
        <w:t xml:space="preserve">Most important was </w:t>
      </w:r>
      <w:r w:rsidRPr="00540930">
        <w:rPr>
          <w:rStyle w:val="StyleUnderline"/>
          <w:highlight w:val="green"/>
        </w:rPr>
        <w:t>the distinction</w:t>
      </w:r>
      <w:r w:rsidRPr="00EC29F9">
        <w:rPr>
          <w:rStyle w:val="StyleUnderline"/>
        </w:rPr>
        <w:t xml:space="preserve"> they have pointed out </w:t>
      </w:r>
      <w:r w:rsidRPr="00540930">
        <w:rPr>
          <w:rStyle w:val="StyleUnderline"/>
          <w:highlight w:val="green"/>
        </w:rPr>
        <w:t>between</w:t>
      </w:r>
      <w:r w:rsidRPr="00EC29F9">
        <w:rPr>
          <w:sz w:val="14"/>
        </w:rPr>
        <w:t xml:space="preserve"> the concepts of ‘</w:t>
      </w:r>
      <w:r w:rsidRPr="00540930">
        <w:rPr>
          <w:rStyle w:val="StyleUnderline"/>
          <w:highlight w:val="green"/>
        </w:rPr>
        <w:t>smooth’ and ‘striated’ space</w:t>
      </w:r>
      <w:r w:rsidRPr="00EC29F9">
        <w:rPr>
          <w:rStyle w:val="StyleUnderline"/>
        </w:rPr>
        <w:t>.</w:t>
      </w:r>
      <w:r w:rsidRPr="00EC29F9">
        <w:rPr>
          <w:sz w:val="14"/>
        </w:rPr>
        <w:t xml:space="preserve"> … </w:t>
      </w:r>
      <w:r w:rsidRPr="00EC29F9">
        <w:rPr>
          <w:rStyle w:val="StyleUnderline"/>
        </w:rPr>
        <w:t>In the IDF we now often use the term ‘to smooth out space’ when we want to refer to operation in a space as if it had no borders</w:t>
      </w:r>
      <w:r w:rsidRPr="00EC29F9">
        <w:rPr>
          <w:sz w:val="14"/>
        </w:rPr>
        <w:t xml:space="preserve">. </w:t>
      </w:r>
      <w:r w:rsidRPr="00540930">
        <w:rPr>
          <w:sz w:val="14"/>
          <w:highlight w:val="green"/>
        </w:rPr>
        <w:t xml:space="preserve">… </w:t>
      </w:r>
      <w:r w:rsidRPr="00540930">
        <w:rPr>
          <w:rStyle w:val="StyleUnderline"/>
          <w:highlight w:val="green"/>
        </w:rPr>
        <w:t>Palestinian areas could</w:t>
      </w:r>
      <w:r w:rsidRPr="00EC29F9">
        <w:rPr>
          <w:sz w:val="14"/>
        </w:rPr>
        <w:t xml:space="preserve"> indeed </w:t>
      </w:r>
      <w:r w:rsidRPr="00540930">
        <w:rPr>
          <w:rStyle w:val="StyleUnderline"/>
          <w:highlight w:val="green"/>
        </w:rPr>
        <w:t>be</w:t>
      </w:r>
      <w:r w:rsidRPr="00EC29F9">
        <w:rPr>
          <w:rStyle w:val="StyleUnderline"/>
        </w:rPr>
        <w:t xml:space="preserve"> thought of as “</w:t>
      </w:r>
      <w:r w:rsidRPr="00540930">
        <w:rPr>
          <w:rStyle w:val="StyleUnderline"/>
          <w:highlight w:val="green"/>
        </w:rPr>
        <w:t>striated</w:t>
      </w:r>
      <w:r w:rsidRPr="00EC29F9">
        <w:rPr>
          <w:rStyle w:val="StyleUnderline"/>
        </w:rPr>
        <w:t xml:space="preserve">” in the sense that </w:t>
      </w:r>
      <w:r w:rsidRPr="00540930">
        <w:rPr>
          <w:rStyle w:val="StyleUnderline"/>
          <w:highlight w:val="green"/>
        </w:rPr>
        <w:t>they are enclosed</w:t>
      </w:r>
      <w:r w:rsidRPr="00EC29F9">
        <w:rPr>
          <w:rStyle w:val="StyleUnderline"/>
        </w:rPr>
        <w:t xml:space="preserve"> by fences, walls, ditches, </w:t>
      </w:r>
      <w:proofErr w:type="gramStart"/>
      <w:r w:rsidRPr="00EC29F9">
        <w:rPr>
          <w:rStyle w:val="StyleUnderline"/>
        </w:rPr>
        <w:t>road blocks</w:t>
      </w:r>
      <w:proofErr w:type="gramEnd"/>
      <w:r w:rsidRPr="00EC29F9">
        <w:rPr>
          <w:rStyle w:val="StyleUnderline"/>
        </w:rPr>
        <w:t xml:space="preserve"> and so on.”</w:t>
      </w:r>
      <w:r w:rsidRPr="00EC29F9">
        <w:rPr>
          <w:sz w:val="14"/>
        </w:rPr>
        <w:t xml:space="preserve"> When I asked him if moving through walls was part of it, he explained </w:t>
      </w:r>
      <w:proofErr w:type="gramStart"/>
      <w:r w:rsidRPr="00EC29F9">
        <w:rPr>
          <w:sz w:val="14"/>
        </w:rPr>
        <w:t>that,</w:t>
      </w:r>
      <w:proofErr w:type="gramEnd"/>
      <w:r w:rsidRPr="00EC29F9">
        <w:rPr>
          <w:sz w:val="14"/>
        </w:rPr>
        <w:t xml:space="preserve"> “In Nablus the IDF understood urban fighting as a spatial problem. … Travelling through walls is a simple mechanical solution that connects theory and practice.” (“The Art of War”) In the IDF’s application of Deleuze and </w:t>
      </w:r>
      <w:proofErr w:type="spellStart"/>
      <w:r w:rsidRPr="00EC29F9">
        <w:rPr>
          <w:sz w:val="14"/>
        </w:rPr>
        <w:t>Guattari’s</w:t>
      </w:r>
      <w:proofErr w:type="spellEnd"/>
      <w:r w:rsidRPr="00EC29F9">
        <w:rPr>
          <w:sz w:val="14"/>
        </w:rPr>
        <w:t xml:space="preserve"> notion of the “smoothing” of space—which Byrd employs to describe the process whereby </w:t>
      </w:r>
      <w:proofErr w:type="spellStart"/>
      <w:r w:rsidRPr="005628F8">
        <w:rPr>
          <w:rStyle w:val="StyleUnderline"/>
        </w:rPr>
        <w:t>Deleuzian</w:t>
      </w:r>
      <w:proofErr w:type="spellEnd"/>
      <w:r w:rsidRPr="005628F8">
        <w:rPr>
          <w:rStyle w:val="StyleUnderline"/>
        </w:rPr>
        <w:t xml:space="preserve"> cultural studies metaphorically erases and replaces indigenous presence—“</w:t>
      </w:r>
      <w:r w:rsidRPr="00540930">
        <w:rPr>
          <w:rStyle w:val="StyleUnderline"/>
          <w:highlight w:val="green"/>
        </w:rPr>
        <w:t>smoothing</w:t>
      </w:r>
      <w:r w:rsidRPr="005628F8">
        <w:rPr>
          <w:rStyle w:val="StyleUnderline"/>
        </w:rPr>
        <w:t xml:space="preserve">” is used to </w:t>
      </w:r>
      <w:r w:rsidRPr="00540930">
        <w:rPr>
          <w:rStyle w:val="StyleUnderline"/>
          <w:highlight w:val="green"/>
        </w:rPr>
        <w:t>describe</w:t>
      </w:r>
      <w:r w:rsidRPr="005628F8">
        <w:rPr>
          <w:rStyle w:val="StyleUnderline"/>
        </w:rPr>
        <w:t xml:space="preserve"> the </w:t>
      </w:r>
      <w:r w:rsidRPr="00540930">
        <w:rPr>
          <w:rStyle w:val="StyleUnderline"/>
          <w:highlight w:val="green"/>
        </w:rPr>
        <w:t>IDF’s urban warfare strategy of destroying and moving</w:t>
      </w:r>
      <w:r w:rsidRPr="005628F8">
        <w:rPr>
          <w:rStyle w:val="StyleUnderline"/>
        </w:rPr>
        <w:t xml:space="preserve"> </w:t>
      </w:r>
      <w:r w:rsidRPr="00540930">
        <w:rPr>
          <w:rStyle w:val="StyleUnderline"/>
          <w:highlight w:val="green"/>
        </w:rPr>
        <w:t>through</w:t>
      </w:r>
      <w:r w:rsidRPr="005628F8">
        <w:rPr>
          <w:rStyle w:val="StyleUnderline"/>
        </w:rPr>
        <w:t xml:space="preserve"> the walls of </w:t>
      </w:r>
      <w:r w:rsidRPr="00540930">
        <w:rPr>
          <w:rStyle w:val="StyleUnderline"/>
          <w:highlight w:val="green"/>
        </w:rPr>
        <w:t>civilian homes</w:t>
      </w:r>
      <w:r w:rsidRPr="005628F8">
        <w:rPr>
          <w:rStyle w:val="StyleUnderline"/>
        </w:rPr>
        <w:t xml:space="preserve"> in order </w:t>
      </w:r>
      <w:r w:rsidRPr="00540930">
        <w:rPr>
          <w:rStyle w:val="StyleUnderline"/>
          <w:highlight w:val="green"/>
        </w:rPr>
        <w:t>to facilitate</w:t>
      </w:r>
      <w:r w:rsidRPr="005628F8">
        <w:rPr>
          <w:rStyle w:val="StyleUnderline"/>
        </w:rPr>
        <w:t xml:space="preserve"> unfettered </w:t>
      </w:r>
      <w:r w:rsidRPr="00540930">
        <w:rPr>
          <w:rStyle w:val="StyleUnderline"/>
          <w:highlight w:val="green"/>
        </w:rPr>
        <w:t>military mobility through a space “striated” by</w:t>
      </w:r>
      <w:r w:rsidRPr="00EC29F9">
        <w:rPr>
          <w:rStyle w:val="StyleUnderline"/>
        </w:rPr>
        <w:t xml:space="preserve"> the infrastructure of the </w:t>
      </w:r>
      <w:r w:rsidRPr="00540930">
        <w:rPr>
          <w:rStyle w:val="StyleUnderline"/>
          <w:highlight w:val="green"/>
        </w:rPr>
        <w:t>local people</w:t>
      </w:r>
      <w:r w:rsidRPr="00EC29F9">
        <w:rPr>
          <w:rStyle w:val="StyleUnderline"/>
        </w:rPr>
        <w:t xml:space="preserve">, allowing the IDF to imagine battle plans modeled on the </w:t>
      </w:r>
      <w:proofErr w:type="spellStart"/>
      <w:r w:rsidRPr="00EC29F9">
        <w:rPr>
          <w:rStyle w:val="StyleUnderline"/>
        </w:rPr>
        <w:t>Deleuzian</w:t>
      </w:r>
      <w:proofErr w:type="spellEnd"/>
      <w:r w:rsidRPr="00EC29F9">
        <w:rPr>
          <w:rStyle w:val="StyleUnderline"/>
        </w:rPr>
        <w:t xml:space="preserve"> “swarm,” freed from the grids of “classical space.” </w:t>
      </w:r>
      <w:r w:rsidRPr="00EC29F9">
        <w:rPr>
          <w:sz w:val="14"/>
        </w:rPr>
        <w:t xml:space="preserve">While discussion of </w:t>
      </w:r>
      <w:proofErr w:type="spellStart"/>
      <w:r w:rsidRPr="00EC29F9">
        <w:rPr>
          <w:sz w:val="14"/>
        </w:rPr>
        <w:t>Weizman’s</w:t>
      </w:r>
      <w:proofErr w:type="spellEnd"/>
      <w:r w:rsidRPr="00EC29F9">
        <w:rPr>
          <w:sz w:val="14"/>
        </w:rPr>
        <w:t xml:space="preserve"> work on the Israeli military’s use of A Thousand Plateaus has almost become a commonplace in contemporary critiques of Deleuze and </w:t>
      </w:r>
      <w:proofErr w:type="spellStart"/>
      <w:r w:rsidRPr="00EC29F9">
        <w:rPr>
          <w:sz w:val="14"/>
        </w:rPr>
        <w:t>Guattari</w:t>
      </w:r>
      <w:proofErr w:type="spellEnd"/>
      <w:r w:rsidRPr="00EC29F9">
        <w:rPr>
          <w:sz w:val="14"/>
        </w:rPr>
        <w:t xml:space="preserve">, his less-discussed work on the spatial forms that Israeli settlers have employed in their efforts to colonize the West Bank since 1967 offers an equally important analysis of the relationship of rhizomatic assemblages to settler state power. In a chapter titled “Frontier Architecture” in his 2007 monograph Hollow Land: Israel’s Architecture of Occupation, </w:t>
      </w:r>
      <w:proofErr w:type="spellStart"/>
      <w:r w:rsidRPr="00EC29F9">
        <w:rPr>
          <w:sz w:val="14"/>
        </w:rPr>
        <w:t>Weizman</w:t>
      </w:r>
      <w:proofErr w:type="spellEnd"/>
      <w:r w:rsidRPr="00EC29F9">
        <w:rPr>
          <w:sz w:val="14"/>
        </w:rPr>
        <w:t xml:space="preserve"> tracks the growth of a single Israeli settlement in the West Bank, the “illegal” outpost of </w:t>
      </w:r>
      <w:proofErr w:type="spellStart"/>
      <w:r w:rsidRPr="00EC29F9">
        <w:rPr>
          <w:sz w:val="14"/>
        </w:rPr>
        <w:t>Migron</w:t>
      </w:r>
      <w:proofErr w:type="spellEnd"/>
      <w:r w:rsidRPr="00EC29F9">
        <w:rPr>
          <w:sz w:val="14"/>
        </w:rPr>
        <w:t xml:space="preserve">. In </w:t>
      </w:r>
      <w:proofErr w:type="spellStart"/>
      <w:r w:rsidRPr="00EC29F9">
        <w:rPr>
          <w:sz w:val="14"/>
        </w:rPr>
        <w:t>Weizman’s</w:t>
      </w:r>
      <w:proofErr w:type="spellEnd"/>
      <w:r w:rsidRPr="00EC29F9">
        <w:rPr>
          <w:sz w:val="14"/>
        </w:rPr>
        <w:t xml:space="preserve"> description of the “elastic geography” of the development of this Israeli frontier, the rhetorical parallels to Deleuze and </w:t>
      </w:r>
      <w:proofErr w:type="spellStart"/>
      <w:r w:rsidRPr="00EC29F9">
        <w:rPr>
          <w:sz w:val="14"/>
        </w:rPr>
        <w:t>Guattari’s</w:t>
      </w:r>
      <w:proofErr w:type="spellEnd"/>
      <w:r w:rsidRPr="00EC29F9">
        <w:rPr>
          <w:sz w:val="14"/>
        </w:rPr>
        <w:t xml:space="preserve"> description of the rhizome are striking: </w:t>
      </w:r>
      <w:r w:rsidRPr="00EC29F9">
        <w:rPr>
          <w:rStyle w:val="StyleUnderline"/>
        </w:rPr>
        <w:t>The frontiers of the Occupied Territories are not rigid and fixed at all; rather, they are elastic, and in constant transformation. The linear border, a cartographic imaginary inherited from the military and political spatiality of the nation state has splintered into a multitude of … border-synonyms. … These borders are dynamic, constantly shifting, ebbing, and flowing. … The anarchic geography of the frontier is an evolving image of transformation</w:t>
      </w:r>
      <w:r w:rsidRPr="00EC29F9">
        <w:rPr>
          <w:sz w:val="14"/>
        </w:rPr>
        <w:t xml:space="preserve">. (6–7) </w:t>
      </w:r>
      <w:r w:rsidRPr="00EC29F9">
        <w:rPr>
          <w:rStyle w:val="StyleUnderline"/>
        </w:rPr>
        <w:t>Like so many settler colonies on the United States’ nineteenth-century western frontier</w:t>
      </w:r>
      <w:r w:rsidRPr="00EC29F9">
        <w:rPr>
          <w:sz w:val="14"/>
        </w:rPr>
        <w:t xml:space="preserve"> (</w:t>
      </w:r>
      <w:r w:rsidRPr="00EC29F9">
        <w:rPr>
          <w:rStyle w:val="StyleUnderline"/>
        </w:rPr>
        <w:t>the Deadwood camp perhaps being the most familiar example</w:t>
      </w:r>
      <w:r w:rsidRPr="00EC29F9">
        <w:rPr>
          <w:sz w:val="14"/>
        </w:rPr>
        <w:t xml:space="preserve">), </w:t>
      </w:r>
      <w:r w:rsidRPr="00540930">
        <w:rPr>
          <w:rStyle w:val="StyleUnderline"/>
          <w:highlight w:val="green"/>
        </w:rPr>
        <w:t>the rhizomatic nature of Israel’s frontier outposts</w:t>
      </w:r>
      <w:r w:rsidRPr="00EC29F9">
        <w:rPr>
          <w:rStyle w:val="StyleUnderline"/>
        </w:rPr>
        <w:t xml:space="preserve"> often </w:t>
      </w:r>
      <w:r w:rsidRPr="00540930">
        <w:rPr>
          <w:rStyle w:val="StyleUnderline"/>
          <w:highlight w:val="green"/>
        </w:rPr>
        <w:t>defies containment by</w:t>
      </w:r>
      <w:r w:rsidRPr="00EC29F9">
        <w:rPr>
          <w:rStyle w:val="StyleUnderline"/>
        </w:rPr>
        <w:t xml:space="preserve"> its </w:t>
      </w:r>
      <w:r w:rsidRPr="00540930">
        <w:rPr>
          <w:rStyle w:val="StyleUnderline"/>
          <w:highlight w:val="green"/>
        </w:rPr>
        <w:t>juridical order</w:t>
      </w:r>
      <w:r w:rsidRPr="00EC29F9">
        <w:rPr>
          <w:rStyle w:val="StyleUnderline"/>
        </w:rPr>
        <w:t xml:space="preserve">: </w:t>
      </w:r>
      <w:r w:rsidRPr="00540930">
        <w:rPr>
          <w:rStyle w:val="StyleUnderline"/>
          <w:highlight w:val="green"/>
        </w:rPr>
        <w:t xml:space="preserve">the founding of </w:t>
      </w:r>
      <w:proofErr w:type="spellStart"/>
      <w:r w:rsidRPr="00540930">
        <w:rPr>
          <w:rStyle w:val="StyleUnderline"/>
          <w:highlight w:val="green"/>
        </w:rPr>
        <w:t>Migron</w:t>
      </w:r>
      <w:proofErr w:type="spellEnd"/>
      <w:r w:rsidRPr="00540930">
        <w:rPr>
          <w:rStyle w:val="StyleUnderline"/>
          <w:highlight w:val="green"/>
        </w:rPr>
        <w:t xml:space="preserve"> was not sanctioned by</w:t>
      </w:r>
      <w:r w:rsidRPr="00EC29F9">
        <w:rPr>
          <w:rStyle w:val="StyleUnderline"/>
        </w:rPr>
        <w:t xml:space="preserve"> the </w:t>
      </w:r>
      <w:r w:rsidRPr="00540930">
        <w:rPr>
          <w:rStyle w:val="StyleUnderline"/>
          <w:highlight w:val="green"/>
        </w:rPr>
        <w:t>arborescent power structure</w:t>
      </w:r>
      <w:r w:rsidRPr="00EC29F9">
        <w:rPr>
          <w:rStyle w:val="StyleUnderline"/>
        </w:rPr>
        <w:t xml:space="preserve"> of the state. That said, the </w:t>
      </w:r>
      <w:r w:rsidRPr="00540930">
        <w:rPr>
          <w:rStyle w:val="StyleUnderline"/>
          <w:highlight w:val="green"/>
        </w:rPr>
        <w:t>pioneers of this frontier</w:t>
      </w:r>
      <w:r w:rsidRPr="00EC29F9">
        <w:rPr>
          <w:sz w:val="14"/>
        </w:rPr>
        <w:t xml:space="preserve">, “equally influenced by the myth of rough and rugged Western heroes as by the Israeli myth of the pioneering Zionist settlers of the early twentieth century,” </w:t>
      </w:r>
      <w:r w:rsidRPr="00540930">
        <w:rPr>
          <w:rStyle w:val="StyleUnderline"/>
          <w:highlight w:val="green"/>
        </w:rPr>
        <w:t>while</w:t>
      </w:r>
      <w:r w:rsidRPr="00EC29F9">
        <w:rPr>
          <w:rStyle w:val="StyleUnderline"/>
        </w:rPr>
        <w:t xml:space="preserve"> acting </w:t>
      </w:r>
      <w:r w:rsidRPr="00540930">
        <w:rPr>
          <w:rStyle w:val="StyleUnderline"/>
          <w:highlight w:val="green"/>
        </w:rPr>
        <w:t>outside the law</w:t>
      </w:r>
      <w:r w:rsidRPr="00EC29F9">
        <w:rPr>
          <w:rStyle w:val="StyleUnderline"/>
        </w:rPr>
        <w:t xml:space="preserve">, could hardly be said to be </w:t>
      </w:r>
      <w:r w:rsidRPr="00540930">
        <w:rPr>
          <w:rStyle w:val="StyleUnderline"/>
          <w:highlight w:val="green"/>
        </w:rPr>
        <w:t>acting</w:t>
      </w:r>
      <w:r w:rsidRPr="00EC29F9">
        <w:rPr>
          <w:rStyle w:val="StyleUnderline"/>
        </w:rPr>
        <w:t xml:space="preserve"> in a manner contrary </w:t>
      </w:r>
      <w:r w:rsidRPr="00540930">
        <w:rPr>
          <w:rStyle w:val="StyleUnderline"/>
          <w:highlight w:val="green"/>
        </w:rPr>
        <w:t>to the interests of</w:t>
      </w:r>
      <w:r w:rsidRPr="00EC29F9">
        <w:rPr>
          <w:rStyle w:val="StyleUnderline"/>
        </w:rPr>
        <w:t xml:space="preserve"> the </w:t>
      </w:r>
      <w:r w:rsidRPr="00540930">
        <w:rPr>
          <w:rStyle w:val="StyleUnderline"/>
          <w:highlight w:val="green"/>
        </w:rPr>
        <w:t>expanding settler society</w:t>
      </w:r>
      <w:r w:rsidRPr="00EC29F9">
        <w:rPr>
          <w:rStyle w:val="StyleUnderline"/>
        </w:rPr>
        <w:t xml:space="preserve"> itself </w:t>
      </w:r>
      <w:r w:rsidRPr="00EC29F9">
        <w:rPr>
          <w:sz w:val="14"/>
        </w:rPr>
        <w:t xml:space="preserve">(4). </w:t>
      </w:r>
      <w:r w:rsidRPr="00EC29F9">
        <w:rPr>
          <w:rStyle w:val="StyleUnderline"/>
        </w:rPr>
        <w:t xml:space="preserve">The Israeli state has long cast a blind eye on the expansion of illegal settlements such as </w:t>
      </w:r>
      <w:proofErr w:type="spellStart"/>
      <w:r w:rsidRPr="00EC29F9">
        <w:rPr>
          <w:rStyle w:val="StyleUnderline"/>
        </w:rPr>
        <w:t>Migron</w:t>
      </w:r>
      <w:proofErr w:type="spellEnd"/>
      <w:r w:rsidRPr="00EC29F9">
        <w:rPr>
          <w:rStyle w:val="StyleUnderline"/>
        </w:rPr>
        <w:t>, and many once-illegal frontier outposts have been incorporated into Israel’s legally sanctioned network of West Bank settlements.</w:t>
      </w:r>
      <w:r w:rsidRPr="00EC29F9">
        <w:rPr>
          <w:sz w:val="14"/>
        </w:rPr>
        <w:t xml:space="preserve">14 </w:t>
      </w:r>
      <w:proofErr w:type="spellStart"/>
      <w:r w:rsidRPr="00EC29F9">
        <w:rPr>
          <w:sz w:val="14"/>
        </w:rPr>
        <w:t>Weizman</w:t>
      </w:r>
      <w:proofErr w:type="spellEnd"/>
      <w:r w:rsidRPr="00EC29F9">
        <w:rPr>
          <w:sz w:val="14"/>
        </w:rPr>
        <w:t xml:space="preserve"> argues that </w:t>
      </w:r>
      <w:r w:rsidRPr="00EC29F9">
        <w:rPr>
          <w:rStyle w:val="StyleUnderline"/>
        </w:rPr>
        <w:t>the plenary power of the Israeli state is, in fact, extended by the rhizomatic nature of frontier settlement even as the letter of Israeli law condemns it. This “selective absence of government intervention promotes an unregulated process of violent dispossession</w:t>
      </w:r>
      <w:r w:rsidRPr="00EC29F9">
        <w:rPr>
          <w:sz w:val="14"/>
        </w:rPr>
        <w:t xml:space="preserve">” (5), </w:t>
      </w:r>
      <w:r w:rsidRPr="00EC29F9">
        <w:rPr>
          <w:rStyle w:val="StyleUnderline"/>
        </w:rPr>
        <w:t xml:space="preserve">in which </w:t>
      </w:r>
      <w:r w:rsidRPr="00540930">
        <w:rPr>
          <w:rStyle w:val="StyleUnderline"/>
          <w:highlight w:val="green"/>
        </w:rPr>
        <w:t>the erratic and unpredictable</w:t>
      </w:r>
      <w:r w:rsidRPr="00EC29F9">
        <w:rPr>
          <w:rStyle w:val="StyleUnderline"/>
        </w:rPr>
        <w:t xml:space="preserve"> nature of the </w:t>
      </w:r>
      <w:r w:rsidRPr="00540930">
        <w:rPr>
          <w:rStyle w:val="StyleUnderline"/>
          <w:highlight w:val="green"/>
        </w:rPr>
        <w:t>frontier is exploited by the government</w:t>
      </w:r>
      <w:r w:rsidRPr="00EC29F9">
        <w:rPr>
          <w:rStyle w:val="StyleUnderline"/>
        </w:rPr>
        <w:t>. Chaos has its peculiar structural advantages. It supports one of Israel’s foremost strategies of obfuscation: the promotion of complexity—geographical, legal, or linguistic.</w:t>
      </w:r>
      <w:r w:rsidRPr="00EC29F9">
        <w:rPr>
          <w:sz w:val="14"/>
        </w:rPr>
        <w:t xml:space="preserve"> Sometimes, following a terminology pioneered by Henry Kissinger, </w:t>
      </w:r>
      <w:r w:rsidRPr="00EC29F9">
        <w:rPr>
          <w:rStyle w:val="StyleUnderline"/>
        </w:rPr>
        <w:t>this strategy is openly referred to as “</w:t>
      </w:r>
      <w:r w:rsidRPr="00540930">
        <w:rPr>
          <w:rStyle w:val="StyleUnderline"/>
          <w:highlight w:val="green"/>
        </w:rPr>
        <w:t>constructive blurring</w:t>
      </w:r>
      <w:r w:rsidRPr="00EC29F9">
        <w:rPr>
          <w:rStyle w:val="StyleUnderline"/>
        </w:rPr>
        <w:t xml:space="preserve">.” This strategy </w:t>
      </w:r>
      <w:r w:rsidRPr="00540930">
        <w:rPr>
          <w:rStyle w:val="StyleUnderline"/>
          <w:highlight w:val="green"/>
        </w:rPr>
        <w:t>seeks</w:t>
      </w:r>
      <w:r w:rsidRPr="00EC29F9">
        <w:rPr>
          <w:rStyle w:val="StyleUnderline"/>
        </w:rPr>
        <w:t xml:space="preserve"> simultaneously </w:t>
      </w:r>
      <w:r w:rsidRPr="00540930">
        <w:rPr>
          <w:rStyle w:val="StyleUnderline"/>
          <w:highlight w:val="green"/>
        </w:rPr>
        <w:t>to obfuscate and naturalize</w:t>
      </w:r>
      <w:r w:rsidRPr="00EC29F9">
        <w:rPr>
          <w:rStyle w:val="StyleUnderline"/>
        </w:rPr>
        <w:t xml:space="preserve"> the facts of </w:t>
      </w:r>
      <w:r w:rsidRPr="00540930">
        <w:rPr>
          <w:rStyle w:val="StyleUnderline"/>
          <w:highlight w:val="green"/>
        </w:rPr>
        <w:t>domination.</w:t>
      </w:r>
      <w:r w:rsidRPr="00EC29F9">
        <w:rPr>
          <w:rStyle w:val="StyleUnderline"/>
        </w:rPr>
        <w:t xml:space="preserve"> </w:t>
      </w:r>
      <w:r w:rsidRPr="00EC29F9">
        <w:rPr>
          <w:sz w:val="14"/>
        </w:rPr>
        <w:t xml:space="preserve">Across the frontiers of the West </w:t>
      </w:r>
      <w:proofErr w:type="gramStart"/>
      <w:r w:rsidRPr="00EC29F9">
        <w:rPr>
          <w:sz w:val="14"/>
        </w:rPr>
        <w:t>Bank</w:t>
      </w:r>
      <w:proofErr w:type="gramEnd"/>
      <w:r w:rsidRPr="00EC29F9">
        <w:rPr>
          <w:sz w:val="14"/>
        </w:rPr>
        <w:t xml:space="preserve"> it is undertaken by simultaneously unleashing processes that would create conditions too complex and illogical to make any territorial solution in the form of partition possible. (8</w:t>
      </w:r>
      <w:r w:rsidRPr="00EC29F9">
        <w:rPr>
          <w:rStyle w:val="StyleUnderline"/>
        </w:rPr>
        <w:t xml:space="preserve">) </w:t>
      </w:r>
      <w:r w:rsidRPr="005628F8">
        <w:rPr>
          <w:rStyle w:val="StyleUnderline"/>
        </w:rPr>
        <w:t>Through this</w:t>
      </w:r>
      <w:r w:rsidRPr="00EC29F9">
        <w:rPr>
          <w:rStyle w:val="StyleUnderline"/>
        </w:rPr>
        <w:t xml:space="preserve"> process of “constructive blurring,” </w:t>
      </w:r>
      <w:r w:rsidRPr="00540930">
        <w:rPr>
          <w:rStyle w:val="StyleUnderline"/>
          <w:highlight w:val="green"/>
        </w:rPr>
        <w:t>settler sovereignty is</w:t>
      </w:r>
      <w:r w:rsidRPr="00EC29F9">
        <w:rPr>
          <w:sz w:val="14"/>
        </w:rPr>
        <w:t xml:space="preserve"> not </w:t>
      </w:r>
      <w:r w:rsidRPr="00540930">
        <w:rPr>
          <w:rStyle w:val="StyleUnderline"/>
          <w:highlight w:val="green"/>
        </w:rPr>
        <w:t>established</w:t>
      </w:r>
      <w:r w:rsidRPr="00EC29F9">
        <w:rPr>
          <w:sz w:val="14"/>
        </w:rPr>
        <w:t xml:space="preserve"> through a “gridding” process of rationalizing space but rather </w:t>
      </w:r>
      <w:r w:rsidRPr="00540930">
        <w:rPr>
          <w:rStyle w:val="StyleUnderline"/>
          <w:highlight w:val="green"/>
        </w:rPr>
        <w:t>through</w:t>
      </w:r>
      <w:r w:rsidRPr="00540930">
        <w:rPr>
          <w:sz w:val="14"/>
          <w:highlight w:val="green"/>
        </w:rPr>
        <w:t xml:space="preserve"> </w:t>
      </w:r>
      <w:r w:rsidRPr="00540930">
        <w:rPr>
          <w:rStyle w:val="StyleUnderline"/>
          <w:highlight w:val="green"/>
        </w:rPr>
        <w:t>chaotic</w:t>
      </w:r>
      <w:r w:rsidRPr="00EC29F9">
        <w:rPr>
          <w:rStyle w:val="StyleUnderline"/>
        </w:rPr>
        <w:t xml:space="preserve"> and often extralegal acts of </w:t>
      </w:r>
      <w:r w:rsidRPr="00540930">
        <w:rPr>
          <w:rStyle w:val="StyleUnderline"/>
          <w:highlight w:val="green"/>
        </w:rPr>
        <w:t>expansion</w:t>
      </w:r>
      <w:r w:rsidRPr="00EC29F9">
        <w:rPr>
          <w:rStyle w:val="StyleUnderline"/>
        </w:rPr>
        <w:t xml:space="preserve">: </w:t>
      </w:r>
      <w:r w:rsidRPr="00540930">
        <w:rPr>
          <w:rStyle w:val="StyleUnderline"/>
          <w:highlight w:val="green"/>
        </w:rPr>
        <w:t xml:space="preserve">settlers follow “lines of flight” made possible by </w:t>
      </w:r>
      <w:r w:rsidRPr="005628F8">
        <w:rPr>
          <w:rStyle w:val="StyleUnderline"/>
        </w:rPr>
        <w:t xml:space="preserve">the </w:t>
      </w:r>
      <w:r w:rsidRPr="00540930">
        <w:rPr>
          <w:rStyle w:val="StyleUnderline"/>
          <w:highlight w:val="green"/>
        </w:rPr>
        <w:t>“smoothing” of indigenous space.</w:t>
      </w:r>
    </w:p>
    <w:p w14:paraId="09338ADF" w14:textId="77777777" w:rsidR="00BC0B8D" w:rsidRPr="008020BD" w:rsidRDefault="00BC0B8D" w:rsidP="00BC0B8D">
      <w:pPr>
        <w:rPr>
          <w:u w:val="single"/>
        </w:rPr>
      </w:pPr>
    </w:p>
    <w:p w14:paraId="1963449C" w14:textId="77777777" w:rsidR="00BC0B8D" w:rsidRDefault="00BC0B8D" w:rsidP="00BC0B8D">
      <w:pPr>
        <w:rPr>
          <w:sz w:val="16"/>
        </w:rPr>
      </w:pPr>
    </w:p>
    <w:p w14:paraId="104BE5F9" w14:textId="77777777" w:rsidR="00BC0B8D" w:rsidRDefault="00BC0B8D" w:rsidP="00BC0B8D">
      <w:pPr>
        <w:rPr>
          <w:sz w:val="16"/>
        </w:rPr>
      </w:pPr>
    </w:p>
    <w:p w14:paraId="4AC23801" w14:textId="77777777" w:rsidR="00BC0B8D" w:rsidRDefault="00BC0B8D" w:rsidP="00BC0B8D">
      <w:pPr>
        <w:pStyle w:val="Heading4"/>
      </w:pPr>
      <w:r>
        <w:t>The alternative is a call for place-based education – this requires relating theorizing to present realities of injustice and acknowledging the ways settler colonialism creates those injustices to foster a radical movement against domination.</w:t>
      </w:r>
    </w:p>
    <w:p w14:paraId="17EB6132" w14:textId="77777777" w:rsidR="00BC0B8D" w:rsidRPr="003A6205" w:rsidRDefault="00BC0B8D" w:rsidP="00BC0B8D">
      <w:pPr>
        <w:rPr>
          <w:sz w:val="12"/>
          <w:szCs w:val="12"/>
        </w:rPr>
      </w:pPr>
      <w:r w:rsidRPr="003A6205">
        <w:rPr>
          <w:sz w:val="12"/>
          <w:szCs w:val="12"/>
        </w:rPr>
        <w:t xml:space="preserve">Gardner </w:t>
      </w:r>
      <w:r w:rsidRPr="003A6205">
        <w:rPr>
          <w:rFonts w:eastAsiaTheme="majorEastAsia" w:cstheme="majorBidi"/>
          <w:b/>
          <w:bCs/>
          <w:szCs w:val="26"/>
        </w:rPr>
        <w:t xml:space="preserve">Seawright </w:t>
      </w:r>
      <w:r w:rsidRPr="003A6205">
        <w:rPr>
          <w:sz w:val="12"/>
          <w:szCs w:val="12"/>
        </w:rPr>
        <w:t xml:space="preserve">is a </w:t>
      </w:r>
      <w:r w:rsidRPr="003A6205">
        <w:rPr>
          <w:rFonts w:eastAsiaTheme="majorEastAsia" w:cstheme="majorBidi"/>
          <w:b/>
          <w:bCs/>
          <w:szCs w:val="26"/>
        </w:rPr>
        <w:t xml:space="preserve">doctoral candidate </w:t>
      </w:r>
      <w:r w:rsidRPr="003A6205">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A6205">
        <w:rPr>
          <w:rFonts w:eastAsiaTheme="majorEastAsia" w:cstheme="majorBidi"/>
          <w:b/>
          <w:bCs/>
          <w:szCs w:val="26"/>
        </w:rPr>
        <w:t>14</w:t>
      </w:r>
      <w:r w:rsidRPr="003A6205">
        <w:rPr>
          <w:sz w:val="12"/>
          <w:szCs w:val="12"/>
        </w:rPr>
        <w:t>, American Educational Studies Association. JJN</w:t>
      </w:r>
    </w:p>
    <w:p w14:paraId="3BFC850B" w14:textId="77777777" w:rsidR="00BC0B8D" w:rsidRPr="0045473A" w:rsidRDefault="00BC0B8D" w:rsidP="00BC0B8D">
      <w:pPr>
        <w:rPr>
          <w:rStyle w:val="StyleUnderline"/>
        </w:rPr>
      </w:pPr>
      <w:r w:rsidRPr="000B3DAE">
        <w:rPr>
          <w:sz w:val="14"/>
        </w:rPr>
        <w:t xml:space="preserve">As </w:t>
      </w:r>
      <w:r w:rsidRPr="00540930">
        <w:rPr>
          <w:rStyle w:val="StyleUnderline"/>
          <w:highlight w:val="green"/>
        </w:rPr>
        <w:t>place-based educators</w:t>
      </w:r>
      <w:r w:rsidRPr="000B3DAE">
        <w:rPr>
          <w:sz w:val="14"/>
        </w:rPr>
        <w:t xml:space="preserve"> have worked to disrupt the norms of schooling, they </w:t>
      </w:r>
      <w:r w:rsidRPr="000B3DAE">
        <w:rPr>
          <w:rStyle w:val="StyleUnderline"/>
        </w:rPr>
        <w:t xml:space="preserve">have started to </w:t>
      </w:r>
      <w:r w:rsidRPr="00540930">
        <w:rPr>
          <w:rStyle w:val="StyleUnderline"/>
          <w:highlight w:val="green"/>
        </w:rPr>
        <w:t>examine</w:t>
      </w:r>
      <w:r w:rsidRPr="000B3DAE">
        <w:rPr>
          <w:rStyle w:val="StyleUnderline"/>
        </w:rPr>
        <w:t xml:space="preserve"> the normative </w:t>
      </w:r>
      <w:r w:rsidRPr="00540930">
        <w:rPr>
          <w:rStyle w:val="StyleUnderline"/>
          <w:highlight w:val="green"/>
        </w:rPr>
        <w:t>conception of place</w:t>
      </w:r>
      <w:r w:rsidRPr="000B3DAE">
        <w:rPr>
          <w:rStyle w:val="StyleUnderline"/>
        </w:rPr>
        <w:t xml:space="preserve"> with</w:t>
      </w:r>
      <w:r w:rsidRPr="00540930">
        <w:rPr>
          <w:rStyle w:val="StyleUnderline"/>
          <w:highlight w:val="green"/>
        </w:rPr>
        <w:t>in</w:t>
      </w:r>
      <w:r w:rsidRPr="000B3DAE">
        <w:rPr>
          <w:rStyle w:val="StyleUnderline"/>
        </w:rPr>
        <w:t xml:space="preserve"> the </w:t>
      </w:r>
      <w:r w:rsidRPr="00540930">
        <w:rPr>
          <w:rStyle w:val="StyleUnderline"/>
          <w:highlight w:val="green"/>
        </w:rPr>
        <w:t>Western knowledge</w:t>
      </w:r>
      <w:r w:rsidRPr="000B3DAE">
        <w:rPr>
          <w:rStyle w:val="StyleUnderline"/>
        </w:rPr>
        <w:t xml:space="preserve"> system. </w:t>
      </w:r>
      <w:r w:rsidRPr="000B3DAE">
        <w:rPr>
          <w:sz w:val="14"/>
        </w:rPr>
        <w:t xml:space="preserve">This, in turn, has led prominent scholars of place to </w:t>
      </w:r>
      <w:proofErr w:type="spellStart"/>
      <w:r w:rsidRPr="000B3DAE">
        <w:rPr>
          <w:sz w:val="14"/>
        </w:rPr>
        <w:t>sug</w:t>
      </w:r>
      <w:proofErr w:type="spellEnd"/>
      <w:r w:rsidRPr="000B3DAE">
        <w:rPr>
          <w:sz w:val="14"/>
        </w:rPr>
        <w:t xml:space="preserve">- gest that </w:t>
      </w:r>
      <w:r w:rsidRPr="000B3DAE">
        <w:rPr>
          <w:rStyle w:val="StyleUnderline"/>
        </w:rPr>
        <w:t xml:space="preserve">the </w:t>
      </w:r>
      <w:r w:rsidRPr="00540930">
        <w:rPr>
          <w:rStyle w:val="StyleUnderline"/>
          <w:highlight w:val="green"/>
        </w:rPr>
        <w:t>dominant understanding</w:t>
      </w:r>
      <w:r w:rsidRPr="000B3DAE">
        <w:rPr>
          <w:rStyle w:val="StyleUnderline"/>
        </w:rPr>
        <w:t xml:space="preserve"> of place exists in an abstract capacity that </w:t>
      </w:r>
      <w:r w:rsidRPr="00540930">
        <w:rPr>
          <w:rStyle w:val="StyleUnderline"/>
          <w:highlight w:val="green"/>
        </w:rPr>
        <w:t>subordinates place</w:t>
      </w:r>
      <w:r w:rsidRPr="000B3DAE">
        <w:rPr>
          <w:rStyle w:val="StyleUnderline"/>
        </w:rPr>
        <w:t xml:space="preserve"> to simplistic conceptualizations of land as </w:t>
      </w:r>
      <w:r w:rsidRPr="00540930">
        <w:rPr>
          <w:rStyle w:val="StyleUnderline"/>
          <w:highlight w:val="green"/>
        </w:rPr>
        <w:t>divorced from the personal and ontological</w:t>
      </w:r>
      <w:r w:rsidRPr="000B3DAE">
        <w:rPr>
          <w:rStyle w:val="StyleUnderline"/>
        </w:rPr>
        <w:t xml:space="preserve">. </w:t>
      </w:r>
      <w:r w:rsidRPr="000B3DAE">
        <w:rPr>
          <w:sz w:val="14"/>
        </w:rPr>
        <w:t xml:space="preserve">David Orr (2005) is emblematic of this perspective when he suggests, “Place has no particular standing in contemporary education” (87); all </w:t>
      </w:r>
      <w:r w:rsidRPr="006D1C2B">
        <w:rPr>
          <w:sz w:val="14"/>
        </w:rPr>
        <w:t xml:space="preserve">places have been relegated to “‘real estate’ or mere natural resources, their larger economic, ecological, social, political, and spiritual possibilities lost to the purely and narrowly utilitarian” (89). </w:t>
      </w:r>
      <w:r w:rsidRPr="006D1C2B">
        <w:rPr>
          <w:rStyle w:val="StyleUnderline"/>
        </w:rPr>
        <w:t>Western epistemology, and subsequently Western schooling, has come to be seen as placeless</w:t>
      </w:r>
      <w:r w:rsidRPr="006D1C2B">
        <w:rPr>
          <w:sz w:val="14"/>
        </w:rPr>
        <w:t xml:space="preserve"> (Greenwood 2009, 2013a; Marker 2006; Orr 2005; Sobel 2004). Marking the Western concept of place as “narrowly utilitarian” is rooted in an accurate understanding of the distorted</w:t>
      </w:r>
      <w:r w:rsidRPr="000B3DAE">
        <w:rPr>
          <w:sz w:val="14"/>
        </w:rPr>
        <w:t xml:space="preserve"> realities imposed by capitalism, </w:t>
      </w:r>
      <w:r w:rsidRPr="000B3DAE">
        <w:rPr>
          <w:rStyle w:val="StyleUnderline"/>
        </w:rPr>
        <w:t>but</w:t>
      </w:r>
      <w:r w:rsidRPr="000B3DAE">
        <w:rPr>
          <w:sz w:val="14"/>
        </w:rPr>
        <w:t xml:space="preserve"> I argue that </w:t>
      </w:r>
      <w:r w:rsidRPr="000B3DAE">
        <w:rPr>
          <w:rStyle w:val="StyleUnderline"/>
        </w:rPr>
        <w:t xml:space="preserve">Western </w:t>
      </w:r>
      <w:r w:rsidRPr="00540930">
        <w:rPr>
          <w:rStyle w:val="StyleUnderline"/>
          <w:highlight w:val="green"/>
        </w:rPr>
        <w:t>epistemology is not placeless</w:t>
      </w:r>
      <w:r w:rsidRPr="000B3DAE">
        <w:rPr>
          <w:sz w:val="14"/>
        </w:rPr>
        <w:t xml:space="preserve"> and that, in addition to the distorted values of capitalism, </w:t>
      </w:r>
      <w:r w:rsidRPr="006D1C2B">
        <w:rPr>
          <w:rStyle w:val="StyleUnderline"/>
        </w:rPr>
        <w:t>place</w:t>
      </w:r>
      <w:r w:rsidRPr="000B3DAE">
        <w:rPr>
          <w:rStyle w:val="StyleUnderline"/>
        </w:rPr>
        <w:t xml:space="preserve"> operates in a more significant capacity by </w:t>
      </w:r>
      <w:r w:rsidRPr="006D1C2B">
        <w:rPr>
          <w:rStyle w:val="StyleUnderline"/>
        </w:rPr>
        <w:t xml:space="preserve">shaping and influencing the self. </w:t>
      </w:r>
      <w:r w:rsidRPr="00540930">
        <w:rPr>
          <w:rStyle w:val="StyleUnderline"/>
          <w:highlight w:val="green"/>
        </w:rPr>
        <w:t>Place</w:t>
      </w:r>
      <w:r w:rsidRPr="000B3DAE">
        <w:rPr>
          <w:rStyle w:val="StyleUnderline"/>
        </w:rPr>
        <w:t xml:space="preserve">, as it is articulated </w:t>
      </w:r>
      <w:r w:rsidRPr="00540930">
        <w:rPr>
          <w:rStyle w:val="StyleUnderline"/>
          <w:highlight w:val="green"/>
        </w:rPr>
        <w:t>through</w:t>
      </w:r>
      <w:r w:rsidRPr="000B3DAE">
        <w:rPr>
          <w:rStyle w:val="StyleUnderline"/>
        </w:rPr>
        <w:t xml:space="preserve"> a </w:t>
      </w:r>
      <w:r w:rsidRPr="00540930">
        <w:rPr>
          <w:rStyle w:val="StyleUnderline"/>
          <w:highlight w:val="green"/>
        </w:rPr>
        <w:t>Western knowledge</w:t>
      </w:r>
      <w:r w:rsidRPr="000B3DAE">
        <w:rPr>
          <w:rStyle w:val="StyleUnderline"/>
        </w:rPr>
        <w:t xml:space="preserve"> system, intersects with a social epistemology that </w:t>
      </w:r>
      <w:r w:rsidRPr="00540930">
        <w:rPr>
          <w:rStyle w:val="StyleUnderline"/>
          <w:highlight w:val="green"/>
        </w:rPr>
        <w:t>normalizes domination</w:t>
      </w:r>
      <w:r w:rsidRPr="000B3DAE">
        <w:rPr>
          <w:rStyle w:val="StyleUnderline"/>
        </w:rPr>
        <w:t xml:space="preserve"> </w:t>
      </w:r>
      <w:r w:rsidRPr="00540930">
        <w:rPr>
          <w:rStyle w:val="StyleUnderline"/>
          <w:highlight w:val="green"/>
        </w:rPr>
        <w:t>through</w:t>
      </w:r>
      <w:r w:rsidRPr="000B3DAE">
        <w:rPr>
          <w:rStyle w:val="StyleUnderline"/>
        </w:rPr>
        <w:t xml:space="preserve"> </w:t>
      </w:r>
      <w:r w:rsidRPr="000B3DAE">
        <w:rPr>
          <w:sz w:val="14"/>
        </w:rPr>
        <w:t>systems of white supremacy</w:t>
      </w:r>
      <w:r w:rsidRPr="000B3DAE">
        <w:rPr>
          <w:rStyle w:val="StyleUnderline"/>
        </w:rPr>
        <w:t xml:space="preserve">, </w:t>
      </w:r>
      <w:r w:rsidRPr="00540930">
        <w:rPr>
          <w:rStyle w:val="StyleUnderline"/>
          <w:highlight w:val="green"/>
        </w:rPr>
        <w:t>settler colonialism</w:t>
      </w:r>
      <w:r w:rsidRPr="000B3DAE">
        <w:rPr>
          <w:sz w:val="14"/>
        </w:rPr>
        <w:t xml:space="preserve">, heteropatriarchy, and anthropocentrism, among other modes of domination. As a result, </w:t>
      </w:r>
      <w:r w:rsidRPr="000B3DAE">
        <w:rPr>
          <w:rStyle w:val="StyleUnderline"/>
        </w:rPr>
        <w:t xml:space="preserve">these </w:t>
      </w:r>
      <w:r w:rsidRPr="00540930">
        <w:rPr>
          <w:rStyle w:val="StyleUnderline"/>
          <w:highlight w:val="green"/>
        </w:rPr>
        <w:t>epistemic norms curate</w:t>
      </w:r>
      <w:r w:rsidRPr="000B3DAE">
        <w:rPr>
          <w:rStyle w:val="StyleUnderline"/>
        </w:rPr>
        <w:t xml:space="preserve"> conceptions of place, and come to bear on the way one knows oneself, others, and </w:t>
      </w:r>
      <w:r w:rsidRPr="00540930">
        <w:rPr>
          <w:rStyle w:val="StyleUnderline"/>
          <w:highlight w:val="green"/>
        </w:rPr>
        <w:t>one’s relation to the</w:t>
      </w:r>
      <w:r w:rsidRPr="000B3DAE">
        <w:rPr>
          <w:rStyle w:val="StyleUnderline"/>
        </w:rPr>
        <w:t xml:space="preserve"> natural </w:t>
      </w:r>
      <w:r w:rsidRPr="00540930">
        <w:rPr>
          <w:rStyle w:val="StyleUnderline"/>
          <w:highlight w:val="green"/>
        </w:rPr>
        <w:t>world</w:t>
      </w:r>
      <w:r w:rsidRPr="000B3DAE">
        <w:rPr>
          <w:rStyle w:val="StyleUnderline"/>
        </w:rPr>
        <w:t>. Emerging from this normalized epistemological context</w:t>
      </w:r>
      <w:r w:rsidRPr="000B3DAE">
        <w:rPr>
          <w:sz w:val="14"/>
        </w:rPr>
        <w:t xml:space="preserve">, this article focuses on how </w:t>
      </w:r>
      <w:r w:rsidRPr="000B3DAE">
        <w:rPr>
          <w:rStyle w:val="StyleUnderline"/>
        </w:rPr>
        <w:t xml:space="preserve">Western social epistemologies constitute places in relation to the raced, classed, and gendered ontological possibilities embedded in the dominant </w:t>
      </w:r>
      <w:proofErr w:type="spellStart"/>
      <w:r w:rsidRPr="000B3DAE">
        <w:rPr>
          <w:rStyle w:val="StyleUnderline"/>
        </w:rPr>
        <w:t>knowl</w:t>
      </w:r>
      <w:proofErr w:type="spellEnd"/>
      <w:r w:rsidRPr="000B3DAE">
        <w:rPr>
          <w:rStyle w:val="StyleUnderline"/>
        </w:rPr>
        <w:t xml:space="preserve">- edge system. </w:t>
      </w:r>
      <w:r w:rsidRPr="000B3DAE">
        <w:rPr>
          <w:sz w:val="14"/>
        </w:rPr>
        <w:t xml:space="preserve">Of particular interest is the method by which </w:t>
      </w:r>
      <w:proofErr w:type="gramStart"/>
      <w:r w:rsidRPr="000B3DAE">
        <w:rPr>
          <w:sz w:val="14"/>
        </w:rPr>
        <w:t xml:space="preserve">this </w:t>
      </w:r>
      <w:r w:rsidRPr="002E1258">
        <w:rPr>
          <w:rStyle w:val="StyleUnderline"/>
        </w:rPr>
        <w:t>oppressive epis</w:t>
      </w:r>
      <w:proofErr w:type="gramEnd"/>
      <w:r w:rsidRPr="002E1258">
        <w:rPr>
          <w:rStyle w:val="StyleUnderline"/>
        </w:rPr>
        <w:t xml:space="preserve">- </w:t>
      </w:r>
      <w:proofErr w:type="spellStart"/>
      <w:r w:rsidRPr="002E1258">
        <w:rPr>
          <w:rStyle w:val="StyleUnderline"/>
        </w:rPr>
        <w:t>temology</w:t>
      </w:r>
      <w:proofErr w:type="spellEnd"/>
      <w:r w:rsidRPr="002E1258">
        <w:rPr>
          <w:rStyle w:val="StyleUnderline"/>
        </w:rPr>
        <w:t xml:space="preserve"> formulates an ideal social actor, an ideal social being that mirrors and reinforces the cognitive, moral, material, and spiritual norms of the operative modes of domination</w:t>
      </w:r>
      <w:r w:rsidRPr="002E1258">
        <w:rPr>
          <w:sz w:val="14"/>
        </w:rPr>
        <w:t>. In this article, I pay</w:t>
      </w:r>
      <w:r w:rsidRPr="000B3DAE">
        <w:rPr>
          <w:sz w:val="14"/>
        </w:rPr>
        <w:t xml:space="preserve"> specific attention to how this formula- </w:t>
      </w:r>
      <w:proofErr w:type="spellStart"/>
      <w:r w:rsidRPr="000B3DAE">
        <w:rPr>
          <w:sz w:val="14"/>
        </w:rPr>
        <w:t>tion</w:t>
      </w:r>
      <w:proofErr w:type="spellEnd"/>
      <w:r w:rsidRPr="000B3DAE">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0B3DAE">
        <w:rPr>
          <w:sz w:val="14"/>
        </w:rPr>
        <w:t>ture</w:t>
      </w:r>
      <w:proofErr w:type="spellEnd"/>
      <w:r w:rsidRPr="000B3DAE">
        <w:rPr>
          <w:sz w:val="14"/>
        </w:rPr>
        <w:t xml:space="preserve">, the nuances and reality of systemically imposed oppression and violence must be understood. Jose ́ Medina (2013) offers an example of a similar </w:t>
      </w:r>
      <w:proofErr w:type="spellStart"/>
      <w:r w:rsidRPr="000B3DAE">
        <w:rPr>
          <w:sz w:val="14"/>
        </w:rPr>
        <w:t>guid</w:t>
      </w:r>
      <w:proofErr w:type="spellEnd"/>
      <w:r w:rsidRPr="000B3DAE">
        <w:rPr>
          <w:sz w:val="14"/>
        </w:rPr>
        <w:t xml:space="preserve">- </w:t>
      </w:r>
      <w:proofErr w:type="spellStart"/>
      <w:r w:rsidRPr="000B3DAE">
        <w:rPr>
          <w:sz w:val="14"/>
        </w:rPr>
        <w:t>ing</w:t>
      </w:r>
      <w:proofErr w:type="spellEnd"/>
      <w:r w:rsidRPr="000B3DAE">
        <w:rPr>
          <w:sz w:val="14"/>
        </w:rPr>
        <w:t xml:space="preserve"> principle in The Epistemology of Resistance, in which he uses an approach to epistemology that emerges from an understanding that the </w:t>
      </w:r>
      <w:r w:rsidRPr="000B3DAE">
        <w:rPr>
          <w:rStyle w:val="StyleUnderline"/>
        </w:rPr>
        <w:t xml:space="preserve">prevailing social </w:t>
      </w:r>
      <w:proofErr w:type="spellStart"/>
      <w:r w:rsidRPr="000B3DAE">
        <w:rPr>
          <w:rStyle w:val="StyleUnderline"/>
        </w:rPr>
        <w:t>episte</w:t>
      </w:r>
      <w:proofErr w:type="spellEnd"/>
      <w:r w:rsidRPr="000B3DAE">
        <w:rPr>
          <w:rStyle w:val="StyleUnderline"/>
        </w:rPr>
        <w:t xml:space="preserve">- </w:t>
      </w:r>
      <w:proofErr w:type="spellStart"/>
      <w:r w:rsidRPr="000B3DAE">
        <w:rPr>
          <w:rStyle w:val="StyleUnderline"/>
        </w:rPr>
        <w:t>mology</w:t>
      </w:r>
      <w:proofErr w:type="spellEnd"/>
      <w:r w:rsidRPr="000B3DAE">
        <w:rPr>
          <w:rStyle w:val="StyleUnderline"/>
        </w:rPr>
        <w:t xml:space="preserve"> operates from a normalized injustice. </w:t>
      </w:r>
      <w:r w:rsidRPr="000B3DAE">
        <w:rPr>
          <w:sz w:val="14"/>
        </w:rPr>
        <w:t>Medina explains, “</w:t>
      </w:r>
      <w:r w:rsidRPr="000B3DAE">
        <w:rPr>
          <w:rStyle w:val="StyleUnderline"/>
        </w:rPr>
        <w:t xml:space="preserve">If our </w:t>
      </w:r>
      <w:r w:rsidRPr="00540930">
        <w:rPr>
          <w:rStyle w:val="StyleUnderline"/>
          <w:highlight w:val="green"/>
        </w:rPr>
        <w:t>normative theories should start where we are</w:t>
      </w:r>
      <w:r w:rsidRPr="000B3DAE">
        <w:rPr>
          <w:rStyle w:val="StyleUnderline"/>
        </w:rPr>
        <w:t>,</w:t>
      </w:r>
      <w:r w:rsidRPr="000B3DAE">
        <w:rPr>
          <w:sz w:val="14"/>
        </w:rPr>
        <w:t xml:space="preserve"> in medias res, </w:t>
      </w:r>
      <w:r w:rsidRPr="000B3DAE">
        <w:rPr>
          <w:rStyle w:val="StyleUnderline"/>
        </w:rPr>
        <w:t xml:space="preserve">we should start our theorizing by reflecting </w:t>
      </w:r>
      <w:r w:rsidRPr="00540930">
        <w:rPr>
          <w:rStyle w:val="StyleUnderline"/>
          <w:highlight w:val="green"/>
        </w:rPr>
        <w:t>on</w:t>
      </w:r>
      <w:r w:rsidRPr="000B3DAE">
        <w:rPr>
          <w:rStyle w:val="StyleUnderline"/>
        </w:rPr>
        <w:t xml:space="preserve"> the details of the actual </w:t>
      </w:r>
      <w:r w:rsidRPr="00540930">
        <w:rPr>
          <w:rStyle w:val="StyleUnderline"/>
          <w:highlight w:val="green"/>
        </w:rPr>
        <w:t>injustices that surround us,</w:t>
      </w:r>
      <w:r w:rsidRPr="000B3DAE">
        <w:rPr>
          <w:rStyle w:val="StyleUnderline"/>
        </w:rPr>
        <w:t xml:space="preserve"> </w:t>
      </w:r>
      <w:r w:rsidRPr="00540930">
        <w:rPr>
          <w:rStyle w:val="StyleUnderline"/>
          <w:highlight w:val="green"/>
        </w:rPr>
        <w:t>rather than</w:t>
      </w:r>
      <w:r w:rsidRPr="000B3DAE">
        <w:rPr>
          <w:rStyle w:val="StyleUnderline"/>
        </w:rPr>
        <w:t xml:space="preserve"> by </w:t>
      </w:r>
      <w:r w:rsidRPr="00540930">
        <w:rPr>
          <w:rStyle w:val="StyleUnderline"/>
          <w:highlight w:val="green"/>
        </w:rPr>
        <w:t>speculating</w:t>
      </w:r>
      <w:r w:rsidRPr="000B3DAE">
        <w:rPr>
          <w:rStyle w:val="StyleUnderline"/>
        </w:rPr>
        <w:t xml:space="preserve"> what </w:t>
      </w:r>
      <w:r w:rsidRPr="00540930">
        <w:rPr>
          <w:rStyle w:val="StyleUnderline"/>
          <w:highlight w:val="green"/>
        </w:rPr>
        <w:t>a perfect justice</w:t>
      </w:r>
      <w:r w:rsidRPr="000B3DAE">
        <w:rPr>
          <w:rStyle w:val="StyleUnderline"/>
        </w:rPr>
        <w:t xml:space="preserve"> might be. We need a theory of injustice more than a theory of justice</w:t>
      </w:r>
      <w:r w:rsidRPr="000B3DAE">
        <w:rPr>
          <w:sz w:val="14"/>
        </w:rPr>
        <w:t xml:space="preserve">” (12, emphasis in original). In response, Medina argues that </w:t>
      </w:r>
      <w:r w:rsidRPr="00540930">
        <w:rPr>
          <w:rStyle w:val="StyleUnderline"/>
          <w:highlight w:val="green"/>
        </w:rPr>
        <w:t>epistemologies of resistance must be</w:t>
      </w:r>
      <w:r w:rsidRPr="000B3DAE">
        <w:rPr>
          <w:rStyle w:val="StyleUnderline"/>
        </w:rPr>
        <w:t xml:space="preserve"> </w:t>
      </w:r>
      <w:r w:rsidRPr="00540930">
        <w:rPr>
          <w:rStyle w:val="StyleUnderline"/>
          <w:highlight w:val="green"/>
        </w:rPr>
        <w:t>cultivated</w:t>
      </w:r>
      <w:r w:rsidRPr="000B3DAE">
        <w:rPr>
          <w:rStyle w:val="StyleUnderline"/>
        </w:rPr>
        <w:t xml:space="preserve"> through critical understand- </w:t>
      </w:r>
      <w:proofErr w:type="spellStart"/>
      <w:r w:rsidRPr="000B3DAE">
        <w:rPr>
          <w:rStyle w:val="StyleUnderline"/>
        </w:rPr>
        <w:t>ings</w:t>
      </w:r>
      <w:proofErr w:type="spellEnd"/>
      <w:r w:rsidRPr="000B3DAE">
        <w:rPr>
          <w:rStyle w:val="StyleUnderline"/>
        </w:rPr>
        <w:t xml:space="preserve"> of how injustice is epistemically proliferated across social systems and must </w:t>
      </w:r>
      <w:r w:rsidRPr="00540930">
        <w:rPr>
          <w:rStyle w:val="StyleUnderline"/>
          <w:highlight w:val="green"/>
        </w:rPr>
        <w:t>begin with a structural account of domination</w:t>
      </w:r>
      <w:r w:rsidRPr="000B3DAE">
        <w:rPr>
          <w:rStyle w:val="StyleUnderline"/>
        </w:rPr>
        <w:t xml:space="preserve">. </w:t>
      </w:r>
      <w:r w:rsidRPr="000B3DAE">
        <w:rPr>
          <w:sz w:val="14"/>
        </w:rPr>
        <w:t xml:space="preserve">This article harbors a parallel </w:t>
      </w:r>
      <w:proofErr w:type="gramStart"/>
      <w:r w:rsidRPr="000B3DAE">
        <w:rPr>
          <w:sz w:val="14"/>
        </w:rPr>
        <w:t>spirit, and</w:t>
      </w:r>
      <w:proofErr w:type="gramEnd"/>
      <w:r w:rsidRPr="000B3DAE">
        <w:rPr>
          <w:sz w:val="14"/>
        </w:rPr>
        <w:t xml:space="preserve"> seeks to </w:t>
      </w:r>
      <w:r w:rsidRPr="00540930">
        <w:rPr>
          <w:rStyle w:val="StyleUnderline"/>
          <w:highlight w:val="green"/>
        </w:rPr>
        <w:t>elucidate</w:t>
      </w:r>
      <w:r w:rsidRPr="000B3DAE">
        <w:rPr>
          <w:rStyle w:val="StyleUnderline"/>
        </w:rPr>
        <w:t xml:space="preserve"> the </w:t>
      </w:r>
      <w:r w:rsidRPr="00540930">
        <w:rPr>
          <w:rStyle w:val="StyleUnderline"/>
          <w:highlight w:val="green"/>
        </w:rPr>
        <w:t>epistemic mechanics of</w:t>
      </w:r>
      <w:r w:rsidRPr="000B3DAE">
        <w:rPr>
          <w:rStyle w:val="StyleUnderline"/>
        </w:rPr>
        <w:t xml:space="preserve"> white supremacy and </w:t>
      </w:r>
      <w:r w:rsidRPr="00540930">
        <w:rPr>
          <w:rStyle w:val="StyleUnderline"/>
          <w:highlight w:val="green"/>
        </w:rPr>
        <w:t>settler colonialism,</w:t>
      </w:r>
      <w:r w:rsidRPr="000B3DAE">
        <w:rPr>
          <w:rStyle w:val="StyleUnderline"/>
        </w:rPr>
        <w:t xml:space="preserve"> to consider the possibilities of building resistance, and to </w:t>
      </w:r>
      <w:r w:rsidRPr="00540930">
        <w:rPr>
          <w:rStyle w:val="StyleUnderline"/>
          <w:highlight w:val="green"/>
        </w:rPr>
        <w:t>encourage critical</w:t>
      </w:r>
      <w:r w:rsidRPr="000B3DAE">
        <w:rPr>
          <w:rStyle w:val="StyleUnderline"/>
        </w:rPr>
        <w:t xml:space="preserve"> epistemic </w:t>
      </w:r>
      <w:r w:rsidRPr="00540930">
        <w:rPr>
          <w:rStyle w:val="StyleUnderline"/>
          <w:highlight w:val="green"/>
        </w:rPr>
        <w:t>interrogation</w:t>
      </w:r>
      <w:r w:rsidRPr="000B3DAE">
        <w:rPr>
          <w:rStyle w:val="StyleUnderline"/>
        </w:rPr>
        <w:t xml:space="preserve"> and introspection </w:t>
      </w:r>
      <w:r w:rsidRPr="00540930">
        <w:rPr>
          <w:rStyle w:val="StyleUnderline"/>
          <w:highlight w:val="green"/>
        </w:rPr>
        <w:t>in place-based education</w:t>
      </w:r>
      <w:r w:rsidRPr="000B3DAE">
        <w:rPr>
          <w:rStyle w:val="StyleUnderline"/>
        </w:rPr>
        <w:t xml:space="preserve">. Place is an appropriate point of departure for this critical epistemic </w:t>
      </w:r>
      <w:proofErr w:type="spellStart"/>
      <w:r w:rsidRPr="000B3DAE">
        <w:rPr>
          <w:rStyle w:val="StyleUnderline"/>
        </w:rPr>
        <w:t>interroga</w:t>
      </w:r>
      <w:proofErr w:type="spellEnd"/>
      <w:r w:rsidRPr="000B3DAE">
        <w:rPr>
          <w:rStyle w:val="StyleUnderline"/>
        </w:rPr>
        <w:t xml:space="preserve">- </w:t>
      </w:r>
      <w:proofErr w:type="spellStart"/>
      <w:r w:rsidRPr="000B3DAE">
        <w:rPr>
          <w:rStyle w:val="StyleUnderline"/>
        </w:rPr>
        <w:t>tion</w:t>
      </w:r>
      <w:proofErr w:type="spellEnd"/>
      <w:r w:rsidRPr="000B3DAE">
        <w:rPr>
          <w:rStyle w:val="StyleUnderline"/>
        </w:rPr>
        <w:t xml:space="preserve"> because inherent to place-based models of learning is epistemic challenge—a shifting of perspective that dares to see and understand the world around us in new ways</w:t>
      </w:r>
      <w:r w:rsidRPr="000B3DAE">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0B3DAE">
        <w:rPr>
          <w:sz w:val="14"/>
        </w:rPr>
        <w:t>Cajete</w:t>
      </w:r>
      <w:proofErr w:type="spellEnd"/>
      <w:r w:rsidRPr="000B3DAE">
        <w:rPr>
          <w:sz w:val="14"/>
        </w:rPr>
        <w:t xml:space="preserve"> 1994, 1999; Greenwood 2013a, 2013b; </w:t>
      </w:r>
      <w:proofErr w:type="spellStart"/>
      <w:r w:rsidRPr="000B3DAE">
        <w:rPr>
          <w:sz w:val="14"/>
        </w:rPr>
        <w:t>Kawagley</w:t>
      </w:r>
      <w:proofErr w:type="spellEnd"/>
      <w:r w:rsidRPr="000B3DAE">
        <w:rPr>
          <w:sz w:val="14"/>
        </w:rPr>
        <w:t xml:space="preserve"> and Barnhardt 1999; Pen ̃a 1998). </w:t>
      </w:r>
      <w:r w:rsidRPr="000B3DAE">
        <w:rPr>
          <w:rStyle w:val="StyleUnderline"/>
        </w:rPr>
        <w:t xml:space="preserve">We all exist in </w:t>
      </w:r>
      <w:proofErr w:type="gramStart"/>
      <w:r w:rsidRPr="000B3DAE">
        <w:rPr>
          <w:rStyle w:val="StyleUnderline"/>
        </w:rPr>
        <w:t>place</w:t>
      </w:r>
      <w:proofErr w:type="gramEnd"/>
      <w:r w:rsidRPr="000B3DAE">
        <w:rPr>
          <w:rStyle w:val="StyleUnderline"/>
        </w:rPr>
        <w:t xml:space="preserve"> and we are all engaged in a subtle process of place-making: constituting and defining the places we exist in</w:t>
      </w:r>
      <w:r w:rsidRPr="000B3DAE">
        <w:rPr>
          <w:sz w:val="14"/>
        </w:rPr>
        <w:t xml:space="preserve"> (Basso 1996), and </w:t>
      </w:r>
      <w:r w:rsidRPr="000B3DAE">
        <w:rPr>
          <w:rStyle w:val="StyleUnderline"/>
        </w:rPr>
        <w:t xml:space="preserve">thus the potential of place-based learning to encourage a shift in awareness towards our most intimate </w:t>
      </w:r>
      <w:r w:rsidRPr="005653B7">
        <w:rPr>
          <w:rStyle w:val="StyleUnderline"/>
        </w:rPr>
        <w:t xml:space="preserve">environments. </w:t>
      </w:r>
      <w:r w:rsidRPr="005653B7">
        <w:rPr>
          <w:sz w:val="14"/>
        </w:rPr>
        <w:t xml:space="preserve">As this article suggests, such </w:t>
      </w:r>
      <w:r w:rsidRPr="005653B7">
        <w:rPr>
          <w:rStyle w:val="StyleUnderline"/>
        </w:rPr>
        <w:t>an epistemic shift can be pushed further to incorporate a critical awareness of how place intersects with race, gender, and colonialism</w:t>
      </w:r>
      <w:r w:rsidRPr="005653B7">
        <w:rPr>
          <w:sz w:val="14"/>
        </w:rPr>
        <w:t xml:space="preserve">. How- ever, </w:t>
      </w:r>
      <w:r w:rsidRPr="005653B7">
        <w:rPr>
          <w:rStyle w:val="StyleUnderline"/>
        </w:rPr>
        <w:t xml:space="preserve">epistemic interrogation cannot only be comprised of an individual critically engaging structural aspects of epistemology. </w:t>
      </w:r>
      <w:r w:rsidRPr="00540930">
        <w:rPr>
          <w:rStyle w:val="StyleUnderline"/>
          <w:highlight w:val="green"/>
        </w:rPr>
        <w:t>Interrogation must</w:t>
      </w:r>
      <w:r w:rsidRPr="000B3DAE">
        <w:rPr>
          <w:rStyle w:val="StyleUnderline"/>
        </w:rPr>
        <w:t xml:space="preserve"> also </w:t>
      </w:r>
      <w:r w:rsidRPr="00540930">
        <w:rPr>
          <w:rStyle w:val="StyleUnderline"/>
          <w:highlight w:val="green"/>
        </w:rPr>
        <w:t>forefront</w:t>
      </w:r>
      <w:r w:rsidRPr="000B3DAE">
        <w:rPr>
          <w:rStyle w:val="StyleUnderline"/>
        </w:rPr>
        <w:t xml:space="preserve"> a process of “</w:t>
      </w:r>
      <w:r w:rsidRPr="00540930">
        <w:rPr>
          <w:rStyle w:val="StyleUnderline"/>
          <w:highlight w:val="green"/>
        </w:rPr>
        <w:t>self-estrangement</w:t>
      </w:r>
      <w:r w:rsidRPr="000B3DAE">
        <w:rPr>
          <w:rStyle w:val="StyleUnderline"/>
        </w:rPr>
        <w:t>”</w:t>
      </w:r>
      <w:r w:rsidRPr="000B3DAE">
        <w:rPr>
          <w:sz w:val="14"/>
        </w:rPr>
        <w:t xml:space="preserve"> (Medina 2013, 19), </w:t>
      </w:r>
      <w:r w:rsidRPr="000B3DAE">
        <w:rPr>
          <w:rStyle w:val="StyleUnderline"/>
        </w:rPr>
        <w:t xml:space="preserve">in which epistemic </w:t>
      </w:r>
      <w:r w:rsidRPr="00540930">
        <w:rPr>
          <w:rStyle w:val="StyleUnderline"/>
          <w:highlight w:val="green"/>
        </w:rPr>
        <w:t xml:space="preserve">positional- </w:t>
      </w:r>
      <w:proofErr w:type="spellStart"/>
      <w:r w:rsidRPr="00540930">
        <w:rPr>
          <w:rStyle w:val="StyleUnderline"/>
          <w:highlight w:val="green"/>
        </w:rPr>
        <w:t>ity</w:t>
      </w:r>
      <w:proofErr w:type="spellEnd"/>
      <w:r w:rsidRPr="00540930">
        <w:rPr>
          <w:rStyle w:val="StyleUnderline"/>
          <w:highlight w:val="green"/>
        </w:rPr>
        <w:t xml:space="preserve"> is located</w:t>
      </w:r>
      <w:r w:rsidRPr="000B3DAE">
        <w:rPr>
          <w:rStyle w:val="StyleUnderline"/>
        </w:rPr>
        <w:t xml:space="preserve">, and an individual seeks awareness of their relationship to epistemic structures and matrices of power. </w:t>
      </w:r>
      <w:r w:rsidRPr="000B3DAE">
        <w:rPr>
          <w:sz w:val="14"/>
        </w:rPr>
        <w:t xml:space="preserve">Accordingly, </w:t>
      </w:r>
      <w:r w:rsidRPr="000B3DAE">
        <w:rPr>
          <w:rStyle w:val="StyleUnderline"/>
        </w:rPr>
        <w:t xml:space="preserve">place-based inquiry needs to </w:t>
      </w:r>
      <w:proofErr w:type="gramStart"/>
      <w:r w:rsidRPr="000B3DAE">
        <w:rPr>
          <w:rStyle w:val="StyleUnderline"/>
        </w:rPr>
        <w:t xml:space="preserve">more thoroughly </w:t>
      </w:r>
      <w:r w:rsidRPr="00540930">
        <w:rPr>
          <w:rStyle w:val="StyleUnderline"/>
          <w:highlight w:val="green"/>
        </w:rPr>
        <w:t>engage the complex</w:t>
      </w:r>
      <w:r w:rsidRPr="000B3DAE">
        <w:rPr>
          <w:rStyle w:val="StyleUnderline"/>
        </w:rPr>
        <w:t xml:space="preserve"> </w:t>
      </w:r>
      <w:r w:rsidRPr="00540930">
        <w:rPr>
          <w:rStyle w:val="StyleUnderline"/>
          <w:highlight w:val="green"/>
        </w:rPr>
        <w:t>epistemic relationship</w:t>
      </w:r>
      <w:proofErr w:type="gramEnd"/>
      <w:r w:rsidRPr="00540930">
        <w:rPr>
          <w:rStyle w:val="StyleUnderline"/>
          <w:highlight w:val="green"/>
        </w:rPr>
        <w:t xml:space="preserve"> between modes of </w:t>
      </w:r>
      <w:proofErr w:type="spellStart"/>
      <w:r w:rsidRPr="00540930">
        <w:rPr>
          <w:rStyle w:val="StyleUnderline"/>
          <w:highlight w:val="green"/>
        </w:rPr>
        <w:t>domi</w:t>
      </w:r>
      <w:proofErr w:type="spellEnd"/>
      <w:r w:rsidRPr="00540930">
        <w:rPr>
          <w:rStyle w:val="StyleUnderline"/>
          <w:highlight w:val="green"/>
        </w:rPr>
        <w:t>- nation</w:t>
      </w:r>
      <w:r w:rsidRPr="000B3DAE">
        <w:rPr>
          <w:rStyle w:val="StyleUnderline"/>
        </w:rPr>
        <w:t xml:space="preserve">, conceptions of </w:t>
      </w:r>
      <w:r w:rsidRPr="00540930">
        <w:rPr>
          <w:rStyle w:val="StyleUnderline"/>
          <w:highlight w:val="green"/>
        </w:rPr>
        <w:t>the natural world, and</w:t>
      </w:r>
      <w:r w:rsidRPr="000B3DAE">
        <w:rPr>
          <w:rStyle w:val="StyleUnderline"/>
        </w:rPr>
        <w:t xml:space="preserve"> the </w:t>
      </w:r>
      <w:r w:rsidRPr="00540930">
        <w:rPr>
          <w:rStyle w:val="StyleUnderline"/>
          <w:highlight w:val="green"/>
        </w:rPr>
        <w:t>politics of self</w:t>
      </w:r>
      <w:r w:rsidRPr="000B3DAE">
        <w:rPr>
          <w:rStyle w:val="StyleUnderline"/>
        </w:rPr>
        <w:t>.</w:t>
      </w:r>
      <w:r w:rsidRPr="000B3DAE">
        <w:rPr>
          <w:sz w:val="14"/>
        </w:rPr>
        <w:t xml:space="preserve"> The structural epistemologies that influence conceptions of the self are not only enmeshed with white supremacy and settler colonialism. As has been pointed out by many scholars, </w:t>
      </w:r>
      <w:proofErr w:type="gramStart"/>
      <w:r w:rsidRPr="000B3DAE">
        <w:rPr>
          <w:sz w:val="14"/>
        </w:rPr>
        <w:t>educators</w:t>
      </w:r>
      <w:proofErr w:type="gramEnd"/>
      <w:r w:rsidRPr="000B3DAE">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0B3DAE">
        <w:rPr>
          <w:sz w:val="14"/>
        </w:rPr>
        <w:t>Martusewicz</w:t>
      </w:r>
      <w:proofErr w:type="spellEnd"/>
      <w:r w:rsidRPr="000B3DAE">
        <w:rPr>
          <w:sz w:val="14"/>
        </w:rPr>
        <w:t xml:space="preserve">, Edmundson, and </w:t>
      </w:r>
      <w:proofErr w:type="spellStart"/>
      <w:r w:rsidRPr="000B3DAE">
        <w:rPr>
          <w:sz w:val="14"/>
        </w:rPr>
        <w:t>Lupinacci</w:t>
      </w:r>
      <w:proofErr w:type="spellEnd"/>
      <w:r w:rsidRPr="000B3DAE">
        <w:rPr>
          <w:sz w:val="14"/>
        </w:rPr>
        <w:t xml:space="preserve"> 2011; </w:t>
      </w:r>
      <w:proofErr w:type="spellStart"/>
      <w:r w:rsidRPr="000B3DAE">
        <w:rPr>
          <w:sz w:val="14"/>
        </w:rPr>
        <w:t>Plumwood</w:t>
      </w:r>
      <w:proofErr w:type="spellEnd"/>
      <w:r w:rsidRPr="000B3DAE">
        <w:rPr>
          <w:sz w:val="14"/>
        </w:rPr>
        <w:t xml:space="preserve"> 2002). Although these modes of domination employ intersecting and mutually invested logics (e.g., a dependence on false dichotomies like man/woman, nature/culture, reason/passion, mind/body; </w:t>
      </w:r>
      <w:proofErr w:type="spellStart"/>
      <w:r w:rsidRPr="000B3DAE">
        <w:rPr>
          <w:sz w:val="14"/>
        </w:rPr>
        <w:t>Plumwood</w:t>
      </w:r>
      <w:proofErr w:type="spellEnd"/>
      <w:r w:rsidRPr="000B3DAE">
        <w:rPr>
          <w:sz w:val="14"/>
        </w:rPr>
        <w:t xml:space="preserve"> 2002), they do not always operate in the same manner, and thus need to be considered on their own terms and according to their epistemic uniqueness (Medina 2013). </w:t>
      </w:r>
      <w:proofErr w:type="gramStart"/>
      <w:r w:rsidRPr="000B3DAE">
        <w:rPr>
          <w:sz w:val="14"/>
        </w:rPr>
        <w:t>With that being said, this</w:t>
      </w:r>
      <w:proofErr w:type="gramEnd"/>
      <w:r w:rsidRPr="000B3DAE">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540930">
        <w:rPr>
          <w:rStyle w:val="StyleUnderline"/>
          <w:highlight w:val="green"/>
        </w:rPr>
        <w:t>settler traditions of place are</w:t>
      </w:r>
      <w:r w:rsidRPr="000B3DAE">
        <w:rPr>
          <w:rStyle w:val="StyleUnderline"/>
        </w:rPr>
        <w:t xml:space="preserve"> constituted by </w:t>
      </w:r>
      <w:r w:rsidRPr="00540930">
        <w:rPr>
          <w:rStyle w:val="StyleUnderline"/>
          <w:highlight w:val="green"/>
        </w:rPr>
        <w:t>normative habits</w:t>
      </w:r>
      <w:r w:rsidRPr="000B3DAE">
        <w:rPr>
          <w:rStyle w:val="StyleUnderline"/>
        </w:rPr>
        <w:t xml:space="preserve"> and practices that have been </w:t>
      </w:r>
      <w:r w:rsidRPr="00540930">
        <w:rPr>
          <w:rStyle w:val="StyleUnderline"/>
          <w:highlight w:val="green"/>
        </w:rPr>
        <w:t>passed down</w:t>
      </w:r>
      <w:r w:rsidRPr="000B3DAE">
        <w:rPr>
          <w:rStyle w:val="StyleUnderline"/>
        </w:rPr>
        <w:t xml:space="preserve"> for generations, encouraging </w:t>
      </w:r>
      <w:proofErr w:type="gramStart"/>
      <w:r w:rsidRPr="000B3DAE">
        <w:rPr>
          <w:rStyle w:val="StyleUnderline"/>
        </w:rPr>
        <w:t>particular relations</w:t>
      </w:r>
      <w:proofErr w:type="gramEnd"/>
      <w:r w:rsidRPr="000B3DAE">
        <w:rPr>
          <w:rStyle w:val="StyleUnderline"/>
        </w:rPr>
        <w:t xml:space="preserve"> to place, and ultimately </w:t>
      </w:r>
      <w:r w:rsidRPr="00540930">
        <w:rPr>
          <w:rStyle w:val="StyleUnderline"/>
          <w:highlight w:val="green"/>
        </w:rPr>
        <w:t>impacting the</w:t>
      </w:r>
      <w:r w:rsidRPr="000B3DAE">
        <w:rPr>
          <w:rStyle w:val="StyleUnderline"/>
        </w:rPr>
        <w:t xml:space="preserve"> contemporary </w:t>
      </w:r>
      <w:r w:rsidRPr="00540930">
        <w:rPr>
          <w:rStyle w:val="StyleUnderline"/>
          <w:highlight w:val="green"/>
        </w:rPr>
        <w:t>potential of place-based education</w:t>
      </w:r>
      <w:r w:rsidRPr="000B3DAE">
        <w:rPr>
          <w:rStyle w:val="StyleUnderline"/>
        </w:rPr>
        <w:t>. Addressing the function of place within both white supremacy and settler colonialism provides a look at some of the nuances of settler traditions of place.</w:t>
      </w:r>
      <w:r w:rsidRPr="000B3DAE">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0B3DAE">
        <w:rPr>
          <w:rStyle w:val="StyleUnderline"/>
        </w:rPr>
        <w:t>There is a radical potential in place-based education to promote productive epistemic friction and interrogation of the epistemic genealogy of the West.</w:t>
      </w:r>
      <w:r w:rsidRPr="000B3DAE">
        <w:rPr>
          <w:sz w:val="14"/>
        </w:rPr>
        <w:t xml:space="preserve"> However, </w:t>
      </w:r>
      <w:r w:rsidRPr="000B3DAE">
        <w:rPr>
          <w:rStyle w:val="StyleUnderline"/>
        </w:rPr>
        <w:t>a critical comprehension of how we are differentially incorporated into epistemic structures is required to fully realize its potential.</w:t>
      </w:r>
    </w:p>
    <w:p w14:paraId="6188D494" w14:textId="77777777" w:rsidR="00BC0B8D" w:rsidRDefault="00BC0B8D" w:rsidP="00BC0B8D">
      <w:pPr>
        <w:rPr>
          <w:sz w:val="16"/>
        </w:rPr>
      </w:pPr>
    </w:p>
    <w:p w14:paraId="59502CF2" w14:textId="77777777" w:rsidR="00BC0B8D" w:rsidRDefault="00BC0B8D" w:rsidP="00BC0B8D">
      <w:pPr>
        <w:pStyle w:val="Heading4"/>
      </w:pPr>
      <w:r>
        <w:t>Representations and epistemology perpetuate settler practices – the way we understand and discuss the structures around us overdetermines our praxis</w:t>
      </w:r>
    </w:p>
    <w:p w14:paraId="73D9316D" w14:textId="77777777" w:rsidR="00BC0B8D" w:rsidRPr="00C1024A" w:rsidRDefault="00BC0B8D" w:rsidP="00BC0B8D">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E4A29EA" w14:textId="77777777" w:rsidR="00BC0B8D" w:rsidRPr="00C1024A" w:rsidRDefault="00BC0B8D" w:rsidP="00BC0B8D">
      <w:pPr>
        <w:rPr>
          <w:sz w:val="26"/>
          <w:u w:val="singl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r w:rsidRPr="0097750A">
        <w:rPr>
          <w:sz w:val="14"/>
        </w:rPr>
        <w:t xml:space="preserve"> (99). As </w:t>
      </w:r>
      <w:proofErr w:type="spellStart"/>
      <w:r w:rsidRPr="0097750A">
        <w:rPr>
          <w:sz w:val="14"/>
        </w:rPr>
        <w:t>Martusewicz</w:t>
      </w:r>
      <w:proofErr w:type="spellEnd"/>
      <w:r w:rsidRPr="0097750A">
        <w:rPr>
          <w:sz w:val="14"/>
        </w:rPr>
        <w:t xml:space="preserve">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hopefully actualize an alternative epistemology.</w:t>
      </w:r>
    </w:p>
    <w:p w14:paraId="2E36F803" w14:textId="77777777" w:rsidR="00BC0B8D" w:rsidRPr="001B3057" w:rsidRDefault="00BC0B8D" w:rsidP="00BC0B8D"/>
    <w:p w14:paraId="0DD54443" w14:textId="77777777" w:rsidR="00BC0B8D" w:rsidRDefault="00BC0B8D" w:rsidP="00BC0B8D">
      <w:pPr>
        <w:pStyle w:val="Heading2"/>
      </w:pPr>
      <w:r>
        <w:t>Case</w:t>
      </w:r>
    </w:p>
    <w:p w14:paraId="49A88885" w14:textId="77777777" w:rsidR="00BC0B8D" w:rsidRDefault="00BC0B8D" w:rsidP="00BC0B8D"/>
    <w:p w14:paraId="618A2969" w14:textId="77777777" w:rsidR="00BC0B8D" w:rsidRDefault="00BC0B8D" w:rsidP="00BC0B8D">
      <w:pPr>
        <w:pStyle w:val="Heading3"/>
      </w:pPr>
      <w:r>
        <w:t>OV</w:t>
      </w:r>
    </w:p>
    <w:p w14:paraId="0C638BD9" w14:textId="77777777" w:rsidR="00BC0B8D" w:rsidRDefault="00BC0B8D" w:rsidP="00BC0B8D">
      <w:pPr>
        <w:pStyle w:val="Heading4"/>
      </w:pPr>
      <w:r>
        <w:t xml:space="preserve">Top level framing issues – </w:t>
      </w:r>
    </w:p>
    <w:p w14:paraId="61F8AA1E" w14:textId="77777777" w:rsidR="00BC0B8D" w:rsidRDefault="00BC0B8D" w:rsidP="00BC0B8D"/>
    <w:p w14:paraId="1BA33A23" w14:textId="77777777" w:rsidR="00BC0B8D" w:rsidRDefault="00BC0B8D" w:rsidP="00BC0B8D">
      <w:pPr>
        <w:pStyle w:val="Heading4"/>
      </w:pPr>
      <w:r>
        <w:t xml:space="preserve">1] Every morally repugnant blip in the 1AC is an independent link that they shouldn’t be allowed to kick out of – a refusal to hold the </w:t>
      </w:r>
      <w:proofErr w:type="spellStart"/>
      <w:r>
        <w:t>aff</w:t>
      </w:r>
      <w:proofErr w:type="spellEnd"/>
      <w:r>
        <w:t xml:space="preserve"> accountable for the racist choices they made in the 1AC encourages students to knowingly blip out racist one </w:t>
      </w:r>
      <w:proofErr w:type="gramStart"/>
      <w:r>
        <w:t>liners</w:t>
      </w:r>
      <w:proofErr w:type="gramEnd"/>
      <w:r>
        <w:t xml:space="preserve"> for strategic gain and is a form of settler fluidity </w:t>
      </w:r>
    </w:p>
    <w:p w14:paraId="5FFA0025" w14:textId="77777777" w:rsidR="00BC0B8D" w:rsidRPr="000D7AA9" w:rsidRDefault="00BC0B8D" w:rsidP="00BC0B8D"/>
    <w:p w14:paraId="14E46476" w14:textId="77777777" w:rsidR="00BC0B8D" w:rsidRDefault="00BC0B8D" w:rsidP="00BC0B8D">
      <w:pPr>
        <w:pStyle w:val="Heading4"/>
      </w:pPr>
      <w:r>
        <w:t xml:space="preserve">2] You should auto reject any </w:t>
      </w:r>
      <w:proofErr w:type="spellStart"/>
      <w:r>
        <w:t>aff</w:t>
      </w:r>
      <w:proofErr w:type="spellEnd"/>
      <w:r>
        <w:t xml:space="preserve"> FW </w:t>
      </w:r>
      <w:proofErr w:type="spellStart"/>
      <w:r>
        <w:t>arg</w:t>
      </w:r>
      <w:proofErr w:type="spellEnd"/>
      <w: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t>pre requisite</w:t>
      </w:r>
      <w:proofErr w:type="gramEnd"/>
      <w:r>
        <w:t xml:space="preserve"> to every other impact b] it disproves the conclusion of their theory even if you can’t pinpoint exactly where it fell apart</w:t>
      </w:r>
    </w:p>
    <w:p w14:paraId="18EEAE41" w14:textId="77777777" w:rsidR="00BC0B8D" w:rsidRPr="00E343C4" w:rsidRDefault="00BC0B8D" w:rsidP="00BC0B8D"/>
    <w:p w14:paraId="179FAD9C" w14:textId="77777777" w:rsidR="00BC0B8D" w:rsidRPr="00822002" w:rsidRDefault="00BC0B8D" w:rsidP="00BC0B8D">
      <w:pPr>
        <w:pStyle w:val="Heading4"/>
      </w:pPr>
      <w:r>
        <w:t xml:space="preserve">3] We get new 2NR responses to spikes – anything else incentivizes the 1AC hiding </w:t>
      </w:r>
      <w:proofErr w:type="spellStart"/>
      <w:r>
        <w:t>blippy</w:t>
      </w:r>
      <w:proofErr w:type="spellEnd"/>
      <w:r>
        <w:t xml:space="preserve"> arguments to avoid clash which decks engagement and ends the debate after the 1AR which is educationally bankrupt and unfair</w:t>
      </w:r>
    </w:p>
    <w:p w14:paraId="63D403C6" w14:textId="77777777" w:rsidR="00BC0B8D" w:rsidRPr="00312217" w:rsidRDefault="00BC0B8D" w:rsidP="00BC0B8D"/>
    <w:p w14:paraId="57A1B56B" w14:textId="77777777" w:rsidR="00BC0B8D" w:rsidRDefault="00BC0B8D" w:rsidP="00BC0B8D">
      <w:pPr>
        <w:pStyle w:val="Heading3"/>
      </w:pPr>
      <w:r>
        <w:t>FW</w:t>
      </w:r>
    </w:p>
    <w:p w14:paraId="71B9B8B0" w14:textId="77777777" w:rsidR="00BC0B8D" w:rsidRDefault="00BC0B8D" w:rsidP="00BC0B8D"/>
    <w:p w14:paraId="7CEF2A93" w14:textId="77777777" w:rsidR="00BC0B8D" w:rsidRDefault="00BC0B8D" w:rsidP="00BC0B8D">
      <w:pPr>
        <w:pStyle w:val="Heading4"/>
      </w:pPr>
      <w:r>
        <w:t>Grande answers subject is unstable</w:t>
      </w:r>
    </w:p>
    <w:p w14:paraId="7E41464E" w14:textId="77777777" w:rsidR="00BC0B8D" w:rsidRDefault="00BC0B8D" w:rsidP="00BC0B8D">
      <w:pPr>
        <w:pStyle w:val="Heading4"/>
      </w:pPr>
      <w:r>
        <w:t>1] It’s not – subjectivity is overburdened by place – relationality to land determines how a subject can change and how that subject is seen by larger communities – anything else ignores Indigenous cosmologies</w:t>
      </w:r>
    </w:p>
    <w:p w14:paraId="293316BF" w14:textId="77777777" w:rsidR="00BC0B8D" w:rsidRPr="005B5027" w:rsidRDefault="00BC0B8D" w:rsidP="00BC0B8D">
      <w:pPr>
        <w:pStyle w:val="Heading4"/>
      </w:pPr>
      <w:r>
        <w:t xml:space="preserve">2] Even if it is unstable its strategic to view it as static – anything else greenlights white ethnic voguing in and out of minoritarian subjectivities </w:t>
      </w:r>
      <w:proofErr w:type="gramStart"/>
      <w:r>
        <w:t>i.e.</w:t>
      </w:r>
      <w:proofErr w:type="gramEnd"/>
      <w:r>
        <w:t xml:space="preserve"> Rachel Dolezal</w:t>
      </w:r>
    </w:p>
    <w:p w14:paraId="27FC7355" w14:textId="77777777" w:rsidR="00BC0B8D" w:rsidRDefault="00BC0B8D" w:rsidP="00BC0B8D">
      <w:pPr>
        <w:pStyle w:val="Heading4"/>
      </w:pPr>
    </w:p>
    <w:p w14:paraId="1AE14478" w14:textId="77777777" w:rsidR="00BC0B8D" w:rsidRDefault="00BC0B8D" w:rsidP="00BC0B8D">
      <w:pPr>
        <w:pStyle w:val="Heading4"/>
      </w:pPr>
      <w:r>
        <w:t>Deleuze 68</w:t>
      </w:r>
    </w:p>
    <w:p w14:paraId="4F0C7919" w14:textId="77777777" w:rsidR="00BC0B8D" w:rsidRDefault="00BC0B8D" w:rsidP="00BC0B8D">
      <w:pPr>
        <w:pStyle w:val="Heading4"/>
      </w:pPr>
      <w:r>
        <w:t xml:space="preserve">1] Beings can only affectively experience subjectivity in specific moments in </w:t>
      </w:r>
      <w:proofErr w:type="gramStart"/>
      <w:r>
        <w:t>time</w:t>
      </w:r>
      <w:proofErr w:type="gramEnd"/>
      <w:r>
        <w:t xml:space="preserve"> but predictions/imagination/induction all prove we can conceive of and identify future things, including identifying with our future and past self which coheres identity</w:t>
      </w:r>
    </w:p>
    <w:p w14:paraId="2C8E9531" w14:textId="77777777" w:rsidR="00BC0B8D" w:rsidRDefault="00BC0B8D" w:rsidP="00BC0B8D"/>
    <w:p w14:paraId="74FE3BDC" w14:textId="77777777" w:rsidR="00BC0B8D" w:rsidRDefault="00BC0B8D" w:rsidP="00BC0B8D">
      <w:pPr>
        <w:pStyle w:val="Heading4"/>
      </w:pPr>
      <w:r>
        <w:t>Impacts</w:t>
      </w:r>
    </w:p>
    <w:p w14:paraId="584B5690" w14:textId="77777777" w:rsidR="00BC0B8D" w:rsidRDefault="00BC0B8D" w:rsidP="00BC0B8D">
      <w:pPr>
        <w:pStyle w:val="Heading4"/>
      </w:pPr>
      <w:r>
        <w:t>Off a</w:t>
      </w:r>
    </w:p>
    <w:p w14:paraId="5D44C507" w14:textId="77777777" w:rsidR="00BC0B8D" w:rsidRDefault="00BC0B8D" w:rsidP="00BC0B8D">
      <w:pPr>
        <w:pStyle w:val="Heading4"/>
      </w:pPr>
      <w:r>
        <w:t xml:space="preserve">1] Presupposes they’ve won self </w:t>
      </w:r>
      <w:proofErr w:type="spellStart"/>
      <w:r>
        <w:t>fluxtuation</w:t>
      </w:r>
      <w:proofErr w:type="spellEnd"/>
    </w:p>
    <w:p w14:paraId="32477AE8" w14:textId="77777777" w:rsidR="00BC0B8D" w:rsidRDefault="00BC0B8D" w:rsidP="00BC0B8D">
      <w:pPr>
        <w:pStyle w:val="Heading4"/>
      </w:pPr>
      <w:r>
        <w:t>2] Even if subjectivity changes its repugnant to say things like oppression bad don’t still hold true</w:t>
      </w:r>
    </w:p>
    <w:p w14:paraId="7B42D631" w14:textId="77777777" w:rsidR="00BC0B8D" w:rsidRPr="00217CCE" w:rsidRDefault="00BC0B8D" w:rsidP="00BC0B8D"/>
    <w:p w14:paraId="4E2013AE" w14:textId="77777777" w:rsidR="00BC0B8D" w:rsidRDefault="00BC0B8D" w:rsidP="00BC0B8D">
      <w:pPr>
        <w:pStyle w:val="Heading4"/>
      </w:pPr>
      <w:r>
        <w:t>Off b</w:t>
      </w:r>
    </w:p>
    <w:p w14:paraId="3F9FDA0B" w14:textId="77777777" w:rsidR="00BC0B8D" w:rsidRPr="005B5027" w:rsidRDefault="00BC0B8D" w:rsidP="00BC0B8D">
      <w:pPr>
        <w:pStyle w:val="Heading4"/>
      </w:pPr>
      <w:r>
        <w:t xml:space="preserve">1] Obviously distinct – everything has relations to something </w:t>
      </w:r>
      <w:proofErr w:type="spellStart"/>
      <w:proofErr w:type="gramStart"/>
      <w:r>
        <w:t>i</w:t>
      </w:r>
      <w:proofErr w:type="spellEnd"/>
      <w:r>
        <w:t>..e</w:t>
      </w:r>
      <w:proofErr w:type="gramEnd"/>
      <w:r>
        <w:t xml:space="preserve"> </w:t>
      </w:r>
      <w:proofErr w:type="spellStart"/>
      <w:r>
        <w:t>aff</w:t>
      </w:r>
      <w:proofErr w:type="spellEnd"/>
      <w:r>
        <w:t xml:space="preserve"> and neg but saying </w:t>
      </w:r>
      <w:proofErr w:type="spellStart"/>
      <w:r>
        <w:t>theyre</w:t>
      </w:r>
      <w:proofErr w:type="spellEnd"/>
      <w:r>
        <w:t xml:space="preserve"> the same thing is repugnant – not a </w:t>
      </w:r>
      <w:proofErr w:type="spellStart"/>
      <w:r>
        <w:t>treigger</w:t>
      </w:r>
      <w:proofErr w:type="spellEnd"/>
    </w:p>
    <w:p w14:paraId="727CBE0C" w14:textId="77777777" w:rsidR="00BC0B8D" w:rsidRDefault="00BC0B8D" w:rsidP="00BC0B8D"/>
    <w:p w14:paraId="3693BB56" w14:textId="77777777" w:rsidR="00BC0B8D" w:rsidRDefault="00BC0B8D" w:rsidP="00BC0B8D">
      <w:pPr>
        <w:pStyle w:val="Heading4"/>
      </w:pPr>
      <w:r>
        <w:t>Hardt 14</w:t>
      </w:r>
    </w:p>
    <w:p w14:paraId="5C869826" w14:textId="77777777" w:rsidR="00BC0B8D" w:rsidRDefault="00BC0B8D" w:rsidP="00BC0B8D">
      <w:pPr>
        <w:pStyle w:val="Heading4"/>
      </w:pPr>
      <w:r>
        <w:t xml:space="preserve">1] Concede encounters with world change our subjectivity BUT certain encounters ensure those changes can’t be undone – </w:t>
      </w:r>
      <w:proofErr w:type="gramStart"/>
      <w:r>
        <w:t>i.e.</w:t>
      </w:r>
      <w:proofErr w:type="gramEnd"/>
      <w:r>
        <w:t xml:space="preserve"> relationality to land</w:t>
      </w:r>
    </w:p>
    <w:p w14:paraId="3287D5B4" w14:textId="77777777" w:rsidR="00BC0B8D" w:rsidRDefault="00BC0B8D" w:rsidP="00BC0B8D"/>
    <w:p w14:paraId="201E2373" w14:textId="77777777" w:rsidR="00BC0B8D" w:rsidRDefault="00BC0B8D" w:rsidP="00BC0B8D">
      <w:pPr>
        <w:pStyle w:val="Heading4"/>
      </w:pPr>
      <w:r>
        <w:t>K&amp;R 16</w:t>
      </w:r>
    </w:p>
    <w:p w14:paraId="3F42AA13" w14:textId="77777777" w:rsidR="00BC0B8D" w:rsidRDefault="00BC0B8D" w:rsidP="00BC0B8D">
      <w:pPr>
        <w:pStyle w:val="Heading4"/>
      </w:pPr>
      <w:r>
        <w:t xml:space="preserve">1] Linear future planning good – k2 </w:t>
      </w:r>
      <w:proofErr w:type="spellStart"/>
      <w:r>
        <w:t>decol</w:t>
      </w:r>
      <w:proofErr w:type="spellEnd"/>
    </w:p>
    <w:p w14:paraId="7B8376B0" w14:textId="77777777" w:rsidR="00BC0B8D" w:rsidRDefault="00BC0B8D" w:rsidP="00BC0B8D">
      <w:pPr>
        <w:pStyle w:val="Heading4"/>
      </w:pPr>
      <w:r>
        <w:t xml:space="preserve">2] It’s a link - the location of natives within majoritarian settler society is defined as an external other – their theory of redefining minoritarian location might be useful for other marginalized groups that seek </w:t>
      </w:r>
      <w:proofErr w:type="gramStart"/>
      <w:r>
        <w:t>inclusion</w:t>
      </w:r>
      <w:proofErr w:type="gramEnd"/>
      <w:r>
        <w:t xml:space="preserve"> but that inclusion becomes assimilation in the context of settler colonialism – the problem isn’t a need to escape </w:t>
      </w:r>
      <w:proofErr w:type="spellStart"/>
      <w:r>
        <w:t>sqo</w:t>
      </w:r>
      <w:proofErr w:type="spellEnd"/>
      <w:r>
        <w:t xml:space="preserve"> social positioning to somewhere else, but rather to completely upend the settler system in which social positioning occurs</w:t>
      </w:r>
    </w:p>
    <w:p w14:paraId="7D6D2B54" w14:textId="77777777" w:rsidR="00BC0B8D" w:rsidRDefault="00BC0B8D" w:rsidP="00BC0B8D"/>
    <w:p w14:paraId="60243D36" w14:textId="77777777" w:rsidR="00BC0B8D" w:rsidRDefault="00BC0B8D" w:rsidP="00BC0B8D">
      <w:pPr>
        <w:pStyle w:val="Heading4"/>
      </w:pPr>
      <w:r>
        <w:t xml:space="preserve">Carlin and </w:t>
      </w:r>
      <w:proofErr w:type="spellStart"/>
      <w:r>
        <w:t>Wallin</w:t>
      </w:r>
      <w:proofErr w:type="spellEnd"/>
      <w:r>
        <w:t xml:space="preserve"> 14</w:t>
      </w:r>
    </w:p>
    <w:p w14:paraId="694D18A8" w14:textId="77777777" w:rsidR="00BC0B8D" w:rsidRDefault="00BC0B8D" w:rsidP="00BC0B8D">
      <w:pPr>
        <w:pStyle w:val="Heading4"/>
      </w:pPr>
      <w:r>
        <w:t>1] Impact turning minoritarian resistance impact turns the TJF – this also def proves the link – says “capturing difference is bad”</w:t>
      </w:r>
    </w:p>
    <w:p w14:paraId="4DB7CF47" w14:textId="77777777" w:rsidR="00BC0B8D" w:rsidRPr="00312217" w:rsidRDefault="00BC0B8D" w:rsidP="00BC0B8D">
      <w:pPr>
        <w:pStyle w:val="Heading4"/>
      </w:pPr>
      <w:r>
        <w:t>2] Place based education solves – it might not oppose difference at every turn BUT it still combats dominant hierarchies</w:t>
      </w:r>
    </w:p>
    <w:p w14:paraId="1F97C65D" w14:textId="77777777" w:rsidR="00BC0B8D" w:rsidRDefault="00BC0B8D" w:rsidP="00BC0B8D">
      <w:pPr>
        <w:pStyle w:val="Heading4"/>
      </w:pPr>
    </w:p>
    <w:p w14:paraId="1CA1A305" w14:textId="1AA2A087" w:rsidR="00BC0B8D" w:rsidRPr="00312217" w:rsidRDefault="00BC0B8D" w:rsidP="00BC0B8D">
      <w:pPr>
        <w:pStyle w:val="Heading4"/>
      </w:pPr>
      <w:r>
        <w:t xml:space="preserve">Schaefer 13 </w:t>
      </w:r>
    </w:p>
    <w:p w14:paraId="7FF7CA5C" w14:textId="77777777" w:rsidR="00BC0B8D" w:rsidRDefault="00BC0B8D" w:rsidP="00BC0B8D">
      <w:pPr>
        <w:pStyle w:val="Heading4"/>
      </w:pPr>
      <w:r>
        <w:t xml:space="preserve">1] All </w:t>
      </w:r>
      <w:proofErr w:type="spellStart"/>
      <w:r>
        <w:t>args</w:t>
      </w:r>
      <w:proofErr w:type="spellEnd"/>
      <w:r>
        <w:t xml:space="preserve"> ab static </w:t>
      </w:r>
      <w:proofErr w:type="gramStart"/>
      <w:r>
        <w:t>place based</w:t>
      </w:r>
      <w:proofErr w:type="gramEnd"/>
      <w:r>
        <w:t xml:space="preserve"> subjectivity answers</w:t>
      </w:r>
    </w:p>
    <w:p w14:paraId="601B1991" w14:textId="77777777" w:rsidR="00BC0B8D" w:rsidRPr="00217CCE" w:rsidRDefault="00BC0B8D" w:rsidP="00BC0B8D">
      <w:pPr>
        <w:pStyle w:val="Heading4"/>
      </w:pPr>
      <w:r>
        <w:t xml:space="preserve">2] They can be broadly true but lack </w:t>
      </w:r>
      <w:proofErr w:type="spellStart"/>
      <w:r>
        <w:t>specifity</w:t>
      </w:r>
      <w:proofErr w:type="spellEnd"/>
      <w:r>
        <w:t xml:space="preserve"> - </w:t>
      </w:r>
      <w:proofErr w:type="spellStart"/>
      <w:r>
        <w:t>extemp</w:t>
      </w:r>
      <w:proofErr w:type="spellEnd"/>
    </w:p>
    <w:p w14:paraId="0AB0AA1E" w14:textId="77777777" w:rsidR="00BC0B8D" w:rsidRDefault="00BC0B8D" w:rsidP="00BC0B8D"/>
    <w:p w14:paraId="367AFD97" w14:textId="77777777" w:rsidR="00BC0B8D" w:rsidRDefault="00BC0B8D" w:rsidP="00BC0B8D">
      <w:pPr>
        <w:pStyle w:val="Heading4"/>
      </w:pPr>
      <w:r>
        <w:t>A point</w:t>
      </w:r>
    </w:p>
    <w:p w14:paraId="275F68A4" w14:textId="77777777" w:rsidR="00BC0B8D" w:rsidRDefault="00BC0B8D" w:rsidP="00BC0B8D">
      <w:pPr>
        <w:pStyle w:val="Heading4"/>
      </w:pPr>
      <w:r>
        <w:t xml:space="preserve">1] </w:t>
      </w:r>
      <w:proofErr w:type="spellStart"/>
      <w:r>
        <w:t>Indexicals</w:t>
      </w:r>
      <w:proofErr w:type="spellEnd"/>
      <w:r>
        <w:t xml:space="preserve"> racist</w:t>
      </w:r>
    </w:p>
    <w:p w14:paraId="123E2CCE" w14:textId="77777777" w:rsidR="00BC0B8D" w:rsidRDefault="00BC0B8D" w:rsidP="00BC0B8D">
      <w:pPr>
        <w:pStyle w:val="Heading4"/>
      </w:pPr>
      <w:r>
        <w:t xml:space="preserve">2] Some moral truths remain constant – </w:t>
      </w:r>
      <w:proofErr w:type="gramStart"/>
      <w:r>
        <w:t>i.e.</w:t>
      </w:r>
      <w:proofErr w:type="gramEnd"/>
      <w:r>
        <w:t xml:space="preserve"> affect being good as per AC</w:t>
      </w:r>
    </w:p>
    <w:p w14:paraId="76498A6A" w14:textId="77777777" w:rsidR="00BC0B8D" w:rsidRDefault="00BC0B8D" w:rsidP="00BC0B8D"/>
    <w:p w14:paraId="7E4FEB75" w14:textId="77777777" w:rsidR="00BC0B8D" w:rsidRDefault="00BC0B8D" w:rsidP="00BC0B8D">
      <w:pPr>
        <w:pStyle w:val="Heading4"/>
      </w:pPr>
      <w:r>
        <w:t>B point</w:t>
      </w:r>
    </w:p>
    <w:p w14:paraId="5B08D785" w14:textId="77777777" w:rsidR="00BC0B8D" w:rsidRDefault="00BC0B8D" w:rsidP="00BC0B8D">
      <w:pPr>
        <w:pStyle w:val="Heading4"/>
      </w:pPr>
      <w:r>
        <w:t>1] Discursive theories describe actions that can be translated</w:t>
      </w:r>
    </w:p>
    <w:p w14:paraId="7D40F86F" w14:textId="77777777" w:rsidR="00BC0B8D" w:rsidRPr="00217CCE" w:rsidRDefault="00BC0B8D" w:rsidP="00BC0B8D">
      <w:pPr>
        <w:pStyle w:val="Heading4"/>
      </w:pPr>
      <w:r>
        <w:t xml:space="preserve">2] If induction </w:t>
      </w:r>
      <w:proofErr w:type="gramStart"/>
      <w:r>
        <w:t>works</w:t>
      </w:r>
      <w:proofErr w:type="gramEnd"/>
      <w:r>
        <w:t xml:space="preserve"> we can prescribe action</w:t>
      </w:r>
    </w:p>
    <w:p w14:paraId="4087A27A" w14:textId="77777777" w:rsidR="00BC0B8D" w:rsidRPr="00217CCE" w:rsidRDefault="00BC0B8D" w:rsidP="00BC0B8D">
      <w:pPr>
        <w:pStyle w:val="Heading4"/>
      </w:pPr>
    </w:p>
    <w:p w14:paraId="2E70E861" w14:textId="77777777" w:rsidR="00BC0B8D" w:rsidRDefault="00BC0B8D" w:rsidP="00BC0B8D">
      <w:pPr>
        <w:pStyle w:val="Heading4"/>
      </w:pPr>
    </w:p>
    <w:p w14:paraId="3C8FA4B5" w14:textId="77777777" w:rsidR="00BC0B8D" w:rsidRDefault="00BC0B8D" w:rsidP="00BC0B8D">
      <w:pPr>
        <w:pStyle w:val="Heading3"/>
      </w:pPr>
      <w:r>
        <w:t>Contention</w:t>
      </w:r>
    </w:p>
    <w:p w14:paraId="6DAE9AED" w14:textId="77777777" w:rsidR="00BC0B8D" w:rsidRDefault="00BC0B8D" w:rsidP="00BC0B8D">
      <w:pPr>
        <w:pStyle w:val="Heading4"/>
      </w:pPr>
      <w:r>
        <w:t xml:space="preserve">On 2 – turn – patents are key to ethical use – the </w:t>
      </w:r>
      <w:proofErr w:type="spellStart"/>
      <w:r>
        <w:t>aff</w:t>
      </w:r>
      <w:proofErr w:type="spellEnd"/>
      <w:r>
        <w:t xml:space="preserve"> opens the floodgates to worse commodification </w:t>
      </w:r>
    </w:p>
    <w:p w14:paraId="5E7A7ADE" w14:textId="77777777" w:rsidR="00BC0B8D" w:rsidRDefault="00BC0B8D" w:rsidP="00BC0B8D">
      <w:proofErr w:type="spellStart"/>
      <w:r w:rsidRPr="00D02136">
        <w:rPr>
          <w:rFonts w:eastAsia="MS Mincho"/>
          <w:b/>
          <w:sz w:val="26"/>
        </w:rPr>
        <w:t>Sherkow</w:t>
      </w:r>
      <w:proofErr w:type="spellEnd"/>
      <w:r w:rsidRPr="00D02136">
        <w:rPr>
          <w:rFonts w:eastAsia="MS Mincho"/>
          <w:b/>
          <w:sz w:val="26"/>
        </w:rPr>
        <w:t xml:space="preserve"> 17 </w:t>
      </w:r>
      <w:r w:rsidRPr="00CE7371">
        <w:rPr>
          <w:rFonts w:eastAsia="MS Mincho"/>
        </w:rPr>
        <w:t xml:space="preserve">[(Jacob, Professor of Law at the College of Law and Affiliate of the Carl R. </w:t>
      </w:r>
      <w:proofErr w:type="spellStart"/>
      <w:r w:rsidRPr="00CE7371">
        <w:rPr>
          <w:rFonts w:eastAsia="MS Mincho"/>
        </w:rPr>
        <w:t>Woese</w:t>
      </w:r>
      <w:proofErr w:type="spellEnd"/>
      <w:r w:rsidRPr="00CE7371">
        <w:rPr>
          <w:rFonts w:eastAsia="MS Mincho"/>
        </w:rPr>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CE7371">
        <w:rPr>
          <w:rFonts w:eastAsia="MS Mincho"/>
        </w:rPr>
        <w:t>Sherkow</w:t>
      </w:r>
      <w:proofErr w:type="spellEnd"/>
      <w:r w:rsidRPr="00CE7371">
        <w:rPr>
          <w:rFonts w:eastAsia="MS Mincho"/>
        </w:rPr>
        <w:t xml:space="preserve"> has also been a Permanent Visiting Professor at the Center for Advanced Studies in Biomedical Innovation Law (“</w:t>
      </w:r>
      <w:proofErr w:type="spellStart"/>
      <w:r w:rsidRPr="00CE7371">
        <w:rPr>
          <w:rFonts w:eastAsia="MS Mincho"/>
        </w:rPr>
        <w:t>CeBIL</w:t>
      </w:r>
      <w:proofErr w:type="spellEnd"/>
      <w:r w:rsidRPr="00CE7371">
        <w:rPr>
          <w:rFonts w:eastAsia="MS Mincho"/>
        </w:rPr>
        <w:t xml:space="preserve">”) at the University of Copenhagen Faculty of Law) “Patent protection for CRISPR: an ELSI review” Journal of Law and the Biosciences 12/7/2017 </w:t>
      </w:r>
      <w:hyperlink r:id="rId6" w:history="1">
        <w:r w:rsidRPr="00CE7371">
          <w:rPr>
            <w:rStyle w:val="Hyperlink"/>
            <w:rFonts w:eastAsia="MS Mincho"/>
          </w:rPr>
          <w:t>https://www.ncbi.nlm.nih.gov/pmc/articles/PMC5965580/</w:t>
        </w:r>
      </w:hyperlink>
      <w:r w:rsidRPr="00CE7371">
        <w:rPr>
          <w:rFonts w:eastAsia="MS Mincho"/>
        </w:rPr>
        <w:t>]</w:t>
      </w:r>
    </w:p>
    <w:p w14:paraId="1BC891C2" w14:textId="77777777" w:rsidR="00BC0B8D" w:rsidRPr="00016D9E" w:rsidRDefault="00BC0B8D" w:rsidP="00BC0B8D">
      <w:pPr>
        <w:rPr>
          <w:sz w:val="26"/>
          <w:szCs w:val="26"/>
          <w:u w:val="single"/>
        </w:rPr>
      </w:pPr>
      <w:r w:rsidRPr="00016D9E">
        <w:rPr>
          <w:szCs w:val="26"/>
        </w:rPr>
        <w:t>Most of the commentary on the CRISPR patents has been negative—and</w:t>
      </w:r>
      <w:proofErr w:type="gramStart"/>
      <w:r w:rsidRPr="00016D9E">
        <w:rPr>
          <w:szCs w:val="26"/>
        </w:rPr>
        <w:t>, in particular, the</w:t>
      </w:r>
      <w:proofErr w:type="gramEnd"/>
      <w:r w:rsidRPr="00016D9E">
        <w:rPr>
          <w:szCs w:val="26"/>
        </w:rPr>
        <w:t xml:space="preserve"> negative side of patenting the products of academic research.</w:t>
      </w:r>
      <w:hyperlink r:id="rId7" w:history="1">
        <w:r w:rsidRPr="00016D9E">
          <w:rPr>
            <w:rStyle w:val="Hyperlink"/>
            <w:szCs w:val="26"/>
          </w:rPr>
          <w:t>59</w:t>
        </w:r>
      </w:hyperlink>
      <w:r w:rsidRPr="00016D9E">
        <w:rPr>
          <w:szCs w:val="26"/>
        </w:rPr>
        <w:t> But—aside from money—there are some significant social positives as well. At their core, patents are rights to exclude others from practicing the claimed invention.</w:t>
      </w:r>
      <w:hyperlink r:id="rId8" w:history="1">
        <w:r w:rsidRPr="00016D9E">
          <w:rPr>
            <w:rStyle w:val="Hyperlink"/>
            <w:szCs w:val="26"/>
          </w:rPr>
          <w:t>60</w:t>
        </w:r>
      </w:hyperlink>
      <w:r w:rsidRPr="00016D9E">
        <w:rPr>
          <w:szCs w:val="26"/>
        </w:rPr>
        <w:t xml:space="preserve"> The corollary to this axiom is that </w:t>
      </w:r>
      <w:r w:rsidRPr="00016D9E">
        <w:rPr>
          <w:sz w:val="26"/>
          <w:szCs w:val="26"/>
          <w:highlight w:val="green"/>
          <w:u w:val="single"/>
        </w:rPr>
        <w:t>patents</w:t>
      </w:r>
      <w:r w:rsidRPr="00016D9E">
        <w:rPr>
          <w:sz w:val="26"/>
          <w:szCs w:val="26"/>
          <w:u w:val="single"/>
        </w:rPr>
        <w:t xml:space="preserve"> therefore allow their owners to </w:t>
      </w:r>
      <w:r w:rsidRPr="00016D9E">
        <w:rPr>
          <w:sz w:val="26"/>
          <w:szCs w:val="26"/>
          <w:highlight w:val="green"/>
          <w:u w:val="single"/>
        </w:rPr>
        <w:t>dictate</w:t>
      </w:r>
      <w:r w:rsidRPr="00016D9E">
        <w:rPr>
          <w:sz w:val="26"/>
          <w:szCs w:val="26"/>
          <w:u w:val="single"/>
        </w:rPr>
        <w:t xml:space="preserve"> to the rest of the world </w:t>
      </w:r>
      <w:r w:rsidRPr="00016D9E">
        <w:rPr>
          <w:i/>
          <w:iCs/>
          <w:sz w:val="26"/>
          <w:szCs w:val="26"/>
          <w:highlight w:val="green"/>
          <w:u w:val="single"/>
        </w:rPr>
        <w:t>how</w:t>
      </w:r>
      <w:r w:rsidRPr="00016D9E">
        <w:rPr>
          <w:sz w:val="26"/>
          <w:szCs w:val="26"/>
          <w:highlight w:val="green"/>
          <w:u w:val="single"/>
        </w:rPr>
        <w:t> to use</w:t>
      </w:r>
      <w:r w:rsidRPr="00016D9E">
        <w:rPr>
          <w:sz w:val="26"/>
          <w:szCs w:val="26"/>
          <w:u w:val="single"/>
        </w:rPr>
        <w:t xml:space="preserve"> the inventors’ </w:t>
      </w:r>
      <w:r w:rsidRPr="00016D9E">
        <w:rPr>
          <w:sz w:val="26"/>
          <w:szCs w:val="26"/>
          <w:highlight w:val="green"/>
          <w:u w:val="single"/>
        </w:rPr>
        <w:t>technology</w:t>
      </w:r>
      <w:r w:rsidRPr="00016D9E">
        <w:rPr>
          <w:szCs w:val="26"/>
        </w:rPr>
        <w:t>.</w:t>
      </w:r>
      <w:hyperlink r:id="rId9" w:history="1">
        <w:r w:rsidRPr="00016D9E">
          <w:rPr>
            <w:rStyle w:val="Hyperlink"/>
            <w:szCs w:val="26"/>
          </w:rPr>
          <w:t>61</w:t>
        </w:r>
      </w:hyperlink>
      <w:r w:rsidRPr="00016D9E">
        <w:rPr>
          <w:szCs w:val="26"/>
        </w:rPr>
        <w:t xml:space="preserve"> This power to direct others’ research can be </w:t>
      </w:r>
      <w:r w:rsidRPr="00016D9E">
        <w:rPr>
          <w:sz w:val="26"/>
          <w:szCs w:val="26"/>
          <w:u w:val="single"/>
        </w:rPr>
        <w:t>harnessed for societal good</w:t>
      </w:r>
      <w:r w:rsidRPr="00016D9E">
        <w:rPr>
          <w:szCs w:val="26"/>
        </w:rPr>
        <w:t>.</w:t>
      </w:r>
      <w:hyperlink r:id="rId10" w:history="1">
        <w:r w:rsidRPr="00016D9E">
          <w:rPr>
            <w:rStyle w:val="Hyperlink"/>
            <w:szCs w:val="26"/>
          </w:rPr>
          <w:t>62</w:t>
        </w:r>
      </w:hyperlink>
      <w:r w:rsidRPr="00016D9E">
        <w:rPr>
          <w:szCs w:val="26"/>
        </w:rPr>
        <w:t xml:space="preserve"> Where the claimed technology raises ethical or social concerns, </w:t>
      </w:r>
      <w:r w:rsidRPr="00016D9E">
        <w:rPr>
          <w:sz w:val="26"/>
          <w:szCs w:val="26"/>
          <w:u w:val="single"/>
        </w:rPr>
        <w:t xml:space="preserve">patent holders have the right to </w:t>
      </w:r>
      <w:r w:rsidRPr="00016D9E">
        <w:rPr>
          <w:sz w:val="26"/>
          <w:szCs w:val="26"/>
          <w:highlight w:val="green"/>
          <w:u w:val="single"/>
        </w:rPr>
        <w:t>tell their</w:t>
      </w:r>
      <w:r w:rsidRPr="00016D9E">
        <w:rPr>
          <w:sz w:val="26"/>
          <w:szCs w:val="26"/>
          <w:u w:val="single"/>
        </w:rPr>
        <w:t xml:space="preserve"> technologies’ </w:t>
      </w:r>
      <w:r w:rsidRPr="00016D9E">
        <w:rPr>
          <w:sz w:val="26"/>
          <w:szCs w:val="26"/>
          <w:highlight w:val="green"/>
          <w:u w:val="single"/>
        </w:rPr>
        <w:t xml:space="preserve">users to behave </w:t>
      </w:r>
      <w:r w:rsidRPr="00E149AE">
        <w:rPr>
          <w:sz w:val="26"/>
          <w:szCs w:val="26"/>
          <w:highlight w:val="green"/>
          <w:u w:val="single"/>
        </w:rPr>
        <w:t>ethically and</w:t>
      </w:r>
      <w:r w:rsidRPr="00016D9E">
        <w:rPr>
          <w:sz w:val="26"/>
          <w:szCs w:val="26"/>
          <w:u w:val="single"/>
        </w:rPr>
        <w:t xml:space="preserve"> to </w:t>
      </w:r>
      <w:r w:rsidRPr="00E149AE">
        <w:rPr>
          <w:sz w:val="26"/>
          <w:szCs w:val="26"/>
          <w:highlight w:val="green"/>
          <w:u w:val="single"/>
        </w:rPr>
        <w:t>provide access</w:t>
      </w:r>
      <w:r w:rsidRPr="00016D9E">
        <w:rPr>
          <w:sz w:val="26"/>
          <w:szCs w:val="26"/>
          <w:u w:val="single"/>
        </w:rPr>
        <w:t xml:space="preserve"> to </w:t>
      </w:r>
      <w:r w:rsidRPr="00E149AE">
        <w:rPr>
          <w:sz w:val="26"/>
          <w:szCs w:val="26"/>
          <w:highlight w:val="green"/>
          <w:u w:val="single"/>
        </w:rPr>
        <w:t>downstream</w:t>
      </w:r>
      <w:r w:rsidRPr="00016D9E">
        <w:rPr>
          <w:sz w:val="26"/>
          <w:szCs w:val="26"/>
          <w:u w:val="single"/>
        </w:rPr>
        <w:t xml:space="preserve"> inventions</w:t>
      </w:r>
      <w:r w:rsidRPr="00016D9E">
        <w:rPr>
          <w:szCs w:val="26"/>
        </w:rPr>
        <w:t>.</w:t>
      </w:r>
      <w:hyperlink r:id="rId11" w:history="1">
        <w:r w:rsidRPr="00016D9E">
          <w:rPr>
            <w:rStyle w:val="Hyperlink"/>
            <w:szCs w:val="26"/>
          </w:rPr>
          <w:t>63</w:t>
        </w:r>
      </w:hyperlink>
      <w:r w:rsidRPr="00016D9E">
        <w:rPr>
          <w:szCs w:val="26"/>
        </w:rPr>
        <w:t xml:space="preserve"> In this sense, </w:t>
      </w:r>
      <w:r w:rsidRPr="00016D9E">
        <w:rPr>
          <w:sz w:val="26"/>
          <w:szCs w:val="26"/>
          <w:u w:val="single"/>
        </w:rPr>
        <w:t>patents—when used well—can function as a powerful form of private governance.</w:t>
      </w:r>
      <w:hyperlink r:id="rId12" w:history="1">
        <w:r w:rsidRPr="00016D9E">
          <w:rPr>
            <w:sz w:val="26"/>
            <w:szCs w:val="26"/>
            <w:u w:val="single"/>
          </w:rPr>
          <w:t>64</w:t>
        </w:r>
      </w:hyperlink>
    </w:p>
    <w:p w14:paraId="788C83A8" w14:textId="77777777" w:rsidR="00BC0B8D" w:rsidRPr="00016D9E" w:rsidRDefault="00BC0B8D" w:rsidP="00BC0B8D">
      <w:pPr>
        <w:rPr>
          <w:szCs w:val="26"/>
        </w:rPr>
      </w:pPr>
      <w:r w:rsidRPr="00016D9E">
        <w:rPr>
          <w:sz w:val="26"/>
          <w:szCs w:val="26"/>
          <w:u w:val="single"/>
        </w:rPr>
        <w:t xml:space="preserve">This is certainly the case with CRISPR, the </w:t>
      </w:r>
      <w:r w:rsidRPr="00E149AE">
        <w:rPr>
          <w:sz w:val="26"/>
          <w:szCs w:val="26"/>
          <w:highlight w:val="green"/>
          <w:u w:val="single"/>
        </w:rPr>
        <w:t>ethical and social issues</w:t>
      </w:r>
      <w:r w:rsidRPr="00016D9E">
        <w:rPr>
          <w:sz w:val="26"/>
          <w:szCs w:val="26"/>
          <w:u w:val="single"/>
        </w:rPr>
        <w:t xml:space="preserve"> of which have been </w:t>
      </w:r>
      <w:r w:rsidRPr="00E149AE">
        <w:rPr>
          <w:sz w:val="26"/>
          <w:szCs w:val="26"/>
          <w:highlight w:val="green"/>
          <w:u w:val="single"/>
        </w:rPr>
        <w:t>explored at length</w:t>
      </w:r>
      <w:r w:rsidRPr="00016D9E">
        <w:rPr>
          <w:sz w:val="26"/>
          <w:szCs w:val="26"/>
          <w:u w:val="single"/>
        </w:rPr>
        <w:t>.</w:t>
      </w:r>
      <w:hyperlink r:id="rId13" w:history="1">
        <w:r w:rsidRPr="00E149AE">
          <w:rPr>
            <w:rStyle w:val="Hyperlink"/>
          </w:rPr>
          <w:t>65</w:t>
        </w:r>
      </w:hyperlink>
      <w:r w:rsidRPr="00E149AE">
        <w:t> One potentially problematic use of CRISPR is its use in ‘gene drives’, a daisy chain of genetic editing that essentially forces future generations to inherit and subsequently pass on only a single variant of a particular gene.</w:t>
      </w:r>
      <w:hyperlink r:id="rId14" w:history="1">
        <w:r w:rsidRPr="00E149AE">
          <w:rPr>
            <w:rStyle w:val="Hyperlink"/>
          </w:rPr>
          <w:t>66</w:t>
        </w:r>
      </w:hyperlink>
      <w:r w:rsidRPr="00E149AE">
        <w:t xml:space="preserve"> The concern, as detailed by Kevin </w:t>
      </w:r>
      <w:proofErr w:type="spellStart"/>
      <w:r w:rsidRPr="00E149AE">
        <w:t>Esvelt</w:t>
      </w:r>
      <w:proofErr w:type="spellEnd"/>
      <w:r w:rsidRPr="00E149AE">
        <w:t>, is that gene drives, because they are forcibly heritable, become difficult to control once put in place.</w:t>
      </w:r>
      <w:hyperlink r:id="rId15" w:history="1">
        <w:r w:rsidRPr="00E149AE">
          <w:rPr>
            <w:rStyle w:val="Hyperlink"/>
          </w:rPr>
          <w:t>67</w:t>
        </w:r>
      </w:hyperlink>
      <w:r w:rsidRPr="00E149AE">
        <w:t> Should later research find negative, unintended effects of the particular genetic variant driven through the population, it may simply be too late.</w:t>
      </w:r>
      <w:hyperlink r:id="rId16" w:history="1">
        <w:r w:rsidRPr="00E149AE">
          <w:rPr>
            <w:rStyle w:val="Hyperlink"/>
          </w:rPr>
          <w:t>68</w:t>
        </w:r>
      </w:hyperlink>
      <w:r w:rsidRPr="00E149AE">
        <w:t xml:space="preserve"> To that end, </w:t>
      </w:r>
      <w:proofErr w:type="spellStart"/>
      <w:r w:rsidRPr="00E149AE">
        <w:t>Esvelt</w:t>
      </w:r>
      <w:proofErr w:type="spellEnd"/>
      <w:r w:rsidRPr="00E149AE">
        <w:t xml:space="preserve"> and others have proposed patenting the use of CRISPR-based gene drives to, essentially, prevent others from using the technology without rigorous scientific and ethical controls.</w:t>
      </w:r>
      <w:hyperlink r:id="rId17" w:history="1">
        <w:r w:rsidRPr="00E149AE">
          <w:rPr>
            <w:rStyle w:val="Hyperlink"/>
          </w:rPr>
          <w:t>69</w:t>
        </w:r>
      </w:hyperlink>
      <w:r w:rsidRPr="00E149AE">
        <w:t xml:space="preserve"> The legal mechanics of enforcing patent protection in this manner leave some gaps that likely need to be addressed. But </w:t>
      </w:r>
      <w:proofErr w:type="spellStart"/>
      <w:r w:rsidRPr="00E149AE">
        <w:t>Esvelt's</w:t>
      </w:r>
      <w:proofErr w:type="spellEnd"/>
      <w:r w:rsidRPr="00E149AE">
        <w:t xml:space="preserve"> proposal suggests, at a minimum, that patenting controversial technologies is one possi</w:t>
      </w:r>
      <w:r w:rsidRPr="00016D9E">
        <w:rPr>
          <w:szCs w:val="26"/>
        </w:rPr>
        <w:t>ble tool to further their ethical use.</w:t>
      </w:r>
    </w:p>
    <w:p w14:paraId="41A3CF79" w14:textId="77777777" w:rsidR="00BC0B8D" w:rsidRPr="00E149AE" w:rsidRDefault="00BC0B8D" w:rsidP="00BC0B8D">
      <w:pPr>
        <w:rPr>
          <w:szCs w:val="26"/>
        </w:rPr>
      </w:pPr>
      <w:r w:rsidRPr="00016D9E">
        <w:rPr>
          <w:szCs w:val="26"/>
        </w:rPr>
        <w:t>In other cases, rather than using patents to ethically </w:t>
      </w:r>
      <w:r w:rsidRPr="00016D9E">
        <w:rPr>
          <w:i/>
          <w:iCs/>
          <w:szCs w:val="26"/>
        </w:rPr>
        <w:t>restrict</w:t>
      </w:r>
      <w:r w:rsidRPr="00016D9E">
        <w:rPr>
          <w:szCs w:val="26"/>
        </w:rPr>
        <w:t xml:space="preserve"> access to controversial technologies, </w:t>
      </w:r>
      <w:r w:rsidRPr="00E149AE">
        <w:rPr>
          <w:rStyle w:val="StyleUnderline"/>
          <w:highlight w:val="green"/>
        </w:rPr>
        <w:t>patents can be used to ethically promote access</w:t>
      </w:r>
      <w:r w:rsidRPr="00E149AE">
        <w:rPr>
          <w:rStyle w:val="StyleUnderline"/>
        </w:rPr>
        <w:t xml:space="preserve"> to the same</w:t>
      </w:r>
      <w:r w:rsidRPr="00E149AE">
        <w:rPr>
          <w:szCs w:val="26"/>
        </w:rPr>
        <w:t xml:space="preserve">. That is, </w:t>
      </w:r>
      <w:r w:rsidRPr="00E149AE">
        <w:rPr>
          <w:sz w:val="26"/>
          <w:szCs w:val="26"/>
          <w:u w:val="single"/>
        </w:rPr>
        <w:t xml:space="preserve">patent </w:t>
      </w:r>
      <w:r w:rsidRPr="00E149AE">
        <w:rPr>
          <w:sz w:val="26"/>
          <w:szCs w:val="26"/>
          <w:highlight w:val="green"/>
          <w:u w:val="single"/>
        </w:rPr>
        <w:t>holders can demand licensees promise</w:t>
      </w:r>
      <w:r w:rsidRPr="00E149AE">
        <w:rPr>
          <w:sz w:val="26"/>
          <w:szCs w:val="26"/>
          <w:u w:val="single"/>
        </w:rPr>
        <w:t xml:space="preserve"> that </w:t>
      </w:r>
      <w:r w:rsidRPr="00E149AE">
        <w:rPr>
          <w:sz w:val="26"/>
          <w:szCs w:val="26"/>
          <w:highlight w:val="green"/>
          <w:u w:val="single"/>
        </w:rPr>
        <w:t>they make their tech</w:t>
      </w:r>
      <w:r w:rsidRPr="00E149AE">
        <w:rPr>
          <w:sz w:val="26"/>
          <w:szCs w:val="26"/>
          <w:u w:val="single"/>
        </w:rPr>
        <w:t xml:space="preserve">nology </w:t>
      </w:r>
      <w:r w:rsidRPr="00E149AE">
        <w:rPr>
          <w:sz w:val="26"/>
          <w:szCs w:val="26"/>
          <w:highlight w:val="green"/>
          <w:u w:val="single"/>
        </w:rPr>
        <w:t>available</w:t>
      </w:r>
      <w:r w:rsidRPr="00E149AE">
        <w:rPr>
          <w:sz w:val="26"/>
          <w:szCs w:val="26"/>
          <w:u w:val="single"/>
        </w:rPr>
        <w:t xml:space="preserve"> to broad segments of society, and on fair terms</w:t>
      </w:r>
      <w:r w:rsidRPr="00E149AE">
        <w:rPr>
          <w:szCs w:val="26"/>
        </w:rPr>
        <w:t>.</w:t>
      </w:r>
      <w:hyperlink r:id="rId18" w:history="1">
        <w:r w:rsidRPr="00E149AE">
          <w:rPr>
            <w:rStyle w:val="Hyperlink"/>
            <w:szCs w:val="26"/>
          </w:rPr>
          <w:t>70</w:t>
        </w:r>
      </w:hyperlink>
      <w:r w:rsidRPr="00E149AE">
        <w:rPr>
          <w:szCs w:val="26"/>
        </w:rPr>
        <w:t> This is largely the case with</w:t>
      </w:r>
      <w:r w:rsidRPr="00016D9E">
        <w:rPr>
          <w:szCs w:val="26"/>
        </w:rPr>
        <w:t xml:space="preserve"> Monsanto's license from the Broad Institute covering the use of CRISPR-Cas9 for a variety of agricultural purposes. That license essentially requires Monsanto to allow its farmer customers to save and resew seed from one season to the next, in contrast to some of Monsanto's past practices.</w:t>
      </w:r>
      <w:hyperlink r:id="rId19" w:history="1">
        <w:r w:rsidRPr="00016D9E">
          <w:rPr>
            <w:rStyle w:val="Hyperlink"/>
            <w:szCs w:val="26"/>
          </w:rPr>
          <w:t>71</w:t>
        </w:r>
      </w:hyperlink>
      <w:r w:rsidRPr="00016D9E">
        <w:rPr>
          <w:szCs w:val="26"/>
        </w:rPr>
        <w:t> Requiring this of Monsanto provides greater access to the fruits of CRISPR technology to farmers, who would otherwise be required to purchase expensive new seed each year from Monsanto.</w:t>
      </w:r>
      <w:hyperlink r:id="rId20" w:history="1">
        <w:r w:rsidRPr="00016D9E">
          <w:rPr>
            <w:rStyle w:val="Hyperlink"/>
            <w:szCs w:val="26"/>
          </w:rPr>
          <w:t>72</w:t>
        </w:r>
      </w:hyperlink>
      <w:r w:rsidRPr="00016D9E">
        <w:rPr>
          <w:szCs w:val="26"/>
        </w:rPr>
        <w:t> In the therapeutics context, similar license restrictions could be used, in theory, to require price controls, access plans, or that research and development funds be used, in part, to develop treatments for neglected diseases.</w:t>
      </w:r>
      <w:hyperlink r:id="rId21" w:history="1">
        <w:r w:rsidRPr="00016D9E">
          <w:rPr>
            <w:rStyle w:val="Hyperlink"/>
            <w:szCs w:val="26"/>
          </w:rPr>
          <w:t>73</w:t>
        </w:r>
      </w:hyperlink>
    </w:p>
    <w:p w14:paraId="445B3025" w14:textId="77777777" w:rsidR="00BC0B8D" w:rsidRDefault="00BC0B8D" w:rsidP="00BC0B8D"/>
    <w:p w14:paraId="7952D773" w14:textId="77777777" w:rsidR="00BC0B8D" w:rsidRDefault="00BC0B8D" w:rsidP="00BC0B8D">
      <w:pPr>
        <w:pStyle w:val="Heading4"/>
        <w:rPr>
          <w:rFonts w:cs="Calibri"/>
        </w:rPr>
      </w:pPr>
      <w:r>
        <w:rPr>
          <w:rFonts w:cs="Calibri"/>
        </w:rPr>
        <w:t xml:space="preserve">They can’t solve the first </w:t>
      </w:r>
      <w:proofErr w:type="spellStart"/>
      <w:r>
        <w:rPr>
          <w:rFonts w:cs="Calibri"/>
        </w:rPr>
        <w:t>arg</w:t>
      </w:r>
      <w:proofErr w:type="spellEnd"/>
      <w:r>
        <w:rPr>
          <w:rFonts w:cs="Calibri"/>
        </w:rPr>
        <w:t xml:space="preserve"> – all of it is in the context of IP writ large </w:t>
      </w:r>
      <w:proofErr w:type="gramStart"/>
      <w:r>
        <w:rPr>
          <w:rFonts w:cs="Calibri"/>
        </w:rPr>
        <w:t>i.e.</w:t>
      </w:r>
      <w:proofErr w:type="gramEnd"/>
      <w:r>
        <w:rPr>
          <w:rFonts w:cs="Calibri"/>
        </w:rPr>
        <w:t xml:space="preserve"> on Coke, iPads, Kodak, etc. – it’s not specific to medical IP at all, which we have more specific </w:t>
      </w:r>
      <w:proofErr w:type="spellStart"/>
      <w:r>
        <w:rPr>
          <w:rFonts w:cs="Calibri"/>
        </w:rPr>
        <w:t>ev</w:t>
      </w:r>
      <w:proofErr w:type="spellEnd"/>
      <w:r>
        <w:rPr>
          <w:rFonts w:cs="Calibri"/>
        </w:rPr>
        <w:t xml:space="preserve"> on</w:t>
      </w:r>
    </w:p>
    <w:p w14:paraId="7A205913" w14:textId="77777777" w:rsidR="00BC0B8D" w:rsidRPr="00315694" w:rsidRDefault="00BC0B8D" w:rsidP="00BC0B8D"/>
    <w:p w14:paraId="4606294F" w14:textId="77777777" w:rsidR="00BC0B8D" w:rsidRPr="0092026C" w:rsidRDefault="00BC0B8D" w:rsidP="00BC0B8D">
      <w:pPr>
        <w:pStyle w:val="Heading4"/>
        <w:rPr>
          <w:rFonts w:cs="Calibri"/>
        </w:rPr>
      </w:pPr>
      <w:r>
        <w:rPr>
          <w:rFonts w:cs="Calibri"/>
        </w:rPr>
        <w:t>Turn – c</w:t>
      </w:r>
      <w:r w:rsidRPr="0092026C">
        <w:rPr>
          <w:rFonts w:cs="Calibri"/>
        </w:rPr>
        <w:t xml:space="preserve">ontamination, poor-quality ingredients, falsified data, and lax FDA regulations abroad ensure worse quality and adverse effects </w:t>
      </w:r>
      <w:r>
        <w:rPr>
          <w:rFonts w:cs="Calibri"/>
        </w:rPr>
        <w:t>for medicines post-plan – essentializes subjects as undeserving of quality care</w:t>
      </w:r>
      <w:r w:rsidRPr="0092026C">
        <w:rPr>
          <w:rFonts w:cs="Calibri"/>
        </w:rPr>
        <w:t xml:space="preserve"> </w:t>
      </w:r>
    </w:p>
    <w:p w14:paraId="756B9BD4" w14:textId="77777777" w:rsidR="00BC0B8D" w:rsidRPr="0092026C" w:rsidRDefault="00BC0B8D" w:rsidP="00BC0B8D">
      <w:r w:rsidRPr="0092026C">
        <w:t xml:space="preserve">(We aren’t biased against generics </w:t>
      </w:r>
      <w:proofErr w:type="spellStart"/>
      <w:r w:rsidRPr="0092026C">
        <w:t>cuz</w:t>
      </w:r>
      <w:proofErr w:type="spellEnd"/>
      <w:r w:rsidRPr="0092026C">
        <w:t xml:space="preserve"> most people WANT generics to work – it’s the only way they can afford medication)</w:t>
      </w:r>
    </w:p>
    <w:p w14:paraId="3C4615F1" w14:textId="77777777" w:rsidR="00BC0B8D" w:rsidRPr="0092026C" w:rsidRDefault="00BC0B8D" w:rsidP="00BC0B8D">
      <w:r w:rsidRPr="0092026C">
        <w:rPr>
          <w:rStyle w:val="Style13ptBold"/>
        </w:rPr>
        <w:t>Brown 2/10</w:t>
      </w:r>
      <w:r w:rsidRPr="0092026C">
        <w:t xml:space="preserve"> [Harriet Brown, 2-10-2021, "My Generic Medications Failed Me. I’m Not Alone," No Publication, </w:t>
      </w:r>
      <w:hyperlink r:id="rId22" w:history="1">
        <w:r w:rsidRPr="0092026C">
          <w:rPr>
            <w:rStyle w:val="Hyperlink"/>
          </w:rPr>
          <w:t>https://www.vice.com/en/article/v7mnm3/my-generic-medication-gave-me-constant-nosebleeds-im-not-alone //</w:t>
        </w:r>
      </w:hyperlink>
      <w:r w:rsidRPr="0092026C">
        <w:t xml:space="preserve"> belle]</w:t>
      </w:r>
    </w:p>
    <w:p w14:paraId="67C49730" w14:textId="77777777" w:rsidR="00BC0B8D" w:rsidRDefault="00BC0B8D" w:rsidP="00BC0B8D">
      <w:pPr>
        <w:rPr>
          <w:rStyle w:val="Emphasis"/>
        </w:rPr>
      </w:pPr>
      <w:r w:rsidRPr="0092026C">
        <w:t xml:space="preserve">I’m kneeling on my driveway, watching blood pour from my nose and stream toward the street. It’s my fourth big nosebleed in four days, and as my husband bundles me into the car, I’m thinking the worst. After a gauntlet of tests, all of which are negative, my doctor says she thinks the nosebleeds were triggered by my antidepressant—specifically by my switching from a generic version to the brand-name. A few months earlier, when the generic hadn’t diminished my panic attacks, she had suggested trying the brand-name, and I’d started it a few days earlier. “You’re suddenly getting a lot more of the active ingredient,” she explains now. “Which you were supposed to get before, on the generic, but clearly weren’t. That’s why you’re having nosebleeds. They’ll stop in a few days.” Most people think generic medications are identical to brand-name drugs; I certainly did. After all, that’s what pharmacists, insurance companies, and doctors tell us. But it’s not exactly true. For one thing, </w:t>
      </w:r>
      <w:r w:rsidRPr="00DD25D9">
        <w:rPr>
          <w:rStyle w:val="Emphasis"/>
          <w:highlight w:val="green"/>
        </w:rPr>
        <w:t>most generics</w:t>
      </w:r>
      <w:r w:rsidRPr="0092026C">
        <w:rPr>
          <w:rStyle w:val="Emphasis"/>
        </w:rPr>
        <w:t xml:space="preserve"> are </w:t>
      </w:r>
      <w:r w:rsidRPr="00DD25D9">
        <w:rPr>
          <w:rStyle w:val="Emphasis"/>
          <w:highlight w:val="green"/>
        </w:rPr>
        <w:t>manufactured abroad</w:t>
      </w:r>
      <w:r w:rsidRPr="0092026C">
        <w:rPr>
          <w:rStyle w:val="Emphasis"/>
        </w:rPr>
        <w:t>,</w:t>
      </w:r>
      <w:r w:rsidRPr="0092026C">
        <w:t xml:space="preserve"> where </w:t>
      </w:r>
      <w:r w:rsidRPr="0092026C">
        <w:rPr>
          <w:rStyle w:val="Emphasis"/>
        </w:rPr>
        <w:t xml:space="preserve">lax standards, </w:t>
      </w:r>
      <w:r w:rsidRPr="00DD25D9">
        <w:rPr>
          <w:rStyle w:val="Emphasis"/>
          <w:highlight w:val="green"/>
        </w:rPr>
        <w:t>lack of regulation</w:t>
      </w:r>
      <w:r w:rsidRPr="0092026C">
        <w:rPr>
          <w:rStyle w:val="Emphasis"/>
        </w:rPr>
        <w:t xml:space="preserve">, and outright </w:t>
      </w:r>
      <w:r w:rsidRPr="00DD25D9">
        <w:rPr>
          <w:rStyle w:val="Emphasis"/>
          <w:highlight w:val="green"/>
        </w:rPr>
        <w:t>fraud compromise</w:t>
      </w:r>
      <w:r w:rsidRPr="0092026C">
        <w:rPr>
          <w:rStyle w:val="Emphasis"/>
        </w:rPr>
        <w:t xml:space="preserve"> their </w:t>
      </w:r>
      <w:r w:rsidRPr="00DD25D9">
        <w:rPr>
          <w:rStyle w:val="Emphasis"/>
          <w:highlight w:val="green"/>
        </w:rPr>
        <w:t>quality</w:t>
      </w:r>
      <w:r w:rsidRPr="0092026C">
        <w:rPr>
          <w:rStyle w:val="Emphasis"/>
        </w:rPr>
        <w:t xml:space="preserve">. Those issues have gotten some well-deserved attention in recent years. For another, while generics are considered “bio-equivalent” to brand-name drugs—meaning they behave the same way in the body—they are </w:t>
      </w:r>
      <w:r w:rsidRPr="00DD25D9">
        <w:rPr>
          <w:rStyle w:val="Emphasis"/>
          <w:highlight w:val="green"/>
        </w:rPr>
        <w:t>not required by</w:t>
      </w:r>
      <w:r w:rsidRPr="0092026C">
        <w:rPr>
          <w:rStyle w:val="Emphasis"/>
        </w:rPr>
        <w:t xml:space="preserve"> the Food and Drug Administration (</w:t>
      </w:r>
      <w:r w:rsidRPr="00DD25D9">
        <w:rPr>
          <w:rStyle w:val="Emphasis"/>
          <w:highlight w:val="green"/>
        </w:rPr>
        <w:t>FDA) to contain</w:t>
      </w:r>
      <w:r w:rsidRPr="0092026C">
        <w:rPr>
          <w:rStyle w:val="Emphasis"/>
        </w:rPr>
        <w:t xml:space="preserve"> </w:t>
      </w:r>
      <w:proofErr w:type="gramStart"/>
      <w:r w:rsidRPr="0092026C">
        <w:rPr>
          <w:rStyle w:val="Emphasis"/>
        </w:rPr>
        <w:t xml:space="preserve">exactly the </w:t>
      </w:r>
      <w:r w:rsidRPr="00DD25D9">
        <w:rPr>
          <w:rStyle w:val="Emphasis"/>
          <w:highlight w:val="green"/>
        </w:rPr>
        <w:t>same</w:t>
      </w:r>
      <w:proofErr w:type="gramEnd"/>
      <w:r w:rsidRPr="00DD25D9">
        <w:rPr>
          <w:rStyle w:val="Emphasis"/>
          <w:highlight w:val="green"/>
        </w:rPr>
        <w:t xml:space="preserve"> amount of active ingredient</w:t>
      </w:r>
      <w:r w:rsidRPr="0092026C">
        <w:rPr>
          <w:rStyle w:val="Emphasis"/>
        </w:rPr>
        <w:t xml:space="preserve"> or to deliver it at the same rate or in the same way. In fact, they </w:t>
      </w:r>
      <w:r w:rsidRPr="00DD25D9">
        <w:rPr>
          <w:rStyle w:val="Emphasis"/>
          <w:highlight w:val="green"/>
        </w:rPr>
        <w:t>can’t deliver it</w:t>
      </w:r>
      <w:r w:rsidRPr="0092026C">
        <w:rPr>
          <w:rStyle w:val="Emphasis"/>
        </w:rPr>
        <w:t xml:space="preserve"> the same </w:t>
      </w:r>
      <w:proofErr w:type="gramStart"/>
      <w:r w:rsidRPr="0092026C">
        <w:rPr>
          <w:rStyle w:val="Emphasis"/>
        </w:rPr>
        <w:t>way, since</w:t>
      </w:r>
      <w:proofErr w:type="gramEnd"/>
      <w:r w:rsidRPr="0092026C">
        <w:rPr>
          <w:rStyle w:val="Emphasis"/>
        </w:rPr>
        <w:t xml:space="preserve"> patents on brand-name medications often include the delivery system. </w:t>
      </w:r>
      <w:r w:rsidRPr="0092026C">
        <w:t xml:space="preserve">Most people think </w:t>
      </w:r>
      <w:r w:rsidRPr="0092026C">
        <w:rPr>
          <w:rStyle w:val="Emphasis"/>
        </w:rPr>
        <w:t xml:space="preserve">generic medications are identical to brand-name drugs; </w:t>
      </w:r>
      <w:r w:rsidRPr="0092026C">
        <w:t xml:space="preserve">I certainly did. After all, that’s </w:t>
      </w:r>
      <w:r w:rsidRPr="0092026C">
        <w:rPr>
          <w:rStyle w:val="Emphasis"/>
        </w:rPr>
        <w:t>what pharmacists, insurance companies, and doctors tell us.</w:t>
      </w:r>
      <w:r w:rsidRPr="0092026C">
        <w:t xml:space="preserve"> But it’s not exactly true. While many people tolerate the differences between generic and brand-name formulations, some of us—as I learned the </w:t>
      </w:r>
      <w:proofErr w:type="gramStart"/>
      <w:r w:rsidRPr="0092026C">
        <w:t>day</w:t>
      </w:r>
      <w:proofErr w:type="gramEnd"/>
      <w:r w:rsidRPr="0092026C">
        <w:t xml:space="preserve"> I found myself bleeding in the driveway—do not. When I went looking into those differences, I found significant evidence to support this conclusion. Yet for the most part, western medicine insists it cannot be true. Ever since the 1984 Hatch-Waxman Act cleared the way for the wide-scale marketing of generic drugs in the U.S., the FDA has required that generic drugs have the same active ingredient, strength, and dosage form as brand names. “The generic manufacturer must prove its drug is the same (bioequivalent) as the brand-name drug,” said Sandy Walsh, an FDA press officer, in an email. Given that generics make up close to 90% of the U.S. drug supply, and that Americans spend around $300 billion a year on prescriptions, a lot is riding on this system working—about $117 billion a year. </w:t>
      </w:r>
      <w:proofErr w:type="gramStart"/>
      <w:r w:rsidRPr="0092026C">
        <w:t>So</w:t>
      </w:r>
      <w:proofErr w:type="gramEnd"/>
      <w:r w:rsidRPr="0092026C">
        <w:t xml:space="preserve"> it helps to understand the ways in which brand names and generics hit the market. Pharmaceutical companies that are developing a new (</w:t>
      </w:r>
      <w:r w:rsidRPr="00DD25D9">
        <w:rPr>
          <w:rStyle w:val="Emphasis"/>
          <w:highlight w:val="green"/>
        </w:rPr>
        <w:t>brand name) medication</w:t>
      </w:r>
      <w:r w:rsidRPr="0092026C">
        <w:t xml:space="preserve"> file a New Drug Application (NDA) with the FDA, showing that the drug is both safe and effective for humans. </w:t>
      </w:r>
      <w:r w:rsidRPr="0092026C">
        <w:rPr>
          <w:rStyle w:val="Emphasis"/>
        </w:rPr>
        <w:t xml:space="preserve">This is done by </w:t>
      </w:r>
      <w:r w:rsidRPr="00DD25D9">
        <w:rPr>
          <w:rStyle w:val="Emphasis"/>
          <w:highlight w:val="green"/>
        </w:rPr>
        <w:t>submit</w:t>
      </w:r>
      <w:r w:rsidRPr="0092026C">
        <w:rPr>
          <w:rStyle w:val="Emphasis"/>
        </w:rPr>
        <w:t xml:space="preserve">ting </w:t>
      </w:r>
      <w:r w:rsidRPr="00DD25D9">
        <w:rPr>
          <w:rStyle w:val="Emphasis"/>
          <w:highlight w:val="green"/>
        </w:rPr>
        <w:t>meticulous documentation</w:t>
      </w:r>
      <w:r w:rsidRPr="0092026C">
        <w:rPr>
          <w:rStyle w:val="Emphasis"/>
        </w:rPr>
        <w:t xml:space="preserve"> of animal and human studies, detailed records of the manufacturing process, analysis of dosage and inactive ingredients, and other evidence that the benefits of the new drug outweigh any risks. Putting together an NDA takes years and costs </w:t>
      </w:r>
      <w:r w:rsidRPr="00DD25D9">
        <w:rPr>
          <w:rStyle w:val="Emphasis"/>
          <w:highlight w:val="green"/>
        </w:rPr>
        <w:t>millions of dollars</w:t>
      </w:r>
      <w:r w:rsidRPr="0092026C">
        <w:rPr>
          <w:rStyle w:val="Emphasis"/>
        </w:rPr>
        <w:t xml:space="preserve">, much of it spent </w:t>
      </w:r>
      <w:r w:rsidRPr="00DD25D9">
        <w:rPr>
          <w:rStyle w:val="Emphasis"/>
          <w:highlight w:val="green"/>
        </w:rPr>
        <w:t>on research</w:t>
      </w:r>
      <w:r w:rsidRPr="0092026C">
        <w:rPr>
          <w:rStyle w:val="Emphasis"/>
        </w:rPr>
        <w:t xml:space="preserve">. </w:t>
      </w:r>
      <w:r w:rsidRPr="0092026C">
        <w:t xml:space="preserve">The </w:t>
      </w:r>
      <w:r w:rsidRPr="00DD25D9">
        <w:rPr>
          <w:rStyle w:val="Emphasis"/>
          <w:highlight w:val="green"/>
        </w:rPr>
        <w:t>road to generic</w:t>
      </w:r>
      <w:r w:rsidRPr="0092026C">
        <w:rPr>
          <w:rStyle w:val="Emphasis"/>
        </w:rPr>
        <w:t xml:space="preserve"> approval is a lot </w:t>
      </w:r>
      <w:r w:rsidRPr="00DD25D9">
        <w:rPr>
          <w:rStyle w:val="Emphasis"/>
          <w:highlight w:val="green"/>
        </w:rPr>
        <w:t>shorter</w:t>
      </w:r>
      <w:r w:rsidRPr="0092026C">
        <w:t xml:space="preserve">. When the patent on a brand-name drug is about to run out, companies typically file an </w:t>
      </w:r>
      <w:r w:rsidRPr="0092026C">
        <w:rPr>
          <w:rStyle w:val="Emphasis"/>
        </w:rPr>
        <w:t>Abbreviated New Drug Application (ANDA),</w:t>
      </w:r>
      <w:r w:rsidRPr="0092026C">
        <w:t xml:space="preserve"> signaling their intent to produce a generic version of the drug. </w:t>
      </w:r>
      <w:r w:rsidRPr="0092026C">
        <w:rPr>
          <w:rStyle w:val="Emphasis"/>
        </w:rPr>
        <w:t xml:space="preserve">An ANDA </w:t>
      </w:r>
      <w:r w:rsidRPr="00DD25D9">
        <w:rPr>
          <w:rStyle w:val="Emphasis"/>
          <w:highlight w:val="green"/>
        </w:rPr>
        <w:t>requires no animal trials</w:t>
      </w:r>
      <w:r w:rsidRPr="0092026C">
        <w:rPr>
          <w:rStyle w:val="Emphasis"/>
        </w:rPr>
        <w:t xml:space="preserve"> and very </w:t>
      </w:r>
      <w:r w:rsidRPr="00DD25D9">
        <w:rPr>
          <w:rStyle w:val="Emphasis"/>
          <w:highlight w:val="green"/>
        </w:rPr>
        <w:t>limited human trials</w:t>
      </w:r>
      <w:r w:rsidRPr="0092026C">
        <w:rPr>
          <w:rStyle w:val="Emphasis"/>
        </w:rPr>
        <w:t xml:space="preserve">. While a generic is supposed to be chemically </w:t>
      </w:r>
      <w:proofErr w:type="gramStart"/>
      <w:r w:rsidRPr="0092026C">
        <w:rPr>
          <w:rStyle w:val="Emphasis"/>
        </w:rPr>
        <w:t>similar to</w:t>
      </w:r>
      <w:proofErr w:type="gramEnd"/>
      <w:r w:rsidRPr="0092026C">
        <w:rPr>
          <w:rStyle w:val="Emphasis"/>
        </w:rPr>
        <w:t xml:space="preserve"> its brand-name counterpart, with the same active ingredient in roughly the same amount, it is allowed to vary in quantity by about 10% in either direction. Manufacturers need only test their generic against the brand name in a tiny group of healthy volunteers to show it is bioequivalent. They don’t have to show therapeutic equivalency—that is, they </w:t>
      </w:r>
      <w:r w:rsidRPr="00DD25D9">
        <w:rPr>
          <w:rStyle w:val="Emphasis"/>
          <w:highlight w:val="green"/>
        </w:rPr>
        <w:t>don’t have to prove</w:t>
      </w:r>
      <w:r w:rsidRPr="0092026C">
        <w:rPr>
          <w:rStyle w:val="Emphasis"/>
        </w:rPr>
        <w:t xml:space="preserve"> that </w:t>
      </w:r>
      <w:r w:rsidRPr="00DD25D9">
        <w:rPr>
          <w:rStyle w:val="Emphasis"/>
          <w:highlight w:val="green"/>
        </w:rPr>
        <w:t>patients respond</w:t>
      </w:r>
      <w:r w:rsidRPr="0092026C">
        <w:rPr>
          <w:rStyle w:val="Emphasis"/>
        </w:rPr>
        <w:t xml:space="preserve"> to the generic </w:t>
      </w:r>
      <w:r w:rsidRPr="00DD25D9">
        <w:rPr>
          <w:rStyle w:val="Emphasis"/>
          <w:highlight w:val="green"/>
        </w:rPr>
        <w:t>in</w:t>
      </w:r>
      <w:r w:rsidRPr="0092026C">
        <w:rPr>
          <w:rStyle w:val="Emphasis"/>
        </w:rPr>
        <w:t xml:space="preserve"> the </w:t>
      </w:r>
      <w:r w:rsidRPr="00DD25D9">
        <w:rPr>
          <w:rStyle w:val="Emphasis"/>
          <w:highlight w:val="green"/>
        </w:rPr>
        <w:t>same way</w:t>
      </w:r>
      <w:r w:rsidRPr="0092026C">
        <w:rPr>
          <w:rStyle w:val="Emphasis"/>
        </w:rPr>
        <w:t xml:space="preserve"> they respond </w:t>
      </w:r>
      <w:r w:rsidRPr="00DD25D9">
        <w:rPr>
          <w:rStyle w:val="Emphasis"/>
          <w:highlight w:val="green"/>
        </w:rPr>
        <w:t>to</w:t>
      </w:r>
      <w:r w:rsidRPr="0092026C">
        <w:rPr>
          <w:rStyle w:val="Emphasis"/>
        </w:rPr>
        <w:t xml:space="preserve"> the </w:t>
      </w:r>
      <w:r w:rsidRPr="00DD25D9">
        <w:rPr>
          <w:rStyle w:val="Emphasis"/>
          <w:highlight w:val="green"/>
        </w:rPr>
        <w:t>brand name</w:t>
      </w:r>
      <w:r w:rsidRPr="0092026C">
        <w:t xml:space="preserve">. It is instead assumed that the generic will produce the same effect because the active ingredient is supposed to be the same. Many ANDAs are aspirational, first filed before a manufacturer has figured out how exactly to produce a generic version of a brand-name drug. And since FDA approval can take as little as six months, an ANDA might be approved before a manufacturer has finalized a generic formulation. </w:t>
      </w:r>
      <w:r w:rsidRPr="0092026C">
        <w:rPr>
          <w:rStyle w:val="Emphasis"/>
        </w:rPr>
        <w:t>Many medical professionals believe this approval process is enough to protect patients and ensure consistency. Experts</w:t>
      </w:r>
      <w:r w:rsidRPr="0092026C">
        <w:t xml:space="preserve"> like Michel Berg, a neurologist who directs the University of Rochester’s Epilepsy Center, </w:t>
      </w:r>
      <w:r w:rsidRPr="0092026C">
        <w:rPr>
          <w:rStyle w:val="Emphasis"/>
        </w:rPr>
        <w:t>say that when people complain about generics not working the way brand names do, it’s usually because they didn’t take the medication correctly</w:t>
      </w:r>
      <w:r w:rsidRPr="0092026C">
        <w:t xml:space="preserve">: They skipped or added a dose, took it at the wrong time of day, swallowed it with or without food, or in some other way violated what Berg calls good “medication hygiene.” The road to generic approval is a lot shorter. Richard Hansen, </w:t>
      </w:r>
      <w:r w:rsidRPr="0092026C">
        <w:rPr>
          <w:rStyle w:val="Emphasis"/>
        </w:rPr>
        <w:t>dean of</w:t>
      </w:r>
      <w:r w:rsidRPr="0092026C">
        <w:t xml:space="preserve"> Auburn University’s Harrison School of </w:t>
      </w:r>
      <w:r w:rsidRPr="0092026C">
        <w:rPr>
          <w:rStyle w:val="Emphasis"/>
        </w:rPr>
        <w:t>Pharmacy, points to</w:t>
      </w:r>
      <w:r w:rsidRPr="0092026C">
        <w:t xml:space="preserve"> another contributing factor: </w:t>
      </w:r>
      <w:r w:rsidRPr="0092026C">
        <w:rPr>
          <w:rStyle w:val="Emphasis"/>
        </w:rPr>
        <w:t>the nocebo effect</w:t>
      </w:r>
      <w:r w:rsidRPr="0092026C">
        <w:t xml:space="preserve">. People expect generics to cause more side effects and be less effective, so that’s what they experience. Hansen </w:t>
      </w:r>
      <w:r w:rsidRPr="0092026C">
        <w:rPr>
          <w:rStyle w:val="Emphasis"/>
        </w:rPr>
        <w:t>calls this the public perception bias.</w:t>
      </w:r>
      <w:r w:rsidRPr="0092026C">
        <w:t xml:space="preserve"> “There’s actual clinical studies that show if you give 100 people the exact same thing but tell half of them that they received a generic, the half you told are going to have more adverse events and lower efficacy,” he said. His solution: education. Teach people that generics are just as good as brand-name drugs and their attitudes will change. But human error and the power of suggestion can’t possibly be the whole story. What about experiences like mine, in which switching to a brand-name drug from the generic caused the problem? Clearly that wasn’t the nocebo effect. And while I’m as fallible as anyone else, I’m certain that in this case I was taking the medication correctly. Many of the </w:t>
      </w:r>
      <w:r w:rsidRPr="00DD25D9">
        <w:rPr>
          <w:rStyle w:val="Emphasis"/>
          <w:highlight w:val="green"/>
        </w:rPr>
        <w:t>experts</w:t>
      </w:r>
      <w:r w:rsidRPr="00DD25D9">
        <w:rPr>
          <w:highlight w:val="green"/>
        </w:rPr>
        <w:t xml:space="preserve"> I</w:t>
      </w:r>
      <w:r w:rsidRPr="0092026C">
        <w:t xml:space="preserve"> talked to for this story </w:t>
      </w:r>
      <w:r w:rsidRPr="00DD25D9">
        <w:rPr>
          <w:rStyle w:val="Emphasis"/>
          <w:highlight w:val="green"/>
        </w:rPr>
        <w:t>dismissed</w:t>
      </w:r>
      <w:r w:rsidRPr="0092026C">
        <w:rPr>
          <w:rStyle w:val="Emphasis"/>
        </w:rPr>
        <w:t xml:space="preserve"> or downplayed </w:t>
      </w:r>
      <w:r w:rsidRPr="00DD25D9">
        <w:rPr>
          <w:rStyle w:val="Emphasis"/>
          <w:highlight w:val="green"/>
        </w:rPr>
        <w:t>questions about generics</w:t>
      </w:r>
      <w:r w:rsidRPr="0092026C">
        <w:t xml:space="preserve">. One researcher who didn’t is </w:t>
      </w:r>
      <w:proofErr w:type="spellStart"/>
      <w:r w:rsidRPr="0092026C">
        <w:t>Jacinthe</w:t>
      </w:r>
      <w:proofErr w:type="spellEnd"/>
      <w:r w:rsidRPr="0092026C">
        <w:t xml:space="preserve"> Leclerc, an assistant professor of nursing at the University of Québec at Trois-Rivieres. Leclerc and her colleagues noticed an interesting pattern when they studied cardiac drugs: When a new generic became available and patients switched, they saw many more adverse effects. “For example, switching from a brand name anti-hypertensive drug to a generic one, the patients got more swollen,” she explained. Leclerc and her team analyzed data for </w:t>
      </w:r>
      <w:proofErr w:type="gramStart"/>
      <w:r w:rsidRPr="0092026C">
        <w:t>a number of</w:t>
      </w:r>
      <w:proofErr w:type="gramEnd"/>
      <w:r w:rsidRPr="0092026C">
        <w:t xml:space="preserve"> widely prescribed cardiac medications and found that when new generics were introduced, and people switched to them, hospitalizations and emergency room visits went up. Leclerc says the nocebo effect can’t possibly explain this finding. In fact, there’s a </w:t>
      </w:r>
      <w:r w:rsidRPr="0092026C">
        <w:rPr>
          <w:rStyle w:val="Emphasis"/>
        </w:rPr>
        <w:t>counterargument to the nocebo premise,</w:t>
      </w:r>
      <w:r w:rsidRPr="0092026C">
        <w:t xml:space="preserve"> one Hansen and others don’t </w:t>
      </w:r>
      <w:proofErr w:type="gramStart"/>
      <w:r w:rsidRPr="0092026C">
        <w:t>take into account</w:t>
      </w:r>
      <w:proofErr w:type="gramEnd"/>
      <w:r w:rsidRPr="0092026C">
        <w:t xml:space="preserve">: </w:t>
      </w:r>
      <w:r w:rsidRPr="00DD25D9">
        <w:rPr>
          <w:rStyle w:val="Emphasis"/>
          <w:highlight w:val="green"/>
        </w:rPr>
        <w:t>Most people want generics to work</w:t>
      </w:r>
    </w:p>
    <w:p w14:paraId="7BE90811" w14:textId="77777777" w:rsidR="00BC0B8D" w:rsidRDefault="00BC0B8D" w:rsidP="00BC0B8D">
      <w:pPr>
        <w:rPr>
          <w:rStyle w:val="Emphasis"/>
        </w:rPr>
      </w:pPr>
    </w:p>
    <w:p w14:paraId="35E76924" w14:textId="77777777" w:rsidR="00BC0B8D" w:rsidRDefault="00BC0B8D" w:rsidP="00BC0B8D">
      <w:pPr>
        <w:rPr>
          <w:rStyle w:val="Emphasis"/>
        </w:rPr>
      </w:pPr>
    </w:p>
    <w:p w14:paraId="09B95263" w14:textId="77777777" w:rsidR="00BC0B8D" w:rsidRDefault="00BC0B8D" w:rsidP="00BC0B8D">
      <w:pPr>
        <w:rPr>
          <w:rStyle w:val="Emphasis"/>
        </w:rPr>
      </w:pPr>
    </w:p>
    <w:p w14:paraId="259A5E4F" w14:textId="77777777" w:rsidR="00BC0B8D" w:rsidRDefault="00BC0B8D" w:rsidP="00BC0B8D">
      <w:pPr>
        <w:rPr>
          <w:rStyle w:val="Emphasis"/>
        </w:rPr>
      </w:pPr>
    </w:p>
    <w:p w14:paraId="2E20B4F9" w14:textId="77777777" w:rsidR="00BC0B8D" w:rsidRDefault="00BC0B8D" w:rsidP="00BC0B8D">
      <w:pPr>
        <w:rPr>
          <w:rStyle w:val="Emphasis"/>
        </w:rPr>
      </w:pPr>
    </w:p>
    <w:p w14:paraId="37CB77BE" w14:textId="77777777" w:rsidR="00BC0B8D" w:rsidRDefault="00BC0B8D" w:rsidP="00BC0B8D">
      <w:r w:rsidRPr="0092026C">
        <w:rPr>
          <w:rStyle w:val="Emphasis"/>
        </w:rPr>
        <w:t xml:space="preserve"> because that’s the </w:t>
      </w:r>
      <w:r w:rsidRPr="00DD25D9">
        <w:rPr>
          <w:rStyle w:val="Emphasis"/>
          <w:highlight w:val="green"/>
        </w:rPr>
        <w:t>only way</w:t>
      </w:r>
      <w:r w:rsidRPr="0092026C">
        <w:rPr>
          <w:rStyle w:val="Emphasis"/>
        </w:rPr>
        <w:t xml:space="preserve"> they </w:t>
      </w:r>
      <w:r w:rsidRPr="00DD25D9">
        <w:rPr>
          <w:rStyle w:val="Emphasis"/>
          <w:highlight w:val="green"/>
        </w:rPr>
        <w:t>can</w:t>
      </w:r>
      <w:r w:rsidRPr="0092026C">
        <w:rPr>
          <w:rStyle w:val="Emphasis"/>
        </w:rPr>
        <w:t xml:space="preserve"> afford </w:t>
      </w:r>
      <w:r w:rsidRPr="00DD25D9">
        <w:rPr>
          <w:rStyle w:val="Emphasis"/>
          <w:highlight w:val="green"/>
        </w:rPr>
        <w:t>their medication</w:t>
      </w:r>
      <w:r w:rsidRPr="0092026C">
        <w:rPr>
          <w:rStyle w:val="Emphasis"/>
        </w:rPr>
        <w:t>.</w:t>
      </w:r>
      <w:r w:rsidRPr="0092026C">
        <w:t xml:space="preserve"> (When asked if his team had considered this, Hansen said, “That’s not something we’ve looked at in particular.”) Erica Smith, a 50-year-old software designer in Oakland, California, found herself in this situation after her pharmacy switched her to a generic antidepressant made in India. Smith began having </w:t>
      </w:r>
      <w:r w:rsidRPr="00DD25D9">
        <w:rPr>
          <w:rStyle w:val="Emphasis"/>
          <w:highlight w:val="green"/>
        </w:rPr>
        <w:t>symptoms like brain “zaps” and extreme irritability</w:t>
      </w:r>
      <w:r w:rsidRPr="0092026C">
        <w:t xml:space="preserve">, signs that she wasn’t getting as much of the active ingredient as she had before. She </w:t>
      </w:r>
      <w:proofErr w:type="gramStart"/>
      <w:r w:rsidRPr="0092026C">
        <w:t>looked into</w:t>
      </w:r>
      <w:proofErr w:type="gramEnd"/>
      <w:r w:rsidRPr="0092026C">
        <w:t xml:space="preserve"> getting the brand-name, which cost $400 for a month’s supply. “Insurance of course did not cover that, so of course I didn’t get it,” she recalled. </w:t>
      </w:r>
      <w:proofErr w:type="spellStart"/>
      <w:r w:rsidRPr="0092026C">
        <w:t>Charlynn</w:t>
      </w:r>
      <w:proofErr w:type="spellEnd"/>
      <w:r w:rsidRPr="0092026C">
        <w:t xml:space="preserve"> </w:t>
      </w:r>
      <w:proofErr w:type="spellStart"/>
      <w:r w:rsidRPr="0092026C">
        <w:t>Schmiedt</w:t>
      </w:r>
      <w:proofErr w:type="spellEnd"/>
      <w:r w:rsidRPr="0092026C">
        <w:t xml:space="preserve">, a 36-year-old entrepreneur in San Dimas, California, was one of hundreds of patients who reported </w:t>
      </w:r>
      <w:r w:rsidRPr="00DD25D9">
        <w:rPr>
          <w:rStyle w:val="Emphasis"/>
          <w:highlight w:val="green"/>
        </w:rPr>
        <w:t>massive side effects</w:t>
      </w:r>
      <w:r w:rsidRPr="0092026C">
        <w:t xml:space="preserve"> and symptoms after switching from the brand-name Wellbutrin, a popular antidepressant, to Teva </w:t>
      </w:r>
      <w:proofErr w:type="spellStart"/>
      <w:r w:rsidRPr="0092026C">
        <w:t>Pharmaceuticals’s</w:t>
      </w:r>
      <w:proofErr w:type="spellEnd"/>
      <w:r w:rsidRPr="0092026C">
        <w:t xml:space="preserve"> generic extended-release, version, bupropion XL. </w:t>
      </w:r>
      <w:proofErr w:type="spellStart"/>
      <w:r w:rsidRPr="0092026C">
        <w:t>Schmiedt’s</w:t>
      </w:r>
      <w:proofErr w:type="spellEnd"/>
      <w:r w:rsidRPr="0092026C">
        <w:t xml:space="preserve"> doctor had given her a few weeks’ worth of brand-name samples, and as she took them her depression and anxiety began to subside. When the samples ran out, she filled a prescription and got the Teva generic. “It was a massive 180-degree shift,” she remembered. “It was horrible. I got </w:t>
      </w:r>
      <w:proofErr w:type="gramStart"/>
      <w:r w:rsidRPr="0092026C">
        <w:t>really angry</w:t>
      </w:r>
      <w:proofErr w:type="gramEnd"/>
      <w:r w:rsidRPr="0092026C">
        <w:t xml:space="preserve">, I got agitated, I would cry at the drop of a hat. I was a wreck.” </w:t>
      </w:r>
      <w:proofErr w:type="spellStart"/>
      <w:r w:rsidRPr="0092026C">
        <w:t>Schmiedt</w:t>
      </w:r>
      <w:proofErr w:type="spellEnd"/>
      <w:r w:rsidRPr="0092026C">
        <w:t xml:space="preserve"> lasted three weeks on the generic before she quit. Like many patients, she couldn’t afford the brand-name, so she went through months of trial and error before finding another medication that helped her symptoms. In 2012, after years of complaints from patients like </w:t>
      </w:r>
      <w:proofErr w:type="spellStart"/>
      <w:r w:rsidRPr="0092026C">
        <w:t>Schmiedt</w:t>
      </w:r>
      <w:proofErr w:type="spellEnd"/>
      <w:r w:rsidRPr="0092026C">
        <w:t xml:space="preserve">, the FDA </w:t>
      </w:r>
      <w:proofErr w:type="gramStart"/>
      <w:r w:rsidRPr="0092026C">
        <w:t>more or less acknowledged</w:t>
      </w:r>
      <w:proofErr w:type="gramEnd"/>
      <w:r w:rsidRPr="0092026C">
        <w:t xml:space="preserve"> that Teva’s generic was problematic by pulling it from sale, a step the agency almost never takes. Journalist Katherine </w:t>
      </w:r>
      <w:proofErr w:type="spellStart"/>
      <w:r w:rsidRPr="0092026C">
        <w:t>Eban</w:t>
      </w:r>
      <w:proofErr w:type="spellEnd"/>
      <w:r w:rsidRPr="0092026C">
        <w:t xml:space="preserve">, author of the book Bottle of Lies: The Inside Story of the Generic Drug Boom, was surprised by the FDA’s reversal but not by Teva’s problems. </w:t>
      </w:r>
      <w:proofErr w:type="gramStart"/>
      <w:r w:rsidRPr="0092026C">
        <w:t>The vast majority of</w:t>
      </w:r>
      <w:proofErr w:type="gramEnd"/>
      <w:r w:rsidRPr="0092026C">
        <w:t xml:space="preserve"> generics—no one seems to know exactly what percentage—used in the U.S. are sourced or manufactured in India, China, and other countries. </w:t>
      </w:r>
      <w:proofErr w:type="spellStart"/>
      <w:r w:rsidRPr="0092026C">
        <w:rPr>
          <w:rStyle w:val="Emphasis"/>
        </w:rPr>
        <w:t>Eban</w:t>
      </w:r>
      <w:proofErr w:type="spellEnd"/>
      <w:r w:rsidRPr="0092026C">
        <w:rPr>
          <w:rStyle w:val="Emphasis"/>
        </w:rPr>
        <w:t xml:space="preserve"> spent 10 years investigating overseas manufacturers </w:t>
      </w:r>
      <w:r w:rsidRPr="0092026C">
        <w:t xml:space="preserve">and found a jaw-dropping range of problems, including </w:t>
      </w:r>
      <w:r w:rsidRPr="00DD25D9">
        <w:rPr>
          <w:rStyle w:val="Emphasis"/>
          <w:highlight w:val="green"/>
        </w:rPr>
        <w:t>poor-quality ingredients</w:t>
      </w:r>
      <w:r w:rsidRPr="0092026C">
        <w:rPr>
          <w:rStyle w:val="Emphasis"/>
        </w:rPr>
        <w:t xml:space="preserve">, </w:t>
      </w:r>
      <w:r w:rsidRPr="00DD25D9">
        <w:rPr>
          <w:rStyle w:val="Emphasis"/>
          <w:highlight w:val="green"/>
        </w:rPr>
        <w:t>contamination</w:t>
      </w:r>
      <w:r w:rsidRPr="0092026C">
        <w:rPr>
          <w:rStyle w:val="Emphasis"/>
        </w:rPr>
        <w:t>, dangerous plant conditions</w:t>
      </w:r>
      <w:r w:rsidRPr="0092026C">
        <w:t xml:space="preserve">, and outright fraud and </w:t>
      </w:r>
      <w:r w:rsidRPr="0092026C">
        <w:rPr>
          <w:rStyle w:val="Emphasis"/>
        </w:rPr>
        <w:t>deception</w:t>
      </w:r>
      <w:r w:rsidRPr="0092026C">
        <w:t xml:space="preserve">. Pharmaceutical companies like Ranbaxy, a former Indian manufacturer, deliberately </w:t>
      </w:r>
      <w:r w:rsidRPr="00DD25D9">
        <w:rPr>
          <w:rStyle w:val="Emphasis"/>
          <w:highlight w:val="green"/>
        </w:rPr>
        <w:t>falsified data to fool regulators</w:t>
      </w:r>
      <w:r w:rsidRPr="0092026C">
        <w:t xml:space="preserve">, lying to regulators about </w:t>
      </w:r>
      <w:r w:rsidRPr="0092026C">
        <w:rPr>
          <w:rStyle w:val="Emphasis"/>
        </w:rPr>
        <w:t>safety tests and results and then covering up those lies with more falsehoods.</w:t>
      </w:r>
      <w:r w:rsidRPr="0092026C">
        <w:t xml:space="preserve"> The reality is that the </w:t>
      </w:r>
      <w:r w:rsidRPr="00DD25D9">
        <w:rPr>
          <w:rStyle w:val="Emphasis"/>
          <w:highlight w:val="green"/>
        </w:rPr>
        <w:t>FDA</w:t>
      </w:r>
      <w:r w:rsidRPr="0092026C">
        <w:rPr>
          <w:rStyle w:val="Emphasis"/>
        </w:rPr>
        <w:t xml:space="preserve"> simply </w:t>
      </w:r>
      <w:r w:rsidRPr="00DD25D9">
        <w:rPr>
          <w:rStyle w:val="Emphasis"/>
          <w:highlight w:val="green"/>
        </w:rPr>
        <w:t xml:space="preserve">doesn’t </w:t>
      </w:r>
      <w:r w:rsidRPr="0092026C">
        <w:rPr>
          <w:rStyle w:val="Emphasis"/>
        </w:rPr>
        <w:t xml:space="preserve">have the resources to </w:t>
      </w:r>
      <w:r w:rsidRPr="00DD25D9">
        <w:rPr>
          <w:rStyle w:val="Emphasis"/>
          <w:highlight w:val="green"/>
        </w:rPr>
        <w:t>monitor overseas drug makers</w:t>
      </w:r>
      <w:r w:rsidRPr="0092026C">
        <w:rPr>
          <w:rStyle w:val="Emphasis"/>
        </w:rPr>
        <w:t xml:space="preserve"> the </w:t>
      </w:r>
      <w:r w:rsidRPr="00DD25D9">
        <w:rPr>
          <w:rStyle w:val="Emphasis"/>
          <w:highlight w:val="green"/>
        </w:rPr>
        <w:t>way they do U.S</w:t>
      </w:r>
      <w:r w:rsidRPr="0092026C">
        <w:rPr>
          <w:rStyle w:val="Emphasis"/>
        </w:rPr>
        <w:t>. manufacturers</w:t>
      </w:r>
      <w:r w:rsidRPr="0092026C">
        <w:t xml:space="preserve">. The result, according to </w:t>
      </w:r>
      <w:proofErr w:type="spellStart"/>
      <w:r w:rsidRPr="0092026C">
        <w:t>Eban</w:t>
      </w:r>
      <w:proofErr w:type="spellEnd"/>
      <w:r w:rsidRPr="0092026C">
        <w:t xml:space="preserve">, is that many of the medications we take today are ineffective or worse. “We need systematic surveillance testing of our drugs, which is not happening,” she told me. And that doesn’t apply just to medicine made overseas. No matter where they’re made, generics are subject to far less testing than original brand-name drugs. As the FDA’s Walsh explained, “Generic drug applications are termed ‘abbreviated’ because they are not required to include preclinical (animal) and clinical (human) data to establish safety and effectiveness. Instead, generic applicants must scientifically demonstrate that their product performs in the same manner as the innovator drug.” Pharmaceutical companies like Ranbaxy, a former Indian manufacturer, deliberately falsified data to fool regulators, lying to regulators about safety tests and results and then covering up those lies with more falsehoods. “We’ve got a lot of companies that lie, that manipulate data,” said Joe </w:t>
      </w:r>
      <w:proofErr w:type="spellStart"/>
      <w:r w:rsidRPr="0092026C">
        <w:t>Graedon</w:t>
      </w:r>
      <w:proofErr w:type="spellEnd"/>
      <w:r w:rsidRPr="0092026C">
        <w:t xml:space="preserve">, a pharmacologist and co-founder of the pharmaceutical watchdog site People’s Pharmacy. “There’s examples of fraud left and right. Quality control has been clearly a huge problem both in China and India but many other countries as well, and the FDA is probably not monitoring many of these countries as well as it should.” Douglas </w:t>
      </w:r>
      <w:proofErr w:type="spellStart"/>
      <w:r w:rsidRPr="0092026C">
        <w:t>Kamerow</w:t>
      </w:r>
      <w:proofErr w:type="spellEnd"/>
      <w:r w:rsidRPr="0092026C">
        <w:t xml:space="preserve">, a family doctor and medical researcher in Washington, D.C., put it this way in an article in </w:t>
      </w:r>
      <w:proofErr w:type="gramStart"/>
      <w:r w:rsidRPr="0092026C">
        <w:t>The</w:t>
      </w:r>
      <w:proofErr w:type="gramEnd"/>
      <w:r w:rsidRPr="0092026C">
        <w:t xml:space="preserve"> BMJ: “Full clinical trials are not required to approve generics—that’s why they are so inexpensive, after all—so true clinical equivalence is never tested.” But what about the Wellbutrin example? Presumably that wasn’t the result of fraud or low standards. How could something like this happen if, as the FDA insists, generics makers are required to prove that their products are bioequivalent? The problem in this case turned out to be the rate at which the </w:t>
      </w:r>
      <w:r w:rsidRPr="0092026C">
        <w:rPr>
          <w:rStyle w:val="Emphasis"/>
        </w:rPr>
        <w:t>extended-release generic was absorbed into the body</w:t>
      </w:r>
      <w:r w:rsidRPr="0092026C">
        <w:t xml:space="preserve">. “[Levels of] the brand name peaked somewhere around five or six hours. The generic peaked around one or two hours,” said </w:t>
      </w:r>
      <w:proofErr w:type="spellStart"/>
      <w:r w:rsidRPr="0092026C">
        <w:t>Graedon</w:t>
      </w:r>
      <w:proofErr w:type="spellEnd"/>
      <w:r w:rsidRPr="0092026C">
        <w:t xml:space="preserve">. </w:t>
      </w:r>
      <w:proofErr w:type="gramStart"/>
      <w:r w:rsidRPr="0092026C">
        <w:t>So</w:t>
      </w:r>
      <w:proofErr w:type="gramEnd"/>
      <w:r w:rsidRPr="0092026C">
        <w:t xml:space="preserve"> people who took the generic got a big dump of the active ingredient too quickly, and then it left their systems too soon. “That was what, in my estimation, led to all the complications people experienced,” he added. “They had a lot of side effects from the generic and they didn’t get the clinical benefit of this antidepressant.” (Teva did not respond to multiple requests for comment.) To visualize the process, </w:t>
      </w:r>
      <w:proofErr w:type="spellStart"/>
      <w:r w:rsidRPr="0092026C">
        <w:t>Graedon</w:t>
      </w:r>
      <w:proofErr w:type="spellEnd"/>
      <w:r w:rsidRPr="0092026C">
        <w:t xml:space="preserve"> asked me to imagine a spreadsheet tracking a city’s water usage over a 24-hour period, showing peaks and valleys depending on the time of day. For instance, a lot more water would be used at 7 a.m., when people are showering and cooking, than at 2 a.m., when most people are asleep. That, he says, is the kind of detailed data needed to follow exactly how a generic is absorbed. “You want to know how much was absorbed at half an hour, an hour, two hours, all the way through,” he said. The bupropion XL problems would have been obvious with this kind of tracking over time. According to </w:t>
      </w:r>
      <w:proofErr w:type="spellStart"/>
      <w:r w:rsidRPr="0092026C">
        <w:t>Graedon</w:t>
      </w:r>
      <w:proofErr w:type="spellEnd"/>
      <w:r w:rsidRPr="0092026C">
        <w:t xml:space="preserve">, the FDA asks for this information from drug companies but doesn’t incorporate it in decisions about which generics are approved. Another reason generics sometimes don’t behave the way brand drugs do involves what’s known as </w:t>
      </w:r>
      <w:r w:rsidRPr="00DD25D9">
        <w:rPr>
          <w:rStyle w:val="Emphasis"/>
          <w:highlight w:val="green"/>
        </w:rPr>
        <w:t>inter-subject variability.</w:t>
      </w:r>
      <w:r w:rsidRPr="0092026C">
        <w:t xml:space="preserve"> William </w:t>
      </w:r>
      <w:proofErr w:type="spellStart"/>
      <w:r w:rsidRPr="0092026C">
        <w:t>Ravis</w:t>
      </w:r>
      <w:proofErr w:type="spellEnd"/>
      <w:r w:rsidRPr="0092026C">
        <w:t xml:space="preserve">, a retired professor of drug discovery and development at Auburn University, spent four decades studying pharmacokinetics, or how drugs move through the body. He pointed out that certain drugs have a lot of </w:t>
      </w:r>
      <w:r w:rsidRPr="0092026C">
        <w:rPr>
          <w:rStyle w:val="Emphasis"/>
        </w:rPr>
        <w:t>variability in terms of how they metabolize and behave</w:t>
      </w:r>
      <w:r w:rsidRPr="0092026C">
        <w:t>. “The majority of patients might not show a difference in exchanging one product for another,” he explained. “</w:t>
      </w:r>
      <w:r w:rsidRPr="0092026C">
        <w:rPr>
          <w:rStyle w:val="Emphasis"/>
        </w:rPr>
        <w:t xml:space="preserve">But </w:t>
      </w:r>
      <w:r w:rsidRPr="00DD25D9">
        <w:rPr>
          <w:rStyle w:val="Emphasis"/>
          <w:highlight w:val="green"/>
        </w:rPr>
        <w:t>if you</w:t>
      </w:r>
      <w:r w:rsidRPr="0092026C">
        <w:rPr>
          <w:rStyle w:val="Emphasis"/>
        </w:rPr>
        <w:t xml:space="preserve"> handle the drug </w:t>
      </w:r>
      <w:r w:rsidRPr="00DD25D9">
        <w:rPr>
          <w:rStyle w:val="Emphasis"/>
          <w:highlight w:val="green"/>
        </w:rPr>
        <w:t>too</w:t>
      </w:r>
      <w:r w:rsidRPr="0092026C">
        <w:rPr>
          <w:rStyle w:val="Emphasis"/>
        </w:rPr>
        <w:t xml:space="preserve"> much </w:t>
      </w:r>
      <w:r w:rsidRPr="00DD25D9">
        <w:rPr>
          <w:rStyle w:val="Emphasis"/>
          <w:highlight w:val="green"/>
        </w:rPr>
        <w:t>different</w:t>
      </w:r>
      <w:r w:rsidRPr="0092026C">
        <w:rPr>
          <w:rStyle w:val="Emphasis"/>
        </w:rPr>
        <w:t xml:space="preserve">ly </w:t>
      </w:r>
      <w:r w:rsidRPr="00DD25D9">
        <w:rPr>
          <w:rStyle w:val="Emphasis"/>
          <w:highlight w:val="green"/>
        </w:rPr>
        <w:t>from somebody else</w:t>
      </w:r>
      <w:r w:rsidRPr="0092026C">
        <w:rPr>
          <w:rStyle w:val="Emphasis"/>
        </w:rPr>
        <w:t xml:space="preserve"> or you’re taking other medications than somebody else, that may </w:t>
      </w:r>
      <w:r w:rsidRPr="00DD25D9">
        <w:rPr>
          <w:rStyle w:val="Emphasis"/>
          <w:highlight w:val="green"/>
        </w:rPr>
        <w:t>put you right on the edge where it’s toxic</w:t>
      </w:r>
      <w:r w:rsidRPr="0092026C">
        <w:rPr>
          <w:rStyle w:val="Emphasis"/>
        </w:rPr>
        <w:t xml:space="preserve"> or you lose the therapeutic effects</w:t>
      </w:r>
      <w:r w:rsidRPr="0092026C">
        <w:t xml:space="preserve">.” For example, </w:t>
      </w:r>
      <w:proofErr w:type="spellStart"/>
      <w:r w:rsidRPr="0092026C">
        <w:t>Ravis</w:t>
      </w:r>
      <w:proofErr w:type="spellEnd"/>
      <w:r w:rsidRPr="0092026C">
        <w:t xml:space="preserve"> said, it’s been well documented that switching from one thyroid medication to another, even if they’ve been shown to be bioequivalent, can cause problems. “There are things going on there in absorption, or body sensitivity to T4 or T3 products, or thyroid hormones, that is different in different patients,” he said. “Drugs produce their effects on receptors in the body and those all don’t respond the same way in every patient.” In fact, one member of his own family pays out of pocket for a brand-name thyroid drug that’s not covered by their insurance, because the generics don’t work for them. Neurologist Gregory Krauss of Johns Hopkins University actually filed Freedom of Information Act requests to get bioequivalence </w:t>
      </w:r>
      <w:r w:rsidRPr="0092026C">
        <w:rPr>
          <w:rStyle w:val="Emphasis"/>
        </w:rPr>
        <w:t xml:space="preserve">data from the FDA on </w:t>
      </w:r>
      <w:r w:rsidRPr="00DD25D9">
        <w:rPr>
          <w:rStyle w:val="Emphasis"/>
          <w:highlight w:val="green"/>
        </w:rPr>
        <w:t>five generic versions of</w:t>
      </w:r>
      <w:r w:rsidRPr="0092026C">
        <w:rPr>
          <w:rStyle w:val="Emphasis"/>
        </w:rPr>
        <w:t xml:space="preserve"> the </w:t>
      </w:r>
      <w:r w:rsidRPr="00DD25D9">
        <w:rPr>
          <w:rStyle w:val="Emphasis"/>
          <w:highlight w:val="green"/>
        </w:rPr>
        <w:t>epilepsy drug</w:t>
      </w:r>
      <w:r w:rsidRPr="0092026C">
        <w:t xml:space="preserve"> </w:t>
      </w:r>
      <w:proofErr w:type="gramStart"/>
      <w:r w:rsidRPr="0092026C">
        <w:t>carbamazepine, and</w:t>
      </w:r>
      <w:proofErr w:type="gramEnd"/>
      <w:r w:rsidRPr="0092026C">
        <w:t xml:space="preserve"> learned that maximal concentrations—the peak amount of </w:t>
      </w:r>
      <w:r w:rsidRPr="00DD25D9">
        <w:rPr>
          <w:rStyle w:val="Emphasis"/>
          <w:highlight w:val="green"/>
        </w:rPr>
        <w:t>active ingredient</w:t>
      </w:r>
      <w:r w:rsidRPr="0092026C">
        <w:rPr>
          <w:rStyle w:val="Emphasis"/>
        </w:rPr>
        <w:t>—</w:t>
      </w:r>
      <w:r w:rsidRPr="00DD25D9">
        <w:rPr>
          <w:rStyle w:val="Emphasis"/>
          <w:highlight w:val="green"/>
        </w:rPr>
        <w:t>differed by as much as 40 percent</w:t>
      </w:r>
      <w:r w:rsidRPr="0092026C">
        <w:t xml:space="preserve">. While many people tolerate those kinds of discrepancies, many don’t. And they might never realize that the problem is </w:t>
      </w:r>
      <w:r w:rsidRPr="0092026C">
        <w:rPr>
          <w:rStyle w:val="Emphasis"/>
        </w:rPr>
        <w:t xml:space="preserve">the generic version they’re taking rather than the medication itself. </w:t>
      </w:r>
      <w:r w:rsidRPr="0092026C">
        <w:t xml:space="preserve">Finally, there’s the issue of what experts call the therapeutic index, meaning the margin between an effective dose and a toxic one. If that margin is large, manufacturing discrepancies don’t matter as much; a little more or less of the active ingredient will go unnoticed by most patients. But the smaller the margin—the narrower the therapeutic index—the more likely patients are to experience side effects and failures. While many people tolerate those kinds of discrepancies, many don’t. And they might never realize that the problem is the generic version they’re taking rather than the medication itself. Many psychiatric drugs fall into this category, which might explain why they’re among the most problematic. Studies of antidepressants like Effexor and Celexa, along with anti-psychotics like Risperdal, Clozaril, and </w:t>
      </w:r>
      <w:proofErr w:type="spellStart"/>
      <w:r w:rsidRPr="0092026C">
        <w:t>Dogmatil</w:t>
      </w:r>
      <w:proofErr w:type="spellEnd"/>
      <w:r w:rsidRPr="0092026C">
        <w:t xml:space="preserve">, all highlight the fact that some patients do worse on the generic versions than on the brand-name medications. Research on other drugs with narrow therapeutic indexes, or NTIs, like cardiac drugs, immunosuppressants for transplant patients, and epilepsy drugs suggest similar discrepancies, though other studies on seizure medications showed no significant differences between brands and generics. “The narrow therapeutic index drug class, those are tricky,” agrees </w:t>
      </w:r>
      <w:proofErr w:type="spellStart"/>
      <w:r w:rsidRPr="0092026C">
        <w:t>Jingjing</w:t>
      </w:r>
      <w:proofErr w:type="spellEnd"/>
      <w:r w:rsidRPr="0092026C">
        <w:t xml:space="preserve"> Qian, an associate professor in health outcomes and research at Auburn University. “But </w:t>
      </w:r>
      <w:proofErr w:type="gramStart"/>
      <w:r w:rsidRPr="0092026C">
        <w:t>in order to</w:t>
      </w:r>
      <w:proofErr w:type="gramEnd"/>
      <w:r w:rsidRPr="0092026C">
        <w:t xml:space="preserve"> verify if that difference is perception or real difference—that needs more research. And there’s no incentive for industry to study generic drugs.” Which is unfortunate for those of us who take those drugs. One of my daughters had a terrifying experience after a change in her insurance forced her to switch from a brand-name antidepressant to a generic one. When her depression roared back following the switch, the psychiatrist upped her dose. A month later, the pharmacy switched her prescription from the Indian generic she had been taking to what’s called an authorized generic, meaning it’s the same exact drug made by the same company that produces the brand-name, but it’s marketed as a generic. And now something was clearly, scarily wrong. Even from a thousand miles away I could tell she was not in good shape. She was speaking so fast I could barely follow; what I did understand was that her anxiety was off the charts, her muscles were twitching and spasming, she hadn’t slept properly in days, and she was talking about suicide. Because I’ve had my own history with generics, I wondered about the medication change. Her symptoms were consistent with serotonin syndrome, a potentially fatal condition caused by a sudden overload of serotonin. Maybe her depression symptoms came back on the generic because it didn’t contain enough active ingredients; then, when the pharmacy switched her to the authorized generic, maybe she was suddenly getting way too much of the active ingredient. She cut back the dose, and thankfully her symptoms subsided. I now pay out of pocket for her to take the brand-name version. She’s had no further problems. Raising these kinds of questions about generics is deeply unpopular. And it’s understandable, in a way, because our healthcare system relies so heavily on generics. Michel Berg, who directs the University of Rochester’s Epilepsy Center, represents the views of many medical professionals when he says, “There’s no perfect here. I think mostly [generics are] pretty good. The cost savings of generics is just so great. I think the advantage of the generics by far in that sense outweighs what problems that might exist that I think are fairly infrequent.” Whether Berg is right or not, without generics, we’d be seeing much higher drug prices and even more drug shortages. Atorvastatin, a generic cholesterol medication, costs about $15 a month, while its brand-name equivalent, Lipitor, goes for between $450 and $500 a month. Abilify, an antipsychotic and antidepressant made by Bristol-Myers Squibb, costs between $700 and $900 a month; the generic version, aripiprazole, goes for around $8. And these aren’t even extreme examples. </w:t>
      </w:r>
      <w:proofErr w:type="spellStart"/>
      <w:r w:rsidRPr="0092026C">
        <w:t>Cuprimine</w:t>
      </w:r>
      <w:proofErr w:type="spellEnd"/>
      <w:r w:rsidRPr="0092026C">
        <w:t xml:space="preserve">, a brand-name drug made by Bausch Health to treat rheumatoid arthritis, retails for $26,000 a month; the generic version, penicillamine, costs $7,000. Raising these kinds of questions about generics is deeply unpopular. And it’s understandable, in a way, because our healthcare system relies so heavily on generics. Last September, the Trump administration approved a plan to let states import cheaper medications from Canada and elsewhere, though it is still unclear how exactly this will affect consumers. Several years </w:t>
      </w:r>
      <w:proofErr w:type="gramStart"/>
      <w:r w:rsidRPr="0092026C">
        <w:t>ago</w:t>
      </w:r>
      <w:proofErr w:type="gramEnd"/>
      <w:r w:rsidRPr="0092026C">
        <w:t xml:space="preserve"> AARP, whose more than 38 million members take an average of 4.5 medications apiece, announced an initiative called Stop Rx Greed, inviting people to “tell Congress to stop Rx greed and cut drug prices now!” Media coverage about profit-hungry pharmaceutical companies like Mylan, the makers of EpiPen that infamously jacked up its price 400 percent, make it politically untenable to do anything that makes the situation worse for consumers. “There’s no plan B for our drug supply,” </w:t>
      </w:r>
      <w:proofErr w:type="spellStart"/>
      <w:r w:rsidRPr="0092026C">
        <w:t>Eban</w:t>
      </w:r>
      <w:proofErr w:type="spellEnd"/>
      <w:r w:rsidRPr="0092026C">
        <w:t xml:space="preserve"> told me. “We’re facing critical drug shortages, we are reliant on these medications, and there is no meaningful price regulation for brand-name drugs. There is a tremendous amount of political pressure for these low-cost generics.” In a recent story about </w:t>
      </w:r>
      <w:proofErr w:type="spellStart"/>
      <w:r w:rsidRPr="0092026C">
        <w:t>Eban’s</w:t>
      </w:r>
      <w:proofErr w:type="spellEnd"/>
      <w:r w:rsidRPr="0092026C">
        <w:t xml:space="preserve"> book, published in a trade magazine for biopharma executives, a reviewer commented, “The entire U.S. pharma industry is under attack for its pricing policies, so who wants to question the quality of generics . . . that keep drug costs down?” Who </w:t>
      </w:r>
      <w:proofErr w:type="gramStart"/>
      <w:r w:rsidRPr="0092026C">
        <w:t>indeed.</w:t>
      </w:r>
      <w:proofErr w:type="gramEnd"/>
      <w:r w:rsidRPr="0092026C">
        <w:t xml:space="preserve"> We’d much rather believe that patients who report issues with generics are biased or victims of misperception because if they’re not, if they’re right about these problems, the whole system is screwed. So where does that leave people like Erica Smith, </w:t>
      </w:r>
      <w:proofErr w:type="spellStart"/>
      <w:r w:rsidRPr="0092026C">
        <w:t>Charlynn</w:t>
      </w:r>
      <w:proofErr w:type="spellEnd"/>
      <w:r w:rsidRPr="0092026C">
        <w:t xml:space="preserve"> </w:t>
      </w:r>
      <w:proofErr w:type="spellStart"/>
      <w:r w:rsidRPr="0092026C">
        <w:t>Schmiedt</w:t>
      </w:r>
      <w:proofErr w:type="spellEnd"/>
      <w:r w:rsidRPr="0092026C">
        <w:t xml:space="preserve">, and the rest of us who have struggled with generics? Awareness is key, starting with awareness of our own perceptions and behaviors. While reporting this story I bought a pill dispenser so I could, as Michel Berg suggested, practice better medication hygiene. But we also need to be aware that there are major manufacturing and safety concerns with some generics. If you think something’s wrong with any medication, generic or not, report it on the FDA’s MedWatch site so the agency can track complaints about it and, ideally, investigate. There is </w:t>
      </w:r>
      <w:r w:rsidRPr="00DD25D9">
        <w:rPr>
          <w:rStyle w:val="Emphasis"/>
          <w:highlight w:val="green"/>
        </w:rPr>
        <w:t>clear</w:t>
      </w:r>
      <w:r w:rsidRPr="0092026C">
        <w:rPr>
          <w:rStyle w:val="Emphasis"/>
        </w:rPr>
        <w:t xml:space="preserve"> scientific </w:t>
      </w:r>
      <w:r w:rsidRPr="00DD25D9">
        <w:rPr>
          <w:rStyle w:val="Emphasis"/>
          <w:highlight w:val="green"/>
        </w:rPr>
        <w:t>evidence</w:t>
      </w:r>
      <w:r w:rsidRPr="0092026C">
        <w:rPr>
          <w:rStyle w:val="Emphasis"/>
        </w:rPr>
        <w:t xml:space="preserve"> that some </w:t>
      </w:r>
      <w:r w:rsidRPr="00DD25D9">
        <w:rPr>
          <w:rStyle w:val="Emphasis"/>
          <w:highlight w:val="green"/>
        </w:rPr>
        <w:t>drugs</w:t>
      </w:r>
      <w:r w:rsidRPr="0092026C">
        <w:rPr>
          <w:rStyle w:val="Emphasis"/>
        </w:rPr>
        <w:t xml:space="preserve"> do </w:t>
      </w:r>
      <w:r w:rsidRPr="00DD25D9">
        <w:rPr>
          <w:rStyle w:val="Emphasis"/>
          <w:highlight w:val="green"/>
        </w:rPr>
        <w:t>affect</w:t>
      </w:r>
      <w:r w:rsidRPr="0092026C">
        <w:rPr>
          <w:rStyle w:val="Emphasis"/>
        </w:rPr>
        <w:t xml:space="preserve"> some </w:t>
      </w:r>
      <w:r w:rsidRPr="00DD25D9">
        <w:rPr>
          <w:rStyle w:val="Emphasis"/>
          <w:highlight w:val="green"/>
        </w:rPr>
        <w:t>people differently, no matter what</w:t>
      </w:r>
      <w:r w:rsidRPr="0092026C">
        <w:rPr>
          <w:rStyle w:val="Emphasis"/>
        </w:rPr>
        <w:t xml:space="preserve"> doctors and </w:t>
      </w:r>
      <w:r w:rsidRPr="00DD25D9">
        <w:rPr>
          <w:rStyle w:val="Emphasis"/>
          <w:highlight w:val="green"/>
        </w:rPr>
        <w:t>pharmacists</w:t>
      </w:r>
      <w:r w:rsidRPr="0092026C">
        <w:rPr>
          <w:rStyle w:val="Emphasis"/>
        </w:rPr>
        <w:t xml:space="preserve"> and insurance companies </w:t>
      </w:r>
      <w:r w:rsidRPr="00DD25D9">
        <w:rPr>
          <w:rStyle w:val="Emphasis"/>
          <w:highlight w:val="green"/>
        </w:rPr>
        <w:t>say</w:t>
      </w:r>
      <w:r w:rsidRPr="00DD25D9">
        <w:rPr>
          <w:highlight w:val="green"/>
        </w:rPr>
        <w:t>.</w:t>
      </w:r>
      <w:r w:rsidRPr="0092026C">
        <w:t xml:space="preserve"> </w:t>
      </w:r>
      <w:proofErr w:type="spellStart"/>
      <w:r w:rsidRPr="0092026C">
        <w:t>LeClerc</w:t>
      </w:r>
      <w:proofErr w:type="spellEnd"/>
      <w:r w:rsidRPr="0092026C">
        <w:t xml:space="preserve"> of the University of Quebec thinks </w:t>
      </w:r>
      <w:r w:rsidRPr="0092026C">
        <w:rPr>
          <w:rStyle w:val="Emphasis"/>
        </w:rPr>
        <w:t>people need to learn to advocate for themselves when things don’t feel right, and medical professionals need to listen</w:t>
      </w:r>
      <w:r w:rsidRPr="0092026C">
        <w:t>. “When we listen carefully to patients, they say there is something wrong once they switch [from a brand to a generic],” she said. “It cannot only be in their heads.”</w:t>
      </w:r>
    </w:p>
    <w:p w14:paraId="13BD9236" w14:textId="77777777" w:rsidR="00BC0B8D" w:rsidRPr="00B55AD5" w:rsidRDefault="00BC0B8D" w:rsidP="00BC0B8D"/>
    <w:p w14:paraId="6A9EE174" w14:textId="77777777" w:rsidR="00BC0B8D" w:rsidRPr="0092026C" w:rsidRDefault="00BC0B8D" w:rsidP="00BC0B8D">
      <w:pPr>
        <w:pStyle w:val="Heading4"/>
        <w:rPr>
          <w:rFonts w:cs="Calibri"/>
        </w:rPr>
      </w:pPr>
      <w:bookmarkStart w:id="0" w:name="_Hlk81742419"/>
      <w:r w:rsidRPr="0092026C">
        <w:rPr>
          <w:rFonts w:cs="Calibri"/>
        </w:rPr>
        <w:t xml:space="preserve">The WTO can’t enforce the </w:t>
      </w:r>
      <w:proofErr w:type="spellStart"/>
      <w:r w:rsidRPr="0092026C">
        <w:rPr>
          <w:rFonts w:cs="Calibri"/>
        </w:rPr>
        <w:t>aff</w:t>
      </w:r>
      <w:proofErr w:type="spellEnd"/>
      <w:r w:rsidRPr="0092026C">
        <w:rPr>
          <w:rFonts w:cs="Calibri"/>
        </w:rPr>
        <w:t>- causes circumvention</w:t>
      </w:r>
    </w:p>
    <w:p w14:paraId="6C3C160D" w14:textId="77777777" w:rsidR="00BC0B8D" w:rsidRPr="0092026C" w:rsidRDefault="00BC0B8D" w:rsidP="00BC0B8D">
      <w:pPr>
        <w:rPr>
          <w:sz w:val="26"/>
          <w:szCs w:val="26"/>
        </w:rPr>
      </w:pPr>
      <w:r w:rsidRPr="0092026C">
        <w:rPr>
          <w:rStyle w:val="Style13ptBold"/>
          <w:szCs w:val="26"/>
        </w:rPr>
        <w:t xml:space="preserve">Hillman and </w:t>
      </w:r>
      <w:proofErr w:type="spellStart"/>
      <w:r w:rsidRPr="0092026C">
        <w:rPr>
          <w:rStyle w:val="Style13ptBold"/>
          <w:szCs w:val="26"/>
        </w:rPr>
        <w:t>Tippett</w:t>
      </w:r>
      <w:proofErr w:type="spellEnd"/>
      <w:r w:rsidRPr="0092026C">
        <w:rPr>
          <w:rStyle w:val="Style13ptBold"/>
          <w:szCs w:val="26"/>
        </w:rPr>
        <w:t xml:space="preserve"> 21</w:t>
      </w:r>
      <w:r w:rsidRPr="0092026C">
        <w:rPr>
          <w:sz w:val="26"/>
          <w:szCs w:val="26"/>
        </w:rPr>
        <w:t xml:space="preserve"> </w:t>
      </w:r>
      <w:r w:rsidRPr="0092026C">
        <w:t xml:space="preserve">[Jennifer A; Senior fellow for trade and international political economy; Alex; Research associate for international economics, at the Council on Foreign Relations; “Europe and the Prospects for WTO Reform,” CFR; 3/10/21; </w:t>
      </w:r>
      <w:hyperlink r:id="rId23" w:history="1">
        <w:r w:rsidRPr="0092026C">
          <w:rPr>
            <w:rStyle w:val="Hyperlink"/>
          </w:rPr>
          <w:t>https://www.cfr.org/blog/europe-and-prospects-wto-reform</w:t>
        </w:r>
      </w:hyperlink>
      <w:r w:rsidRPr="0092026C">
        <w:t>] Justin</w:t>
      </w:r>
    </w:p>
    <w:p w14:paraId="5826D4AD" w14:textId="77777777" w:rsidR="00BC0B8D" w:rsidRPr="0092026C" w:rsidRDefault="00BC0B8D" w:rsidP="00BC0B8D">
      <w:pPr>
        <w:rPr>
          <w:rStyle w:val="Emphasis"/>
          <w:szCs w:val="26"/>
        </w:rPr>
      </w:pPr>
      <w:r w:rsidRPr="0092026C">
        <w:rPr>
          <w:sz w:val="26"/>
          <w:szCs w:val="26"/>
        </w:rPr>
        <w:t xml:space="preserve">The </w:t>
      </w:r>
      <w:r w:rsidRPr="00DD25D9">
        <w:rPr>
          <w:sz w:val="26"/>
          <w:szCs w:val="26"/>
          <w:highlight w:val="green"/>
          <w:u w:val="single"/>
        </w:rPr>
        <w:t>WTO</w:t>
      </w:r>
      <w:r w:rsidRPr="0092026C">
        <w:rPr>
          <w:sz w:val="26"/>
          <w:szCs w:val="26"/>
          <w:u w:val="single"/>
        </w:rPr>
        <w:t xml:space="preserve"> has </w:t>
      </w:r>
      <w:r w:rsidRPr="00DD25D9">
        <w:rPr>
          <w:sz w:val="26"/>
          <w:szCs w:val="26"/>
          <w:highlight w:val="green"/>
          <w:u w:val="single"/>
        </w:rPr>
        <w:t>been in</w:t>
      </w:r>
      <w:r w:rsidRPr="0092026C">
        <w:rPr>
          <w:sz w:val="26"/>
          <w:szCs w:val="26"/>
          <w:u w:val="single"/>
        </w:rPr>
        <w:t xml:space="preserve"> the </w:t>
      </w:r>
      <w:r w:rsidRPr="00DD25D9">
        <w:rPr>
          <w:rStyle w:val="Emphasis"/>
          <w:szCs w:val="26"/>
          <w:highlight w:val="green"/>
        </w:rPr>
        <w:t>clutches</w:t>
      </w:r>
      <w:r w:rsidRPr="0092026C">
        <w:rPr>
          <w:rStyle w:val="Emphasis"/>
          <w:szCs w:val="26"/>
        </w:rPr>
        <w:t xml:space="preserve"> of a slow-moving crisis for years. At its heart are a series of </w:t>
      </w:r>
      <w:r w:rsidRPr="00DD25D9">
        <w:rPr>
          <w:rStyle w:val="Emphasis"/>
          <w:szCs w:val="26"/>
          <w:highlight w:val="green"/>
        </w:rPr>
        <w:t>disputes about</w:t>
      </w:r>
      <w:r w:rsidRPr="0092026C">
        <w:rPr>
          <w:rStyle w:val="Emphasis"/>
          <w:szCs w:val="26"/>
        </w:rPr>
        <w:t xml:space="preserve"> the role of the WTO’s </w:t>
      </w:r>
      <w:r w:rsidRPr="00DD25D9">
        <w:rPr>
          <w:rStyle w:val="Emphasis"/>
          <w:szCs w:val="26"/>
          <w:highlight w:val="green"/>
        </w:rPr>
        <w:t>Appellate</w:t>
      </w:r>
      <w:r w:rsidRPr="0092026C">
        <w:rPr>
          <w:rStyle w:val="Emphasis"/>
          <w:szCs w:val="26"/>
        </w:rPr>
        <w:t xml:space="preserve"> Body,</w:t>
      </w:r>
      <w:r w:rsidRPr="0092026C">
        <w:rPr>
          <w:sz w:val="26"/>
          <w:szCs w:val="26"/>
          <w:u w:val="single"/>
        </w:rPr>
        <w:t xml:space="preserve"> the final arbiter in the WTO’s Dispute Settlement System. Today, the Appellate </w:t>
      </w:r>
      <w:r w:rsidRPr="00DD25D9">
        <w:rPr>
          <w:sz w:val="26"/>
          <w:szCs w:val="26"/>
          <w:highlight w:val="green"/>
          <w:u w:val="single"/>
        </w:rPr>
        <w:t>Body sits empty</w:t>
      </w:r>
      <w:r w:rsidRPr="0092026C">
        <w:rPr>
          <w:sz w:val="26"/>
          <w:szCs w:val="26"/>
          <w:u w:val="single"/>
        </w:rPr>
        <w:t xml:space="preserve">, severely </w:t>
      </w:r>
      <w:r w:rsidRPr="00DD25D9">
        <w:rPr>
          <w:sz w:val="26"/>
          <w:szCs w:val="26"/>
          <w:highlight w:val="green"/>
          <w:u w:val="single"/>
        </w:rPr>
        <w:t>undermining</w:t>
      </w:r>
      <w:r w:rsidRPr="0092026C">
        <w:rPr>
          <w:sz w:val="26"/>
          <w:szCs w:val="26"/>
          <w:u w:val="single"/>
        </w:rPr>
        <w:t xml:space="preserve"> the </w:t>
      </w:r>
      <w:r w:rsidRPr="00DD25D9">
        <w:rPr>
          <w:rStyle w:val="Emphasis"/>
          <w:szCs w:val="26"/>
          <w:highlight w:val="green"/>
        </w:rPr>
        <w:t>capacity</w:t>
      </w:r>
      <w:r w:rsidRPr="0092026C">
        <w:rPr>
          <w:rStyle w:val="Emphasis"/>
          <w:szCs w:val="26"/>
        </w:rPr>
        <w:t xml:space="preserve"> of the WTO </w:t>
      </w:r>
      <w:r w:rsidRPr="00DD25D9">
        <w:rPr>
          <w:rStyle w:val="Emphasis"/>
          <w:szCs w:val="26"/>
          <w:highlight w:val="green"/>
        </w:rPr>
        <w:t>to resolve</w:t>
      </w:r>
      <w:r w:rsidRPr="0092026C">
        <w:rPr>
          <w:rStyle w:val="Emphasis"/>
          <w:szCs w:val="26"/>
        </w:rPr>
        <w:t xml:space="preserve"> trade </w:t>
      </w:r>
      <w:r w:rsidRPr="00DD25D9">
        <w:rPr>
          <w:rStyle w:val="Emphasis"/>
          <w:szCs w:val="26"/>
          <w:highlight w:val="green"/>
        </w:rPr>
        <w:t>disputes</w:t>
      </w:r>
      <w:r w:rsidRPr="0092026C">
        <w:rPr>
          <w:rStyle w:val="Emphasis"/>
          <w:szCs w:val="26"/>
        </w:rPr>
        <w:t>.</w:t>
      </w:r>
    </w:p>
    <w:p w14:paraId="64B9D6AC" w14:textId="77777777" w:rsidR="00BC0B8D" w:rsidRPr="0092026C" w:rsidRDefault="00BC0B8D" w:rsidP="00BC0B8D">
      <w:pPr>
        <w:rPr>
          <w:rStyle w:val="Emphasis"/>
          <w:szCs w:val="26"/>
        </w:rPr>
      </w:pPr>
      <w:r w:rsidRPr="0092026C">
        <w:rPr>
          <w:szCs w:val="26"/>
        </w:rPr>
        <w:t xml:space="preserve">Since the start of the Trump administration, </w:t>
      </w:r>
      <w:r w:rsidRPr="0092026C">
        <w:rPr>
          <w:sz w:val="26"/>
          <w:szCs w:val="26"/>
          <w:u w:val="single"/>
        </w:rPr>
        <w:t xml:space="preserve">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has </w:t>
      </w:r>
      <w:r w:rsidRPr="00DD25D9">
        <w:rPr>
          <w:sz w:val="26"/>
          <w:szCs w:val="26"/>
          <w:highlight w:val="green"/>
          <w:u w:val="single"/>
        </w:rPr>
        <w:t>refused to appoint</w:t>
      </w:r>
      <w:r w:rsidRPr="0092026C">
        <w:rPr>
          <w:sz w:val="26"/>
          <w:szCs w:val="26"/>
          <w:u w:val="single"/>
        </w:rPr>
        <w:t xml:space="preserve"> any new </w:t>
      </w:r>
      <w:r w:rsidRPr="00DD25D9">
        <w:rPr>
          <w:sz w:val="26"/>
          <w:szCs w:val="26"/>
          <w:highlight w:val="green"/>
          <w:u w:val="single"/>
        </w:rPr>
        <w:t>members</w:t>
      </w:r>
      <w:r w:rsidRPr="0092026C">
        <w:rPr>
          <w:sz w:val="26"/>
          <w:szCs w:val="26"/>
          <w:u w:val="single"/>
        </w:rPr>
        <w:t xml:space="preserve"> to the body, effectively </w:t>
      </w:r>
      <w:r w:rsidRPr="00DD25D9">
        <w:rPr>
          <w:sz w:val="26"/>
          <w:szCs w:val="26"/>
          <w:highlight w:val="green"/>
          <w:u w:val="single"/>
        </w:rPr>
        <w:t xml:space="preserve">allowing </w:t>
      </w:r>
      <w:r w:rsidRPr="00DD25D9">
        <w:rPr>
          <w:rStyle w:val="Emphasis"/>
          <w:szCs w:val="26"/>
          <w:highlight w:val="green"/>
        </w:rPr>
        <w:t>countries to avoid compliance</w:t>
      </w:r>
      <w:r w:rsidRPr="0092026C">
        <w:rPr>
          <w:rStyle w:val="Emphasis"/>
          <w:szCs w:val="26"/>
        </w:rPr>
        <w:t xml:space="preserve"> with WTO rulings</w:t>
      </w:r>
      <w:r w:rsidRPr="0092026C">
        <w:rPr>
          <w:sz w:val="26"/>
          <w:szCs w:val="26"/>
          <w:u w:val="single"/>
        </w:rPr>
        <w:t xml:space="preserve">. The primary driver of this drastic action has been American frustration at perceived judicial overreach. U.S. policymakers, starting with the George W. Bush administration, have </w:t>
      </w:r>
      <w:r w:rsidRPr="0092026C">
        <w:rPr>
          <w:rStyle w:val="Emphasis"/>
          <w:szCs w:val="26"/>
        </w:rPr>
        <w:t>repeatedly voiced their displeasure with Appellate Body decisions, contending that certain decisions have reached beyond the text of existing WTO agreements.</w:t>
      </w:r>
    </w:p>
    <w:p w14:paraId="486D7EEB" w14:textId="77777777" w:rsidR="00BC0B8D" w:rsidRDefault="00BC0B8D" w:rsidP="00BC0B8D"/>
    <w:bookmarkEnd w:id="0"/>
    <w:p w14:paraId="2BAACF92" w14:textId="77777777" w:rsidR="00BC0B8D" w:rsidRDefault="00BC0B8D" w:rsidP="00BC0B8D">
      <w:pPr>
        <w:rPr>
          <w:rFonts w:asciiTheme="minorHAnsi" w:hAnsiTheme="minorHAnsi" w:cstheme="minorBidi"/>
        </w:rPr>
      </w:pPr>
    </w:p>
    <w:p w14:paraId="52E9D17B" w14:textId="77777777" w:rsidR="00BC0B8D" w:rsidRPr="00312217" w:rsidRDefault="00BC0B8D" w:rsidP="00BC0B8D"/>
    <w:p w14:paraId="6F16336C" w14:textId="77777777" w:rsidR="00BC0B8D" w:rsidRDefault="00BC0B8D" w:rsidP="00BC0B8D"/>
    <w:p w14:paraId="41BFAAF9" w14:textId="77777777" w:rsidR="00BC0B8D" w:rsidRDefault="00BC0B8D" w:rsidP="00BC0B8D"/>
    <w:p w14:paraId="507D6E8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ED3CB9"/>
    <w:multiLevelType w:val="hybridMultilevel"/>
    <w:tmpl w:val="35485A1C"/>
    <w:lvl w:ilvl="0" w:tplc="EAAC47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392A82"/>
    <w:multiLevelType w:val="hybridMultilevel"/>
    <w:tmpl w:val="61800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0B8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0B8D"/>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448D"/>
  <w15:chartTrackingRefBased/>
  <w15:docId w15:val="{C6E49BEE-9F93-4304-80BB-F9769BCC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0B8D"/>
    <w:rPr>
      <w:rFonts w:ascii="Calibri" w:hAnsi="Calibri" w:cs="Calibri"/>
    </w:rPr>
  </w:style>
  <w:style w:type="paragraph" w:styleId="Heading1">
    <w:name w:val="heading 1"/>
    <w:aliases w:val="Pocket"/>
    <w:basedOn w:val="Normal"/>
    <w:next w:val="Normal"/>
    <w:link w:val="Heading1Char"/>
    <w:qFormat/>
    <w:rsid w:val="00BC0B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0B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BC0B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3"/>
    <w:unhideWhenUsed/>
    <w:qFormat/>
    <w:rsid w:val="00BC0B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0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B8D"/>
  </w:style>
  <w:style w:type="character" w:customStyle="1" w:styleId="Heading1Char">
    <w:name w:val="Heading 1 Char"/>
    <w:aliases w:val="Pocket Char"/>
    <w:basedOn w:val="DefaultParagraphFont"/>
    <w:link w:val="Heading1"/>
    <w:rsid w:val="00BC0B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0B8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1,Tagold Char"/>
    <w:basedOn w:val="DefaultParagraphFont"/>
    <w:link w:val="Heading3"/>
    <w:uiPriority w:val="2"/>
    <w:rsid w:val="00BC0B8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BC0B8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7"/>
    <w:qFormat/>
    <w:rsid w:val="00BC0B8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BC0B8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BC0B8D"/>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C0B8D"/>
    <w:rPr>
      <w:color w:val="auto"/>
      <w:u w:val="none"/>
    </w:rPr>
  </w:style>
  <w:style w:type="character" w:styleId="FollowedHyperlink">
    <w:name w:val="FollowedHyperlink"/>
    <w:basedOn w:val="DefaultParagraphFont"/>
    <w:uiPriority w:val="99"/>
    <w:semiHidden/>
    <w:unhideWhenUsed/>
    <w:rsid w:val="00BC0B8D"/>
    <w:rPr>
      <w:color w:val="auto"/>
      <w:u w:val="none"/>
    </w:rPr>
  </w:style>
  <w:style w:type="paragraph" w:customStyle="1" w:styleId="textbold">
    <w:name w:val="text bold"/>
    <w:basedOn w:val="Normal"/>
    <w:link w:val="Emphasis"/>
    <w:uiPriority w:val="7"/>
    <w:qFormat/>
    <w:rsid w:val="00BC0B8D"/>
    <w:pPr>
      <w:ind w:left="720"/>
      <w:jc w:val="both"/>
    </w:pPr>
    <w:rPr>
      <w:b/>
      <w:iCs/>
      <w:sz w:val="26"/>
      <w:u w:val="single"/>
    </w:rPr>
  </w:style>
  <w:style w:type="paragraph" w:styleId="ListParagraph">
    <w:name w:val="List Paragraph"/>
    <w:basedOn w:val="Normal"/>
    <w:uiPriority w:val="99"/>
    <w:unhideWhenUsed/>
    <w:qFormat/>
    <w:rsid w:val="00BC0B8D"/>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
    <w:basedOn w:val="Heading1"/>
    <w:link w:val="Hyperlink"/>
    <w:autoRedefine/>
    <w:uiPriority w:val="99"/>
    <w:qFormat/>
    <w:rsid w:val="00BC0B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3" Type="http://schemas.openxmlformats.org/officeDocument/2006/relationships/styles" Target="styles.xml"/><Relationship Id="rId21" Type="http://schemas.openxmlformats.org/officeDocument/2006/relationships/hyperlink" Target="javascript:;" TargetMode="External"/><Relationship Id="rId7" Type="http://schemas.openxmlformats.org/officeDocument/2006/relationships/hyperlink" Target="javascript:;" TargetMode="Externa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hyperlink" Target="https://www.ncbi.nlm.nih.gov/pmc/articles/PMC5965580/" TargetMode="External"/><Relationship Id="rId11" Type="http://schemas.openxmlformats.org/officeDocument/2006/relationships/hyperlink" Target="javascrip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https://www.cfr.org/blog/europe-and-prospects-wto-reform" TargetMode="External"/><Relationship Id="rId10" Type="http://schemas.openxmlformats.org/officeDocument/2006/relationships/hyperlink" Target="javascript:;" TargetMode="External"/><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 Id="rId22" Type="http://schemas.openxmlformats.org/officeDocument/2006/relationships/hyperlink" Target="https://www.vice.com/en/article/v7mnm3/my-generic-medication-gave-me-constant-nosebleeds-im-not-alon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12384</Words>
  <Characters>70591</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2021-09-25T21:30:00Z</dcterms:created>
  <dcterms:modified xsi:type="dcterms:W3CDTF">2021-09-25T21:31:00Z</dcterms:modified>
</cp:coreProperties>
</file>