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D361D" w14:textId="77777777" w:rsidR="00825666" w:rsidRDefault="00825666" w:rsidP="00825666">
      <w:pPr>
        <w:pStyle w:val="Heading2"/>
      </w:pPr>
      <w:r>
        <w:t>Biopiracy case neg</w:t>
      </w:r>
    </w:p>
    <w:p w14:paraId="77D1E5E0" w14:textId="77777777" w:rsidR="00825666" w:rsidRPr="00C001AA" w:rsidRDefault="00825666" w:rsidP="00825666">
      <w:pPr>
        <w:pStyle w:val="Heading3"/>
      </w:pPr>
      <w:r>
        <w:t>1</w:t>
      </w:r>
    </w:p>
    <w:p w14:paraId="4A6CBF6E" w14:textId="77777777" w:rsidR="00825666" w:rsidRPr="00910A32" w:rsidRDefault="00825666" w:rsidP="00825666">
      <w:pPr>
        <w:pStyle w:val="Heading4"/>
        <w:rPr>
          <w:rFonts w:cs="Calibri"/>
        </w:rPr>
      </w:pPr>
      <w:bookmarkStart w:id="0" w:name="_Hlk58957987"/>
      <w:r w:rsidRPr="00910A32">
        <w:rPr>
          <w:rFonts w:cs="Calibri"/>
        </w:rPr>
        <w:t xml:space="preserve">Interpretation: “medicines” is a generic bare plural. The </w:t>
      </w:r>
      <w:proofErr w:type="spellStart"/>
      <w:r w:rsidRPr="00910A32">
        <w:rPr>
          <w:rFonts w:cs="Calibri"/>
        </w:rPr>
        <w:t>aff</w:t>
      </w:r>
      <w:proofErr w:type="spellEnd"/>
      <w:r w:rsidRPr="00910A32">
        <w:rPr>
          <w:rFonts w:cs="Calibri"/>
        </w:rPr>
        <w:t xml:space="preserve"> may not defend WTO member nations reducing intellectual property protections for a subset of medicines.</w:t>
      </w:r>
    </w:p>
    <w:p w14:paraId="48F8BEF2" w14:textId="77777777" w:rsidR="00825666" w:rsidRPr="00910A32" w:rsidRDefault="00825666" w:rsidP="00825666">
      <w:pPr>
        <w:pStyle w:val="Heading4"/>
        <w:rPr>
          <w:rFonts w:cs="Calibri"/>
        </w:rPr>
      </w:pPr>
      <w:r w:rsidRPr="00910A32">
        <w:rPr>
          <w:rFonts w:cs="Calibri"/>
        </w:rPr>
        <w:t>The upward entailment test and adverb test determine the genericity of a bare plural</w:t>
      </w:r>
    </w:p>
    <w:p w14:paraId="09C2178B" w14:textId="77777777" w:rsidR="00825666" w:rsidRPr="00910A32" w:rsidRDefault="00825666" w:rsidP="00825666">
      <w:r w:rsidRPr="00910A32">
        <w:rPr>
          <w:rStyle w:val="StyleUnderline"/>
        </w:rPr>
        <w:t>Leslie and Lerner 16</w:t>
      </w:r>
      <w:r w:rsidRPr="00910A3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6" w:history="1">
        <w:r w:rsidRPr="00910A32">
          <w:rPr>
            <w:rStyle w:val="Hyperlink"/>
          </w:rPr>
          <w:t>Princeton Social Neuroscience Lab</w:t>
        </w:r>
      </w:hyperlink>
      <w:r w:rsidRPr="00910A32">
        <w:t xml:space="preserve">.] “Generic Generalizations.” Stanford Encyclopedia of Philosophy. April 24, 2016. </w:t>
      </w:r>
      <w:hyperlink r:id="rId7" w:history="1">
        <w:r w:rsidRPr="00910A32">
          <w:rPr>
            <w:rStyle w:val="Hyperlink"/>
          </w:rPr>
          <w:t>https://plato.stanford.edu/entries/generics/</w:t>
        </w:r>
      </w:hyperlink>
      <w:r w:rsidRPr="00910A32">
        <w:t xml:space="preserve"> TG</w:t>
      </w:r>
    </w:p>
    <w:p w14:paraId="760DE9DD" w14:textId="77777777" w:rsidR="00825666" w:rsidRPr="00910A32" w:rsidRDefault="00825666" w:rsidP="00825666">
      <w:pPr>
        <w:rPr>
          <w:rStyle w:val="StyleUnderline"/>
        </w:rPr>
      </w:pPr>
      <w:r w:rsidRPr="00910A32">
        <w:rPr>
          <w:rStyle w:val="StyleUnderline"/>
        </w:rPr>
        <w:t xml:space="preserve"> 1. Generics and Logical Form</w:t>
      </w:r>
    </w:p>
    <w:p w14:paraId="0ED1B03C" w14:textId="77777777" w:rsidR="00825666" w:rsidRPr="00910A32" w:rsidRDefault="00825666" w:rsidP="00825666">
      <w:r w:rsidRPr="00910A32">
        <w:t xml:space="preserve">In English, </w:t>
      </w:r>
      <w:r w:rsidRPr="00910A32">
        <w:rPr>
          <w:rStyle w:val="StyleUnderline"/>
          <w:highlight w:val="green"/>
        </w:rPr>
        <w:t>generics can be expressed using</w:t>
      </w:r>
      <w:r w:rsidRPr="00910A32">
        <w:rPr>
          <w:rStyle w:val="StyleUnderline"/>
        </w:rPr>
        <w:t xml:space="preserve"> a variety of syntactic forms: </w:t>
      </w:r>
      <w:r w:rsidRPr="00910A32">
        <w:rPr>
          <w:rStyle w:val="StyleUnderline"/>
          <w:highlight w:val="green"/>
        </w:rPr>
        <w:t>bare plurals (e.g., “tigers are striped”)</w:t>
      </w:r>
      <w:r w:rsidRPr="00910A3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910A32">
        <w:t xml:space="preserve">. Further, some </w:t>
      </w:r>
      <w:r w:rsidRPr="00910A32">
        <w:rPr>
          <w:rStyle w:val="StyleUnderline"/>
        </w:rPr>
        <w:t>generics express</w:t>
      </w:r>
      <w:r w:rsidRPr="00910A32">
        <w:t xml:space="preserve"> what appear to be </w:t>
      </w:r>
      <w:r w:rsidRPr="00910A32">
        <w:rPr>
          <w:rStyle w:val="StyleUnderline"/>
        </w:rPr>
        <w:t>generalizations over individuals (e.g., “tigers are striped”)</w:t>
      </w:r>
      <w:r w:rsidRPr="00910A32">
        <w:t xml:space="preserve">, while others appear to predicate properties directly of the kind (e.g., “dodos are extinct”). These facts and others give rise to </w:t>
      </w:r>
      <w:proofErr w:type="gramStart"/>
      <w:r w:rsidRPr="00910A32">
        <w:t>a number of</w:t>
      </w:r>
      <w:proofErr w:type="gramEnd"/>
      <w:r w:rsidRPr="00910A32">
        <w:t xml:space="preserve"> questions concerning the logical forms of generic statements.</w:t>
      </w:r>
    </w:p>
    <w:p w14:paraId="1D62A579" w14:textId="77777777" w:rsidR="00825666" w:rsidRPr="00910A32" w:rsidRDefault="00825666" w:rsidP="00825666">
      <w:pPr>
        <w:rPr>
          <w:rStyle w:val="StyleUnderline"/>
        </w:rPr>
      </w:pPr>
      <w:r w:rsidRPr="00910A32">
        <w:rPr>
          <w:rStyle w:val="StyleUnderline"/>
        </w:rPr>
        <w:t>1.1 Isolating the Generic Interpretation</w:t>
      </w:r>
    </w:p>
    <w:p w14:paraId="6C72C4DB" w14:textId="77777777" w:rsidR="00825666" w:rsidRPr="00910A32" w:rsidRDefault="00825666" w:rsidP="00825666">
      <w:r w:rsidRPr="00910A32">
        <w:t>Consider the following pairs of sentences:</w:t>
      </w:r>
    </w:p>
    <w:p w14:paraId="09F704B7" w14:textId="77777777" w:rsidR="00825666" w:rsidRPr="00910A32" w:rsidRDefault="00825666" w:rsidP="00825666">
      <w:r w:rsidRPr="00910A32">
        <w:t>(1</w:t>
      </w:r>
      <w:proofErr w:type="gramStart"/>
      <w:r w:rsidRPr="00910A32">
        <w:t>)</w:t>
      </w:r>
      <w:proofErr w:type="spellStart"/>
      <w:r w:rsidRPr="00910A32">
        <w:t>a.Tigers</w:t>
      </w:r>
      <w:proofErr w:type="spellEnd"/>
      <w:proofErr w:type="gramEnd"/>
      <w:r w:rsidRPr="00910A32">
        <w:t xml:space="preserve"> are striped.</w:t>
      </w:r>
    </w:p>
    <w:p w14:paraId="647C9D65" w14:textId="77777777" w:rsidR="00825666" w:rsidRPr="00910A32" w:rsidRDefault="00825666" w:rsidP="00825666">
      <w:proofErr w:type="spellStart"/>
      <w:proofErr w:type="gramStart"/>
      <w:r w:rsidRPr="00910A32">
        <w:t>b.Tigers</w:t>
      </w:r>
      <w:proofErr w:type="spellEnd"/>
      <w:proofErr w:type="gramEnd"/>
      <w:r w:rsidRPr="00910A32">
        <w:t xml:space="preserve"> are on the front lawn.</w:t>
      </w:r>
    </w:p>
    <w:p w14:paraId="1BAF1F62" w14:textId="77777777" w:rsidR="00825666" w:rsidRPr="00910A32" w:rsidRDefault="00825666" w:rsidP="00825666">
      <w:r w:rsidRPr="00910A32">
        <w:t>(2</w:t>
      </w:r>
      <w:proofErr w:type="gramStart"/>
      <w:r w:rsidRPr="00910A32">
        <w:t>)</w:t>
      </w:r>
      <w:proofErr w:type="spellStart"/>
      <w:r w:rsidRPr="00910A32">
        <w:t>a.A</w:t>
      </w:r>
      <w:proofErr w:type="spellEnd"/>
      <w:proofErr w:type="gramEnd"/>
      <w:r w:rsidRPr="00910A32">
        <w:t xml:space="preserve"> tiger is striped.</w:t>
      </w:r>
    </w:p>
    <w:p w14:paraId="2853B776" w14:textId="77777777" w:rsidR="00825666" w:rsidRPr="00910A32" w:rsidRDefault="00825666" w:rsidP="00825666">
      <w:proofErr w:type="spellStart"/>
      <w:r w:rsidRPr="00910A32">
        <w:t>b.A</w:t>
      </w:r>
      <w:proofErr w:type="spellEnd"/>
      <w:r w:rsidRPr="00910A32">
        <w:t xml:space="preserve"> tiger is on the front lawn.</w:t>
      </w:r>
    </w:p>
    <w:p w14:paraId="2EB200EF" w14:textId="77777777" w:rsidR="00825666" w:rsidRPr="00910A32" w:rsidRDefault="00825666" w:rsidP="00825666">
      <w:r w:rsidRPr="00910A32">
        <w:t>(3</w:t>
      </w:r>
      <w:proofErr w:type="gramStart"/>
      <w:r w:rsidRPr="00910A32">
        <w:t>)</w:t>
      </w:r>
      <w:proofErr w:type="spellStart"/>
      <w:r w:rsidRPr="00910A32">
        <w:t>a.The</w:t>
      </w:r>
      <w:proofErr w:type="spellEnd"/>
      <w:proofErr w:type="gramEnd"/>
      <w:r w:rsidRPr="00910A32">
        <w:t xml:space="preserve"> tiger is striped.</w:t>
      </w:r>
    </w:p>
    <w:p w14:paraId="7DDAAD35" w14:textId="77777777" w:rsidR="00825666" w:rsidRPr="00910A32" w:rsidRDefault="00825666" w:rsidP="00825666">
      <w:proofErr w:type="spellStart"/>
      <w:proofErr w:type="gramStart"/>
      <w:r w:rsidRPr="00910A32">
        <w:t>b.The</w:t>
      </w:r>
      <w:proofErr w:type="spellEnd"/>
      <w:proofErr w:type="gramEnd"/>
      <w:r w:rsidRPr="00910A32">
        <w:t xml:space="preserve"> tiger is on the front lawn.</w:t>
      </w:r>
    </w:p>
    <w:p w14:paraId="4933C908" w14:textId="77777777" w:rsidR="00825666" w:rsidRPr="00910A32" w:rsidRDefault="00825666" w:rsidP="00825666">
      <w:r w:rsidRPr="00910A3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910A32">
          <w:rPr>
            <w:rStyle w:val="Hyperlink"/>
          </w:rPr>
          <w:t>1b</w:t>
        </w:r>
      </w:hyperlink>
      <w:r w:rsidRPr="00910A32">
        <w:t>), some individual tiger in (</w:t>
      </w:r>
      <w:hyperlink r:id="rId9" w:anchor="ex2b" w:history="1">
        <w:r w:rsidRPr="00910A32">
          <w:rPr>
            <w:rStyle w:val="Hyperlink"/>
          </w:rPr>
          <w:t>2b</w:t>
        </w:r>
      </w:hyperlink>
      <w:r w:rsidRPr="00910A32">
        <w:t>), and some unique salient or familiar tiger in (</w:t>
      </w:r>
      <w:hyperlink r:id="rId10" w:anchor="ex3b" w:history="1">
        <w:r w:rsidRPr="00910A32">
          <w:rPr>
            <w:rStyle w:val="Hyperlink"/>
          </w:rPr>
          <w:t>3b</w:t>
        </w:r>
      </w:hyperlink>
      <w:r w:rsidRPr="00910A32">
        <w:t xml:space="preserve">)—a beloved pet, perhaps. In the first sentences, however, we are saying something general. There is/are no </w:t>
      </w:r>
      <w:proofErr w:type="gramStart"/>
      <w:r w:rsidRPr="00910A32">
        <w:t>particular tiger</w:t>
      </w:r>
      <w:proofErr w:type="gramEnd"/>
      <w:r w:rsidRPr="00910A32">
        <w:t xml:space="preserve"> or tigers that we are talking about.</w:t>
      </w:r>
    </w:p>
    <w:p w14:paraId="62B41EA2" w14:textId="77777777" w:rsidR="00825666" w:rsidRPr="00910A32" w:rsidRDefault="00825666" w:rsidP="00825666">
      <w:r w:rsidRPr="00910A3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910A32">
        <w:t>particular individual</w:t>
      </w:r>
      <w:proofErr w:type="gramEnd"/>
      <w:r w:rsidRPr="00910A32">
        <w:t>, not to a kind.</w:t>
      </w:r>
    </w:p>
    <w:p w14:paraId="330807D1" w14:textId="77777777" w:rsidR="00825666" w:rsidRPr="00910A32" w:rsidRDefault="00825666" w:rsidP="00825666">
      <w:r w:rsidRPr="00910A32">
        <w:rPr>
          <w:rStyle w:val="StyleUnderline"/>
        </w:rPr>
        <w:t>There are some tests that are helpful in distinguishing these two readings</w:t>
      </w:r>
      <w:r w:rsidRPr="00910A32">
        <w:t xml:space="preserve">. For example, </w:t>
      </w:r>
      <w:r w:rsidRPr="00910A32">
        <w:rPr>
          <w:rStyle w:val="StyleUnderline"/>
          <w:highlight w:val="green"/>
        </w:rPr>
        <w:t>the existential</w:t>
      </w:r>
      <w:r w:rsidRPr="00910A32">
        <w:rPr>
          <w:rStyle w:val="StyleUnderline"/>
        </w:rPr>
        <w:t xml:space="preserve"> interpretation </w:t>
      </w:r>
      <w:r w:rsidRPr="00910A32">
        <w:rPr>
          <w:rStyle w:val="StyleUnderline"/>
          <w:highlight w:val="green"/>
        </w:rPr>
        <w:t>is upward entailing, meaning</w:t>
      </w:r>
      <w:r w:rsidRPr="00910A32">
        <w:rPr>
          <w:rStyle w:val="StyleUnderline"/>
        </w:rPr>
        <w:t xml:space="preserve"> that </w:t>
      </w:r>
      <w:r w:rsidRPr="00910A32">
        <w:rPr>
          <w:rStyle w:val="StyleUnderline"/>
          <w:highlight w:val="green"/>
        </w:rPr>
        <w:t>the statement will</w:t>
      </w:r>
      <w:r w:rsidRPr="00910A32">
        <w:rPr>
          <w:rStyle w:val="StyleUnderline"/>
        </w:rPr>
        <w:t xml:space="preserve"> always </w:t>
      </w:r>
      <w:r w:rsidRPr="00910A32">
        <w:rPr>
          <w:rStyle w:val="StyleUnderline"/>
          <w:highlight w:val="green"/>
        </w:rPr>
        <w:t>remain true if we replace the subject</w:t>
      </w:r>
      <w:r w:rsidRPr="00910A32">
        <w:rPr>
          <w:rStyle w:val="StyleUnderline"/>
        </w:rPr>
        <w:t xml:space="preserve"> term </w:t>
      </w:r>
      <w:r w:rsidRPr="00910A32">
        <w:rPr>
          <w:rStyle w:val="StyleUnderline"/>
          <w:highlight w:val="green"/>
        </w:rPr>
        <w:t>with a more inclusive term</w:t>
      </w:r>
      <w:r w:rsidRPr="00910A32">
        <w:t>. Consider our examples above. In (</w:t>
      </w:r>
      <w:hyperlink r:id="rId11" w:anchor="ex1b" w:history="1">
        <w:r w:rsidRPr="00910A32">
          <w:rPr>
            <w:rStyle w:val="Hyperlink"/>
          </w:rPr>
          <w:t>1b</w:t>
        </w:r>
      </w:hyperlink>
      <w:r w:rsidRPr="00910A32">
        <w:t>), we can replace “tiger” with “animal” </w:t>
      </w:r>
      <w:proofErr w:type="spellStart"/>
      <w:r w:rsidRPr="00910A32">
        <w:t>salva</w:t>
      </w:r>
      <w:proofErr w:type="spellEnd"/>
      <w:r w:rsidRPr="00910A32">
        <w:t xml:space="preserve"> </w:t>
      </w:r>
      <w:proofErr w:type="spellStart"/>
      <w:r w:rsidRPr="00910A32">
        <w:t>veritate</w:t>
      </w:r>
      <w:proofErr w:type="spellEnd"/>
      <w:r w:rsidRPr="00910A32">
        <w:t>, but in (</w:t>
      </w:r>
      <w:hyperlink r:id="rId12" w:anchor="ex1a" w:history="1">
        <w:r w:rsidRPr="00910A32">
          <w:rPr>
            <w:rStyle w:val="Hyperlink"/>
          </w:rPr>
          <w:t>1a</w:t>
        </w:r>
      </w:hyperlink>
      <w:r w:rsidRPr="00910A32">
        <w:t xml:space="preserve">) we cannot. </w:t>
      </w:r>
      <w:r w:rsidRPr="00910A32">
        <w:rPr>
          <w:rStyle w:val="StyleUnderline"/>
        </w:rPr>
        <w:t>If “tigers are on the lawn” is true, then “animals are on the lawn” must be true.</w:t>
      </w:r>
      <w:r w:rsidRPr="00910A32">
        <w:t xml:space="preserve"> However, “tigers are striped” is true, yet “animals are striped” is false. (</w:t>
      </w:r>
      <w:hyperlink r:id="rId13" w:anchor="ex1a" w:history="1">
        <w:r w:rsidRPr="00910A32">
          <w:rPr>
            <w:rStyle w:val="Hyperlink"/>
          </w:rPr>
          <w:t>1a</w:t>
        </w:r>
      </w:hyperlink>
      <w:r w:rsidRPr="00910A32">
        <w:t>) does not entail that animals are striped, but (</w:t>
      </w:r>
      <w:hyperlink r:id="rId14" w:anchor="ex1b" w:history="1">
        <w:r w:rsidRPr="00910A32">
          <w:rPr>
            <w:rStyle w:val="Hyperlink"/>
          </w:rPr>
          <w:t>1b</w:t>
        </w:r>
      </w:hyperlink>
      <w:r w:rsidRPr="00910A32">
        <w:t xml:space="preserve">) entails that animals are on the front lawn (Lawler 1973; </w:t>
      </w:r>
      <w:proofErr w:type="spellStart"/>
      <w:r w:rsidRPr="00910A32">
        <w:t>Laca</w:t>
      </w:r>
      <w:proofErr w:type="spellEnd"/>
      <w:r w:rsidRPr="00910A32">
        <w:t xml:space="preserve"> 1990; </w:t>
      </w:r>
      <w:proofErr w:type="spellStart"/>
      <w:r w:rsidRPr="00910A32">
        <w:t>Krifka</w:t>
      </w:r>
      <w:proofErr w:type="spellEnd"/>
      <w:r w:rsidRPr="00910A32">
        <w:t xml:space="preserve"> et al. 1995).</w:t>
      </w:r>
    </w:p>
    <w:p w14:paraId="5620A408" w14:textId="77777777" w:rsidR="00825666" w:rsidRPr="00910A32" w:rsidRDefault="00825666" w:rsidP="00825666">
      <w:r w:rsidRPr="00910A32">
        <w:rPr>
          <w:rStyle w:val="StyleUnderline"/>
          <w:highlight w:val="green"/>
        </w:rPr>
        <w:t>Another test concerns whether we can insert an adverb of quantification with minimal change of meaning</w:t>
      </w:r>
      <w:r w:rsidRPr="00910A32">
        <w:t xml:space="preserve"> (</w:t>
      </w:r>
      <w:proofErr w:type="spellStart"/>
      <w:r w:rsidRPr="00910A32">
        <w:t>Krifka</w:t>
      </w:r>
      <w:proofErr w:type="spellEnd"/>
      <w:r w:rsidRPr="00910A32">
        <w:t xml:space="preserve"> et al. 1995). </w:t>
      </w:r>
      <w:r w:rsidRPr="00910A32">
        <w:rPr>
          <w:rStyle w:val="StyleUnderline"/>
        </w:rPr>
        <w:t>For example, inserting “usually” in the sentences in (</w:t>
      </w:r>
      <w:hyperlink r:id="rId15" w:anchor="ex1a" w:history="1">
        <w:r w:rsidRPr="00910A32">
          <w:rPr>
            <w:rStyle w:val="StyleUnderline"/>
          </w:rPr>
          <w:t>1a</w:t>
        </w:r>
      </w:hyperlink>
      <w:r w:rsidRPr="00910A32">
        <w:rPr>
          <w:rStyle w:val="StyleUnderline"/>
        </w:rPr>
        <w:t>) (e.g., “tigers are usually striped”) produces only a small change in meaning, while inserting “usually” in (</w:t>
      </w:r>
      <w:hyperlink r:id="rId16" w:anchor="ex1b" w:history="1">
        <w:r w:rsidRPr="00910A32">
          <w:rPr>
            <w:rStyle w:val="StyleUnderline"/>
          </w:rPr>
          <w:t>1b</w:t>
        </w:r>
      </w:hyperlink>
      <w:r w:rsidRPr="00910A32">
        <w:rPr>
          <w:rStyle w:val="StyleUnderline"/>
        </w:rPr>
        <w:t>) dramatically alters the meaning of the sentence (e.g., “tigers are usually on the front lawn”).</w:t>
      </w:r>
      <w:r w:rsidRPr="00910A32">
        <w:t xml:space="preserve"> (For generics such as “mosquitoes carry malaria”, the adverb “sometimes” is perhaps better used than “usually” to mark off the generic reading.)</w:t>
      </w:r>
    </w:p>
    <w:p w14:paraId="3D41AF35" w14:textId="77777777" w:rsidR="00825666" w:rsidRPr="00910A32" w:rsidRDefault="00825666" w:rsidP="00825666"/>
    <w:p w14:paraId="1BEB581A" w14:textId="77777777" w:rsidR="00825666" w:rsidRPr="00910A32" w:rsidRDefault="00825666" w:rsidP="00825666">
      <w:pPr>
        <w:pStyle w:val="Heading4"/>
        <w:rPr>
          <w:rFonts w:cs="Calibri"/>
        </w:rPr>
      </w:pPr>
      <w:r w:rsidRPr="00910A32">
        <w:rPr>
          <w:rFonts w:cs="Calibri"/>
        </w:rPr>
        <w:t xml:space="preserve">It applies to “medicines” – 1] upward entailment test – “reduce intellectual property protections for medicines” doesn’t entail reducing protections for aids, because it doesn’t prove that we should derestrict </w:t>
      </w:r>
      <w:proofErr w:type="gramStart"/>
      <w:r w:rsidRPr="00910A32">
        <w:rPr>
          <w:rFonts w:cs="Calibri"/>
        </w:rPr>
        <w:t>other</w:t>
      </w:r>
      <w:proofErr w:type="gramEnd"/>
      <w:r w:rsidRPr="00910A32">
        <w:rPr>
          <w:rFonts w:cs="Calibri"/>
        </w:rPr>
        <w:t xml:space="preserve"> beneficial tech</w:t>
      </w:r>
    </w:p>
    <w:p w14:paraId="2E9F9ABD" w14:textId="77777777" w:rsidR="00825666" w:rsidRPr="00910A32" w:rsidRDefault="00825666" w:rsidP="00825666"/>
    <w:p w14:paraId="3C000E77" w14:textId="77777777" w:rsidR="00825666" w:rsidRPr="00910A32" w:rsidRDefault="00825666" w:rsidP="00825666">
      <w:pPr>
        <w:pStyle w:val="Heading4"/>
        <w:rPr>
          <w:rFonts w:cs="Calibri"/>
          <w:bCs/>
        </w:rPr>
      </w:pPr>
      <w:r w:rsidRPr="00910A32">
        <w:rPr>
          <w:rStyle w:val="Emphasis"/>
          <w:b/>
          <w:u w:val="none"/>
        </w:rPr>
        <w:t>Violation – they only defend ____</w:t>
      </w:r>
    </w:p>
    <w:p w14:paraId="6937C1D8" w14:textId="77777777" w:rsidR="00825666" w:rsidRPr="00910A32" w:rsidRDefault="00825666" w:rsidP="00825666"/>
    <w:p w14:paraId="1B147AC6" w14:textId="77777777" w:rsidR="00825666" w:rsidRPr="00910A32" w:rsidRDefault="00825666" w:rsidP="00825666">
      <w:pPr>
        <w:pStyle w:val="Heading4"/>
        <w:rPr>
          <w:rFonts w:cs="Calibri"/>
        </w:rPr>
      </w:pPr>
      <w:r w:rsidRPr="00910A32">
        <w:rPr>
          <w:rFonts w:cs="Calibri"/>
        </w:rPr>
        <w:t>Vote neg:</w:t>
      </w:r>
    </w:p>
    <w:p w14:paraId="7BB6C8B4" w14:textId="77777777" w:rsidR="00825666" w:rsidRPr="00DA7945" w:rsidRDefault="00825666" w:rsidP="00825666">
      <w:pPr>
        <w:pStyle w:val="Heading4"/>
        <w:rPr>
          <w:color w:val="000000" w:themeColor="text1"/>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w:t>
      </w:r>
      <w:proofErr w:type="spellStart"/>
      <w:r w:rsidRPr="00910A32">
        <w:rPr>
          <w:rFonts w:cs="Calibri"/>
        </w:rPr>
        <w:t>disad</w:t>
      </w:r>
      <w:proofErr w:type="spellEnd"/>
      <w:r w:rsidRPr="00910A32">
        <w:rPr>
          <w:rFonts w:cs="Calibri"/>
        </w:rPr>
        <w:t xml:space="preserve"> since each one has a different function and implication for health, tech, and relations – explodes neg prep and leads to random medicine of the week </w:t>
      </w:r>
      <w:proofErr w:type="spellStart"/>
      <w:r w:rsidRPr="00910A32">
        <w:rPr>
          <w:rFonts w:cs="Calibri"/>
        </w:rPr>
        <w:t>affs</w:t>
      </w:r>
      <w:proofErr w:type="spellEnd"/>
      <w:r w:rsidRPr="00910A32">
        <w:rPr>
          <w:rFonts w:cs="Calibri"/>
        </w:rPr>
        <w:t xml:space="preserve"> which makes cutting stable neg links impossible. PICs don’t solve – it’s absurd to say</w:t>
      </w:r>
      <w:r w:rsidRPr="00910A32">
        <w:rPr>
          <w:rFonts w:cs="Calibri"/>
          <w:color w:val="000000" w:themeColor="text1"/>
        </w:rPr>
        <w:t xml:space="preserve"> neg potential abuse justifies the </w:t>
      </w:r>
      <w:proofErr w:type="spellStart"/>
      <w:r w:rsidRPr="00910A32">
        <w:rPr>
          <w:rFonts w:cs="Calibri"/>
          <w:color w:val="000000" w:themeColor="text1"/>
        </w:rPr>
        <w:t>aff</w:t>
      </w:r>
      <w:proofErr w:type="spellEnd"/>
      <w:r w:rsidRPr="00910A32">
        <w:rPr>
          <w:rFonts w:cs="Calibri"/>
          <w:color w:val="000000" w:themeColor="text1"/>
        </w:rPr>
        <w:t xml:space="preserve"> being flat out not T, which leads to a race towards abuse. L</w:t>
      </w:r>
      <w:r w:rsidRPr="00910A32">
        <w:rPr>
          <w:rFonts w:cs="Calibri"/>
        </w:rPr>
        <w:t xml:space="preserve">imits key to reciprocal engagement since they create a </w:t>
      </w:r>
      <w:proofErr w:type="spellStart"/>
      <w:r w:rsidRPr="00910A32">
        <w:rPr>
          <w:rFonts w:cs="Calibri"/>
        </w:rPr>
        <w:t>caselist</w:t>
      </w:r>
      <w:proofErr w:type="spellEnd"/>
      <w:r w:rsidRPr="00910A32">
        <w:rPr>
          <w:rFonts w:cs="Calibri"/>
        </w:rPr>
        <w:t xml:space="preserve"> for neg prep.</w:t>
      </w:r>
      <w:r>
        <w:rPr>
          <w:rFonts w:cs="Calibri"/>
        </w:rPr>
        <w:t xml:space="preserve"> </w:t>
      </w:r>
    </w:p>
    <w:p w14:paraId="2E3EAC3C" w14:textId="77777777" w:rsidR="00825666" w:rsidRPr="00910A32" w:rsidRDefault="00825666" w:rsidP="00825666">
      <w:pPr>
        <w:pStyle w:val="Heading4"/>
        <w:rPr>
          <w:rFonts w:cs="Calibri"/>
          <w:color w:val="000000" w:themeColor="text1"/>
        </w:rPr>
      </w:pPr>
      <w:r w:rsidRPr="00910A32">
        <w:rPr>
          <w:rFonts w:cs="Calibri"/>
        </w:rPr>
        <w:t xml:space="preserve">2] TVA – read the </w:t>
      </w:r>
      <w:proofErr w:type="spellStart"/>
      <w:r w:rsidRPr="00910A32">
        <w:rPr>
          <w:rFonts w:cs="Calibri"/>
        </w:rPr>
        <w:t>aff</w:t>
      </w:r>
      <w:proofErr w:type="spellEnd"/>
      <w:r w:rsidRPr="00910A32">
        <w:rPr>
          <w:rFonts w:cs="Calibri"/>
        </w:rPr>
        <w:t xml:space="preserve"> as an advantage to a whole </w:t>
      </w:r>
      <w:proofErr w:type="spellStart"/>
      <w:r w:rsidRPr="00910A32">
        <w:rPr>
          <w:rFonts w:cs="Calibri"/>
        </w:rPr>
        <w:t>rez</w:t>
      </w:r>
      <w:proofErr w:type="spellEnd"/>
      <w:r w:rsidRPr="00910A32">
        <w:rPr>
          <w:rFonts w:cs="Calibri"/>
        </w:rPr>
        <w:t xml:space="preserve"> </w:t>
      </w:r>
      <w:proofErr w:type="spellStart"/>
      <w:r w:rsidRPr="00910A32">
        <w:rPr>
          <w:rFonts w:cs="Calibri"/>
        </w:rPr>
        <w:t>aff</w:t>
      </w:r>
      <w:proofErr w:type="spellEnd"/>
      <w:r w:rsidRPr="00910A32">
        <w:rPr>
          <w:rFonts w:cs="Calibri"/>
        </w:rPr>
        <w:t>.</w:t>
      </w:r>
    </w:p>
    <w:bookmarkEnd w:id="0"/>
    <w:p w14:paraId="3562439A" w14:textId="77777777" w:rsidR="00825666" w:rsidRPr="00910A32" w:rsidRDefault="00825666" w:rsidP="00825666"/>
    <w:p w14:paraId="15C84191" w14:textId="77777777" w:rsidR="00825666" w:rsidRPr="00772C2C" w:rsidRDefault="00825666" w:rsidP="00825666">
      <w:pPr>
        <w:pStyle w:val="Heading4"/>
        <w:rPr>
          <w:rFonts w:cs="Calibri"/>
        </w:rPr>
      </w:pPr>
      <w:r w:rsidRPr="00772C2C">
        <w:rPr>
          <w:rFonts w:cs="Calibri"/>
        </w:rPr>
        <w:t>Voter</w:t>
      </w:r>
      <w:r>
        <w:rPr>
          <w:rFonts w:cs="Calibri"/>
        </w:rPr>
        <w:t>s</w:t>
      </w:r>
      <w:r w:rsidRPr="00772C2C">
        <w:rPr>
          <w:rFonts w:cs="Calibri"/>
        </w:rPr>
        <w:t xml:space="preserve">: </w:t>
      </w:r>
    </w:p>
    <w:p w14:paraId="3E880A41" w14:textId="77777777" w:rsidR="00825666" w:rsidRPr="000352DD" w:rsidRDefault="00825666" w:rsidP="00825666">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03FE2A65" w14:textId="77777777" w:rsidR="00825666" w:rsidRPr="00772C2C" w:rsidRDefault="00825666" w:rsidP="00825666">
      <w:pPr>
        <w:pStyle w:val="Heading4"/>
        <w:rPr>
          <w:rFonts w:cs="Calibri"/>
        </w:rPr>
      </w:pPr>
      <w:r w:rsidRPr="00772C2C">
        <w:rPr>
          <w:rFonts w:cs="Calibri"/>
        </w:rPr>
        <w:t xml:space="preserve">No RVIs – a) illogical – you shouldn’t win for being fair – it’s a litmus test for engaging in substance, b) norming – I can’t concede the </w:t>
      </w:r>
      <w:proofErr w:type="spellStart"/>
      <w:r w:rsidRPr="00772C2C">
        <w:rPr>
          <w:rFonts w:cs="Calibri"/>
        </w:rPr>
        <w:t>counterinterp</w:t>
      </w:r>
      <w:proofErr w:type="spellEnd"/>
      <w:r w:rsidRPr="00772C2C">
        <w:rPr>
          <w:rFonts w:cs="Calibri"/>
        </w:rPr>
        <w:t xml:space="preserve"> if I realize I’m wrong which forces me to argue for bad norms, c) </w:t>
      </w:r>
      <w:r>
        <w:rPr>
          <w:rFonts w:cs="Calibri"/>
        </w:rPr>
        <w:t>baiting – incentivizes good debaters to be abusive, bait theory, then collapse to the 1AR RVI</w:t>
      </w:r>
      <w:r w:rsidRPr="00772C2C">
        <w:rPr>
          <w:rFonts w:cs="Calibri"/>
        </w:rPr>
        <w:t xml:space="preserve">,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48AD22CF" w14:textId="77777777" w:rsidR="00825666" w:rsidRDefault="00825666" w:rsidP="00825666"/>
    <w:p w14:paraId="351D28EE" w14:textId="77777777" w:rsidR="00825666" w:rsidRPr="00C001AA" w:rsidRDefault="00825666" w:rsidP="00825666"/>
    <w:p w14:paraId="3AB8021C" w14:textId="77777777" w:rsidR="00825666" w:rsidRPr="00B3448B" w:rsidRDefault="00825666" w:rsidP="00825666">
      <w:pPr>
        <w:pStyle w:val="Heading3"/>
        <w:rPr>
          <w:rFonts w:cs="Calibri"/>
        </w:rPr>
      </w:pPr>
      <w:r>
        <w:rPr>
          <w:rFonts w:cs="Calibri"/>
        </w:rPr>
        <w:t>2</w:t>
      </w:r>
    </w:p>
    <w:p w14:paraId="4035C93C" w14:textId="77777777" w:rsidR="00825666" w:rsidRPr="00183057" w:rsidRDefault="00825666" w:rsidP="00825666">
      <w:pPr>
        <w:pStyle w:val="Heading4"/>
        <w:rPr>
          <w:rFonts w:cs="Calibri"/>
          <w:color w:val="000000" w:themeColor="text1"/>
        </w:rPr>
      </w:pPr>
      <w:r w:rsidRPr="00183057">
        <w:rPr>
          <w:rFonts w:cs="Calibri"/>
          <w:color w:val="000000" w:themeColor="text1"/>
        </w:rPr>
        <w:t xml:space="preserve">CP: The member nations of the world trade organization ought to – </w:t>
      </w:r>
    </w:p>
    <w:p w14:paraId="6A75CD33" w14:textId="77777777" w:rsidR="00825666" w:rsidRPr="00183057" w:rsidRDefault="00825666" w:rsidP="00825666">
      <w:pPr>
        <w:pStyle w:val="Heading4"/>
        <w:rPr>
          <w:rFonts w:cs="Calibri"/>
          <w:color w:val="000000" w:themeColor="text1"/>
        </w:rPr>
      </w:pPr>
      <w:r w:rsidRPr="00183057">
        <w:rPr>
          <w:rFonts w:cs="Calibri"/>
          <w:color w:val="000000" w:themeColor="text1"/>
        </w:rPr>
        <w:t>--</w:t>
      </w:r>
      <w:r>
        <w:rPr>
          <w:rFonts w:cs="Calibri"/>
          <w:color w:val="000000" w:themeColor="text1"/>
        </w:rPr>
        <w:t>-</w:t>
      </w:r>
      <w:r w:rsidRPr="00183057">
        <w:rPr>
          <w:rFonts w:cs="Calibri"/>
          <w:color w:val="000000" w:themeColor="text1"/>
        </w:rPr>
        <w:t>create a new form of Sui Generis patent applications as per Vezina 20</w:t>
      </w:r>
    </w:p>
    <w:p w14:paraId="444E0587" w14:textId="77777777" w:rsidR="00825666" w:rsidRPr="00183057" w:rsidRDefault="00825666" w:rsidP="00825666">
      <w:pPr>
        <w:pStyle w:val="Heading4"/>
        <w:rPr>
          <w:color w:val="000000" w:themeColor="text1"/>
        </w:rPr>
      </w:pPr>
      <w:r w:rsidRPr="00183057">
        <w:rPr>
          <w:color w:val="000000" w:themeColor="text1"/>
        </w:rPr>
        <w:t>---Grant this form of patent to Indigenous peoples</w:t>
      </w:r>
    </w:p>
    <w:p w14:paraId="0036EA62" w14:textId="77777777" w:rsidR="00825666" w:rsidRPr="00183057" w:rsidRDefault="00825666" w:rsidP="00825666">
      <w:pPr>
        <w:pStyle w:val="Heading4"/>
        <w:rPr>
          <w:color w:val="000000" w:themeColor="text1"/>
        </w:rPr>
      </w:pPr>
      <w:r>
        <w:rPr>
          <w:color w:val="000000" w:themeColor="text1"/>
        </w:rPr>
        <w:t>---</w:t>
      </w:r>
      <w:r w:rsidRPr="00183057">
        <w:rPr>
          <w:color w:val="000000" w:themeColor="text1"/>
        </w:rPr>
        <w:t xml:space="preserve">Exclude </w:t>
      </w:r>
      <w:proofErr w:type="gramStart"/>
      <w:r w:rsidRPr="00183057">
        <w:rPr>
          <w:color w:val="000000" w:themeColor="text1"/>
        </w:rPr>
        <w:t>non Indigenous</w:t>
      </w:r>
      <w:proofErr w:type="gramEnd"/>
      <w:r w:rsidRPr="00183057">
        <w:rPr>
          <w:color w:val="000000" w:themeColor="text1"/>
        </w:rPr>
        <w:t xml:space="preserve"> groups from applying for Sui Generis patents</w:t>
      </w:r>
      <w:r>
        <w:rPr>
          <w:color w:val="000000" w:themeColor="text1"/>
        </w:rPr>
        <w:t xml:space="preserve"> and reduce intellectual property protections for medicines for </w:t>
      </w:r>
      <w:proofErr w:type="spellStart"/>
      <w:r>
        <w:rPr>
          <w:color w:val="000000" w:themeColor="text1"/>
        </w:rPr>
        <w:t>non Indigenous</w:t>
      </w:r>
      <w:proofErr w:type="spellEnd"/>
      <w:r>
        <w:rPr>
          <w:color w:val="000000" w:themeColor="text1"/>
        </w:rPr>
        <w:t xml:space="preserve"> groups</w:t>
      </w:r>
    </w:p>
    <w:p w14:paraId="55CA5903" w14:textId="77777777" w:rsidR="00825666" w:rsidRPr="00183057" w:rsidRDefault="00825666" w:rsidP="00825666">
      <w:pPr>
        <w:pStyle w:val="Heading4"/>
        <w:rPr>
          <w:color w:val="000000" w:themeColor="text1"/>
        </w:rPr>
      </w:pPr>
      <w:r w:rsidRPr="00183057">
        <w:rPr>
          <w:color w:val="000000" w:themeColor="text1"/>
        </w:rPr>
        <w:t>Sui generis moral rights framework emphasizing guardianship over ownership and are the only way to stop the appropriate that comes with public knowledge</w:t>
      </w:r>
      <w:r>
        <w:rPr>
          <w:color w:val="000000" w:themeColor="text1"/>
        </w:rPr>
        <w:t xml:space="preserve"> – answers the reforms fail </w:t>
      </w:r>
      <w:proofErr w:type="spellStart"/>
      <w:r>
        <w:rPr>
          <w:color w:val="000000" w:themeColor="text1"/>
        </w:rPr>
        <w:t>ev</w:t>
      </w:r>
      <w:proofErr w:type="spellEnd"/>
      <w:r>
        <w:rPr>
          <w:color w:val="000000" w:themeColor="text1"/>
        </w:rPr>
        <w:t xml:space="preserve"> </w:t>
      </w:r>
      <w:proofErr w:type="spellStart"/>
      <w:r>
        <w:rPr>
          <w:color w:val="000000" w:themeColor="text1"/>
        </w:rPr>
        <w:t>bc</w:t>
      </w:r>
      <w:proofErr w:type="spellEnd"/>
      <w:r>
        <w:rPr>
          <w:color w:val="000000" w:themeColor="text1"/>
        </w:rPr>
        <w:t xml:space="preserve"> it bars settlers from using knowledge which isn’t sharing – also solves K of IPR used by Indigenous groups </w:t>
      </w:r>
      <w:proofErr w:type="spellStart"/>
      <w:r>
        <w:rPr>
          <w:color w:val="000000" w:themeColor="text1"/>
        </w:rPr>
        <w:t>bc</w:t>
      </w:r>
      <w:proofErr w:type="spellEnd"/>
      <w:r>
        <w:rPr>
          <w:color w:val="000000" w:themeColor="text1"/>
        </w:rPr>
        <w:t xml:space="preserve"> it uses a new </w:t>
      </w:r>
      <w:proofErr w:type="spellStart"/>
      <w:r>
        <w:rPr>
          <w:color w:val="000000" w:themeColor="text1"/>
        </w:rPr>
        <w:t>fw</w:t>
      </w:r>
      <w:proofErr w:type="spellEnd"/>
    </w:p>
    <w:p w14:paraId="4EC5B6C3" w14:textId="77777777" w:rsidR="00825666" w:rsidRPr="00B3448B" w:rsidRDefault="00825666" w:rsidP="00825666">
      <w:proofErr w:type="spellStart"/>
      <w:r w:rsidRPr="00B3448B">
        <w:rPr>
          <w:rStyle w:val="Style13ptBold"/>
        </w:rPr>
        <w:t>Vézina</w:t>
      </w:r>
      <w:proofErr w:type="spellEnd"/>
      <w:r w:rsidRPr="00B3448B">
        <w:rPr>
          <w:rStyle w:val="Style13ptBold"/>
        </w:rPr>
        <w:t xml:space="preserve"> 20 </w:t>
      </w:r>
      <w:r w:rsidRPr="00B3448B">
        <w:t xml:space="preserve">“Ensuring Respect for Indigenous Cultures </w:t>
      </w:r>
      <w:proofErr w:type="gramStart"/>
      <w:r w:rsidRPr="00B3448B">
        <w:t>A</w:t>
      </w:r>
      <w:proofErr w:type="gramEnd"/>
      <w:r w:rsidRPr="00B3448B">
        <w:t xml:space="preserve"> Moral Rights Approach” Brigitte </w:t>
      </w:r>
      <w:proofErr w:type="spellStart"/>
      <w:r w:rsidRPr="00B3448B">
        <w:t>Vézina</w:t>
      </w:r>
      <w:proofErr w:type="spellEnd"/>
      <w:r w:rsidRPr="00B3448B">
        <w:t xml:space="preserve"> [fellow at the Canadian think tank Centre for International Governance Innovation. She holds a bachelor’s degree in law from the Université de Montréal and a master’s in law from Georgetown University], Centre for International Governance Innovation Papers No. 243 — May 2020, </w:t>
      </w:r>
      <w:hyperlink r:id="rId17" w:history="1">
        <w:r w:rsidRPr="00B3448B">
          <w:rPr>
            <w:rStyle w:val="Hyperlink"/>
          </w:rPr>
          <w:t>https://www.cigionline.org/static/documents/documents/vezina-paper_1.pdf</w:t>
        </w:r>
      </w:hyperlink>
      <w:r w:rsidRPr="00B3448B">
        <w:t xml:space="preserve"> SM</w:t>
      </w:r>
    </w:p>
    <w:p w14:paraId="12012392" w14:textId="77777777" w:rsidR="00825666" w:rsidRPr="00B3448B" w:rsidRDefault="00825666" w:rsidP="00825666">
      <w:pPr>
        <w:rPr>
          <w:rStyle w:val="StyleUnderline"/>
        </w:rPr>
      </w:pPr>
      <w:r w:rsidRPr="00B3448B">
        <w:rPr>
          <w:rStyle w:val="StyleUnderline"/>
        </w:rPr>
        <w:t>Features of a Sui Generis Moral Rights-type Framework</w:t>
      </w:r>
    </w:p>
    <w:p w14:paraId="50BE4B84" w14:textId="77777777" w:rsidR="00825666" w:rsidRPr="00B3448B" w:rsidRDefault="00825666" w:rsidP="00825666">
      <w:r w:rsidRPr="00B3448B">
        <w:t>Subject Matter and Beneficiaries</w:t>
      </w:r>
    </w:p>
    <w:p w14:paraId="2F63D8A0" w14:textId="77777777" w:rsidR="00825666" w:rsidRPr="00B3448B" w:rsidRDefault="00825666" w:rsidP="00825666">
      <w:r w:rsidRPr="00B3448B">
        <w:t xml:space="preserve">TCEs that maintain a current and significant relationship with the Indigenous peoples who hold them would be protected. </w:t>
      </w:r>
      <w:proofErr w:type="gramStart"/>
      <w:r w:rsidRPr="00B3448B">
        <w:t>As long as</w:t>
      </w:r>
      <w:proofErr w:type="gramEnd"/>
      <w:r w:rsidRPr="00B3448B">
        <w:t xml:space="preserve"> a community, as a whole and by virtue of its own internal cultural rules, identifies with a specific form of expression and can establish a particular relationship with it, it can claim protection over it. As Susy Frankel points out, </w:t>
      </w:r>
      <w:r w:rsidRPr="00B3448B">
        <w:rPr>
          <w:rStyle w:val="StyleUnderline"/>
        </w:rPr>
        <w:t xml:space="preserve">the key rationale in </w:t>
      </w:r>
      <w:proofErr w:type="spellStart"/>
      <w:r w:rsidRPr="00B3448B">
        <w:rPr>
          <w:rStyle w:val="StyleUnderline"/>
        </w:rPr>
        <w:t>favour</w:t>
      </w:r>
      <w:proofErr w:type="spellEnd"/>
      <w:r w:rsidRPr="00B3448B">
        <w:rPr>
          <w:rStyle w:val="StyleUnderline"/>
        </w:rPr>
        <w:t xml:space="preserve"> of protecting TCEs is the guardianship relationship, from which proportionate moral rights flow.155 </w:t>
      </w:r>
      <w:r w:rsidRPr="00B3448B">
        <w:rPr>
          <w:rStyle w:val="StyleUnderline"/>
          <w:highlight w:val="green"/>
        </w:rPr>
        <w:t>Guardianship is to be contrasted with ownership</w:t>
      </w:r>
      <w:r w:rsidRPr="00B3448B">
        <w:rPr>
          <w:rStyle w:val="StyleUnderline"/>
        </w:rPr>
        <w:t>, which is the concept buttressing most IP law systems, with the notable exception of moral rights</w:t>
      </w:r>
      <w:r w:rsidRPr="00B3448B">
        <w:t>. To wit, the Waitangi Tribunal did not recommend that TCEs be treated as owned, lest that would amount to building a legal wall around TCEs and end up choking culture.156 At any rate, cultural boundaries are porous and fluid, and it follows that blending, intermixing, hybridization or even “contamination” of cultures can be promoted.157</w:t>
      </w:r>
    </w:p>
    <w:p w14:paraId="247A4B84" w14:textId="77777777" w:rsidR="00825666" w:rsidRPr="00B3448B" w:rsidRDefault="00825666" w:rsidP="00825666">
      <w:pPr>
        <w:rPr>
          <w:rStyle w:val="StyleUnderline"/>
        </w:rPr>
      </w:pPr>
      <w:r w:rsidRPr="00B3448B">
        <w:t xml:space="preserve">Obviously, </w:t>
      </w:r>
      <w:r w:rsidRPr="00B3448B">
        <w:rPr>
          <w:rStyle w:val="StyleUnderline"/>
          <w:highlight w:val="green"/>
        </w:rPr>
        <w:t>cultures</w:t>
      </w:r>
      <w:r w:rsidRPr="00B3448B">
        <w:rPr>
          <w:rStyle w:val="StyleUnderline"/>
        </w:rPr>
        <w:t xml:space="preserve"> are seldom unique to a people. TCEs </w:t>
      </w:r>
      <w:r w:rsidRPr="00B3448B">
        <w:rPr>
          <w:rStyle w:val="StyleUnderline"/>
          <w:highlight w:val="green"/>
        </w:rPr>
        <w:t>might be shared among different Indigenous groups</w:t>
      </w:r>
      <w:r w:rsidRPr="00B3448B">
        <w:rPr>
          <w:rStyle w:val="StyleUnderline"/>
        </w:rPr>
        <w:t xml:space="preserve"> that all identify and hold a guardianship relationship with them. In such cases, procedures should be in place to facilitate cooperation and settlement of disputes</w:t>
      </w:r>
      <w:r w:rsidRPr="00B3448B">
        <w:t xml:space="preserve">. What is more, no people are monolithic, a reality that is rendered in one illustrative phrase: “The Sámi people are one, but multiple.”158 Some communities might have distinct TCEs that have been part of their culture for a long time, with little or no outside influence. Others might have experienced contact with other cultures and incorporated various elements over the generations that have substantially modified previous iterations. For example, in the case of </w:t>
      </w:r>
      <w:proofErr w:type="spellStart"/>
      <w:r w:rsidRPr="00B3448B">
        <w:t>Mixe</w:t>
      </w:r>
      <w:proofErr w:type="spellEnd"/>
      <w:r w:rsidRPr="00B3448B">
        <w:t xml:space="preserve"> huipil at stake in the Isabel </w:t>
      </w:r>
      <w:proofErr w:type="spellStart"/>
      <w:r w:rsidRPr="00B3448B">
        <w:t>Marant</w:t>
      </w:r>
      <w:proofErr w:type="spellEnd"/>
      <w:r w:rsidRPr="00B3448B">
        <w:t xml:space="preserve"> case, some were quick to point out that the embroideries had, in the upshot of the Spanish conquest, incorporated European elements.</w:t>
      </w:r>
      <w:r w:rsidRPr="00B3448B">
        <w:rPr>
          <w:rStyle w:val="StyleUnderline"/>
        </w:rPr>
        <w:t xml:space="preserve">159 Hence, </w:t>
      </w:r>
      <w:r w:rsidRPr="00B3448B">
        <w:rPr>
          <w:rStyle w:val="StyleUnderline"/>
          <w:highlight w:val="green"/>
        </w:rPr>
        <w:t>when considering a relationship between a TCE and its holder, one should not exact</w:t>
      </w:r>
      <w:r w:rsidRPr="00B3448B">
        <w:rPr>
          <w:rStyle w:val="StyleUnderline"/>
        </w:rPr>
        <w:t xml:space="preserve"> uniqueness or </w:t>
      </w:r>
      <w:r w:rsidRPr="00B3448B">
        <w:rPr>
          <w:rStyle w:val="StyleUnderline"/>
          <w:highlight w:val="green"/>
        </w:rPr>
        <w:t>exclusiveness, but embrace</w:t>
      </w:r>
      <w:r w:rsidRPr="00B3448B">
        <w:rPr>
          <w:rStyle w:val="StyleUnderline"/>
        </w:rPr>
        <w:t xml:space="preserve"> the fact </w:t>
      </w:r>
      <w:r w:rsidRPr="00B3448B">
        <w:rPr>
          <w:rStyle w:val="StyleUnderline"/>
          <w:highlight w:val="green"/>
        </w:rPr>
        <w:t>that a group can identify with</w:t>
      </w:r>
      <w:r w:rsidRPr="00B3448B">
        <w:rPr>
          <w:rStyle w:val="StyleUnderline"/>
        </w:rPr>
        <w:t xml:space="preserve"> </w:t>
      </w:r>
      <w:r w:rsidRPr="00B3448B">
        <w:rPr>
          <w:rStyle w:val="StyleUnderline"/>
          <w:highlight w:val="green"/>
        </w:rPr>
        <w:t>TCEs that are</w:t>
      </w:r>
      <w:r w:rsidRPr="00B3448B">
        <w:rPr>
          <w:rStyle w:val="StyleUnderline"/>
        </w:rPr>
        <w:t xml:space="preserve"> dynamic and </w:t>
      </w:r>
      <w:r w:rsidRPr="00B3448B">
        <w:rPr>
          <w:rStyle w:val="StyleUnderline"/>
          <w:highlight w:val="green"/>
        </w:rPr>
        <w:t>kaleidoscopic,</w:t>
      </w:r>
      <w:r w:rsidRPr="00B3448B">
        <w:rPr>
          <w:rStyle w:val="StyleUnderline"/>
        </w:rPr>
        <w:t xml:space="preserve"> all the while remaining authentic.</w:t>
      </w:r>
    </w:p>
    <w:p w14:paraId="02AFD52F" w14:textId="77777777" w:rsidR="00825666" w:rsidRPr="00B3448B" w:rsidRDefault="00825666" w:rsidP="00825666">
      <w:r w:rsidRPr="00B3448B">
        <w:rPr>
          <w:rStyle w:val="StyleUnderline"/>
        </w:rPr>
        <w:t xml:space="preserve">Beneficiaries of protection should be TCE holding Indigenous </w:t>
      </w:r>
      <w:proofErr w:type="gramStart"/>
      <w:r w:rsidRPr="00B3448B">
        <w:rPr>
          <w:rStyle w:val="StyleUnderline"/>
        </w:rPr>
        <w:t>communities as a whole, such</w:t>
      </w:r>
      <w:proofErr w:type="gramEnd"/>
      <w:r w:rsidRPr="00B3448B">
        <w:rPr>
          <w:rStyle w:val="StyleUnderline"/>
        </w:rPr>
        <w:t xml:space="preserve"> that moral rights would be afforded to the entire community as group rights. </w:t>
      </w:r>
      <w:r w:rsidRPr="00B3448B">
        <w:rPr>
          <w:rStyle w:val="StyleUnderline"/>
          <w:highlight w:val="green"/>
        </w:rPr>
        <w:t>Recognition of beneficiaries</w:t>
      </w:r>
      <w:r w:rsidRPr="00B3448B">
        <w:rPr>
          <w:rStyle w:val="StyleUnderline"/>
        </w:rPr>
        <w:t xml:space="preserve"> as well as determination of the authority to exercise the rights </w:t>
      </w:r>
      <w:r w:rsidRPr="00B3448B">
        <w:rPr>
          <w:rStyle w:val="StyleUnderline"/>
          <w:highlight w:val="green"/>
        </w:rPr>
        <w:t>would have to be done from within</w:t>
      </w:r>
      <w:r w:rsidRPr="00B3448B">
        <w:rPr>
          <w:rStyle w:val="StyleUnderline"/>
        </w:rPr>
        <w:t xml:space="preserve"> the community, </w:t>
      </w:r>
      <w:r w:rsidRPr="00B3448B">
        <w:rPr>
          <w:rStyle w:val="StyleUnderline"/>
          <w:highlight w:val="green"/>
        </w:rPr>
        <w:t>by way of application of customary law1</w:t>
      </w:r>
      <w:r w:rsidRPr="00B3448B">
        <w:rPr>
          <w:rStyle w:val="StyleUnderline"/>
        </w:rPr>
        <w:t xml:space="preserve">60 or be captured under the legal constructs of trusts, associations, or other legal entities holding the rights.161 Indigenous communities need to have </w:t>
      </w:r>
      <w:r w:rsidRPr="00B3448B">
        <w:rPr>
          <w:rStyle w:val="StyleUnderline"/>
          <w:highlight w:val="green"/>
        </w:rPr>
        <w:t>the autonomy to exercise</w:t>
      </w:r>
      <w:r w:rsidRPr="00B3448B">
        <w:rPr>
          <w:rStyle w:val="StyleUnderline"/>
        </w:rPr>
        <w:t xml:space="preserve"> control over and make </w:t>
      </w:r>
      <w:r w:rsidRPr="00B3448B">
        <w:rPr>
          <w:rStyle w:val="StyleUnderline"/>
          <w:highlight w:val="green"/>
        </w:rPr>
        <w:t>their own decisions regarding</w:t>
      </w:r>
      <w:r w:rsidRPr="00B3448B">
        <w:rPr>
          <w:rStyle w:val="StyleUnderline"/>
        </w:rPr>
        <w:t xml:space="preserve"> the </w:t>
      </w:r>
      <w:r w:rsidRPr="00B3448B">
        <w:rPr>
          <w:rStyle w:val="StyleUnderline"/>
          <w:highlight w:val="green"/>
        </w:rPr>
        <w:t>management</w:t>
      </w:r>
      <w:r w:rsidRPr="00B3448B">
        <w:rPr>
          <w:rStyle w:val="StyleUnderline"/>
        </w:rPr>
        <w:t xml:space="preserve"> of their moral rights in their TCEs</w:t>
      </w:r>
      <w:r w:rsidRPr="00B3448B">
        <w:t>.162</w:t>
      </w:r>
    </w:p>
    <w:p w14:paraId="2E921177" w14:textId="77777777" w:rsidR="00825666" w:rsidRPr="00B3448B" w:rsidRDefault="00825666" w:rsidP="00825666">
      <w:r w:rsidRPr="00B3448B">
        <w:t>Scope of Protection</w:t>
      </w:r>
    </w:p>
    <w:p w14:paraId="34B4CE36" w14:textId="77777777" w:rsidR="00825666" w:rsidRPr="00B3448B" w:rsidRDefault="00825666" w:rsidP="00825666">
      <w:pPr>
        <w:rPr>
          <w:rStyle w:val="StyleUnderline"/>
        </w:rPr>
      </w:pPr>
      <w:r w:rsidRPr="00B3448B">
        <w:rPr>
          <w:rStyle w:val="StyleUnderline"/>
        </w:rPr>
        <w:t xml:space="preserve">At first glance, it is difficult to reconcile the notion of personhood, the cornerstone of moral rights, with the pluralistic conception of a community, </w:t>
      </w:r>
      <w:proofErr w:type="gramStart"/>
      <w:r w:rsidRPr="00B3448B">
        <w:rPr>
          <w:rStyle w:val="StyleUnderline"/>
        </w:rPr>
        <w:t>by definition made</w:t>
      </w:r>
      <w:proofErr w:type="gramEnd"/>
      <w:r w:rsidRPr="00B3448B">
        <w:rPr>
          <w:rStyle w:val="StyleUnderline"/>
        </w:rPr>
        <w:t xml:space="preserve"> up of several persons with their own individual personalities. In response, some scholars have wrought the concept of “peoplehood” to encapsulate the personality of a people in its entirety and provide a justification for granting a personality right to a group.163 As mentioned, TCEs often encompass cultural elements that are integral to Indigenous peoples’ sense of identity, that bear the distinct mark of their holders and, indeed, that reflect their peoplehood. Moral rights can therefore fulfill the duty, arising out of human rights law, to protect the identity of Indigenous peoples.164</w:t>
      </w:r>
    </w:p>
    <w:p w14:paraId="1757BF24" w14:textId="77777777" w:rsidR="00825666" w:rsidRPr="00B3448B" w:rsidRDefault="00825666" w:rsidP="00825666">
      <w:r w:rsidRPr="00B3448B">
        <w:rPr>
          <w:rStyle w:val="StyleUnderline"/>
        </w:rPr>
        <w:t>Forasmuch as TCEs are collectively and communally held, so too must the moral rights of Indigenous peoples be communal.</w:t>
      </w:r>
      <w:r w:rsidRPr="00B3448B">
        <w:t>165 In fact, even conventional moral rights are not purely individualistic, and there has been a recognition of a “socially-informed view of the author” and “the social gestation of authorship... the social womb from which authors brought forth their works.”166 This strand of moral rights theory might be more congruent to accepting a group right for a community than the classic individual theory underpinning moral rights.167</w:t>
      </w:r>
    </w:p>
    <w:p w14:paraId="1C4C9389" w14:textId="77777777" w:rsidR="00825666" w:rsidRPr="00B3448B" w:rsidRDefault="00825666" w:rsidP="00825666">
      <w:r w:rsidRPr="00B3448B">
        <w:rPr>
          <w:rStyle w:val="StyleUnderline"/>
        </w:rPr>
        <w:t>Moral rights would only regulate the relationship between the community and the outside world; use in a traditional and customary context would not be affected</w:t>
      </w:r>
      <w:r w:rsidRPr="00B3448B">
        <w:t>. Just as moral rights vest automatically in the author (without any need for registration or any other form of assertion), so too would sui generis moral rights vest in the community.</w:t>
      </w:r>
    </w:p>
    <w:p w14:paraId="40C49EE0" w14:textId="77777777" w:rsidR="00825666" w:rsidRPr="00B3448B" w:rsidRDefault="00825666" w:rsidP="00825666">
      <w:r w:rsidRPr="00B3448B">
        <w:rPr>
          <w:rStyle w:val="StyleUnderline"/>
        </w:rPr>
        <w:t>Communal moral rights would include, at a minimum, the right of attribution, including false attribution</w:t>
      </w:r>
      <w:r w:rsidRPr="00B3448B">
        <w:t xml:space="preserve"> (to ensure proper recognition of the community as the source and to prevent others from falsely claiming a guardianship over a TCE) </w:t>
      </w:r>
      <w:r w:rsidRPr="00B3448B">
        <w:rPr>
          <w:rStyle w:val="StyleUnderline"/>
        </w:rPr>
        <w:t>and integrity</w:t>
      </w:r>
      <w:r w:rsidRPr="00B3448B">
        <w:t xml:space="preserve"> (to protect TCEs against inappropriate, derogatory, or culturally insensitive use). </w:t>
      </w:r>
      <w:r w:rsidRPr="00B3448B">
        <w:rPr>
          <w:rStyle w:val="StyleUnderline"/>
        </w:rPr>
        <w:t>It could be considered to also include the rights of disclosure (to make, where desired, TCEs known to the world and to retain the power to keep TCEs out of “public” reach, for example, in the case of sacred or secret TCEs) and withdrawal</w:t>
      </w:r>
      <w:r w:rsidRPr="00B3448B">
        <w:t xml:space="preserve"> (to allow TCE holders to remove from circulation the TCEs that they no longer wish to make publicly available).</w:t>
      </w:r>
    </w:p>
    <w:p w14:paraId="520FC261" w14:textId="77777777" w:rsidR="00825666" w:rsidRPr="00B3448B" w:rsidRDefault="00825666" w:rsidP="00825666">
      <w:pPr>
        <w:rPr>
          <w:rStyle w:val="StyleUnderline"/>
        </w:rPr>
      </w:pPr>
      <w:r w:rsidRPr="00B3448B">
        <w:t xml:space="preserve">In most national laws, </w:t>
      </w:r>
      <w:r w:rsidRPr="00B3448B">
        <w:rPr>
          <w:rStyle w:val="StyleUnderline"/>
          <w:highlight w:val="green"/>
        </w:rPr>
        <w:t>moral rights are inalienable or non-transferable</w:t>
      </w:r>
      <w:r w:rsidRPr="00B3448B">
        <w:t xml:space="preserve">. In other words, </w:t>
      </w:r>
      <w:r w:rsidRPr="00B3448B">
        <w:rPr>
          <w:rStyle w:val="StyleUnderline"/>
        </w:rPr>
        <w:t xml:space="preserve">they cannot be divested from the author — they </w:t>
      </w:r>
      <w:r w:rsidRPr="00B3448B">
        <w:rPr>
          <w:rStyle w:val="StyleUnderline"/>
          <w:highlight w:val="green"/>
        </w:rPr>
        <w:t xml:space="preserve">cannot be assigned, </w:t>
      </w:r>
      <w:proofErr w:type="gramStart"/>
      <w:r w:rsidRPr="00B3448B">
        <w:rPr>
          <w:rStyle w:val="StyleUnderline"/>
          <w:highlight w:val="green"/>
        </w:rPr>
        <w:t>licensed</w:t>
      </w:r>
      <w:proofErr w:type="gramEnd"/>
      <w:r w:rsidRPr="00B3448B">
        <w:rPr>
          <w:rStyle w:val="StyleUnderline"/>
          <w:highlight w:val="green"/>
        </w:rPr>
        <w:t xml:space="preserve"> or given away</w:t>
      </w:r>
      <w:r w:rsidRPr="00B3448B">
        <w:rPr>
          <w:rStyle w:val="StyleUnderline"/>
        </w:rPr>
        <w:t>.</w:t>
      </w:r>
      <w:r w:rsidRPr="00B3448B">
        <w:t xml:space="preserve"> As mentioned, if an author transfers all their economic rights to a third party, the author retains their moral rights in the work.168 As such, </w:t>
      </w:r>
      <w:r w:rsidRPr="00B3448B">
        <w:rPr>
          <w:rStyle w:val="StyleUnderline"/>
        </w:rPr>
        <w:t xml:space="preserve">sui generis moral rights in TCEs would be </w:t>
      </w:r>
      <w:r w:rsidRPr="00B3448B">
        <w:rPr>
          <w:rStyle w:val="StyleUnderline"/>
          <w:highlight w:val="green"/>
        </w:rPr>
        <w:t>independent from any economic right</w:t>
      </w:r>
      <w:r w:rsidRPr="00B3448B">
        <w:rPr>
          <w:rStyle w:val="StyleUnderline"/>
        </w:rPr>
        <w:t>s</w:t>
      </w:r>
      <w:r w:rsidRPr="00B3448B">
        <w:t xml:space="preserve"> that might arise and be held and exercised separately, regardless of who might hold these economic rights (in cases, for example, where communities would commercialize their TCEs and grant </w:t>
      </w:r>
      <w:proofErr w:type="spellStart"/>
      <w:r w:rsidRPr="00B3448B">
        <w:t>licences</w:t>
      </w:r>
      <w:proofErr w:type="spellEnd"/>
      <w:r w:rsidRPr="00B3448B">
        <w:t xml:space="preserve">) or who might have physical ownership of a TCE (such as a cultural institution). However, in some jurisdictions, such as Canada, the United </w:t>
      </w:r>
      <w:proofErr w:type="gramStart"/>
      <w:r w:rsidRPr="00B3448B">
        <w:t>States</w:t>
      </w:r>
      <w:proofErr w:type="gramEnd"/>
      <w:r w:rsidRPr="00B3448B">
        <w:t xml:space="preserve"> and the United Kingdom (but not Australia and France), moral rights can be waived, irreversibly, in whole or in part, explicitly, by contract, at the discretion of the author. </w:t>
      </w:r>
      <w:proofErr w:type="gramStart"/>
      <w:r w:rsidRPr="00B3448B">
        <w:rPr>
          <w:rStyle w:val="StyleUnderline"/>
        </w:rPr>
        <w:t>In order to</w:t>
      </w:r>
      <w:proofErr w:type="gramEnd"/>
      <w:r w:rsidRPr="00B3448B">
        <w:rPr>
          <w:rStyle w:val="StyleUnderline"/>
        </w:rPr>
        <w:t xml:space="preserve"> ensure flexible protection to TCEs, it could be envisaged that sui generis moral rights be made waivable.</w:t>
      </w:r>
    </w:p>
    <w:p w14:paraId="41A0D642" w14:textId="77777777" w:rsidR="00825666" w:rsidRDefault="00825666" w:rsidP="00825666">
      <w:r w:rsidRPr="00B3448B">
        <w:rPr>
          <w:rStyle w:val="StyleUnderline"/>
        </w:rPr>
        <w:t>When applying the right of integrity, the determination of what is offensive should not be narrowly prescribed but based on the facts at hand. Assessment should be done both subjectively, from the point of view of the community that claims violation, and objectively, by the court, within the framework of guidelines to be developed legislatively or through case law, as informed by Indigenous customary laws, practices and protocols</w:t>
      </w:r>
      <w:r w:rsidRPr="00B3448B">
        <w:t>. Reliance on particular facts may be difficult to reconcile with the need for certainty and predictability, but flexibility trumps these concerns, as no use should be considered offensive per se.</w:t>
      </w:r>
    </w:p>
    <w:p w14:paraId="524885B5" w14:textId="77777777" w:rsidR="00825666" w:rsidRDefault="00825666" w:rsidP="00825666">
      <w:pPr>
        <w:pStyle w:val="Heading4"/>
      </w:pPr>
      <w:r>
        <w:t xml:space="preserve">Their </w:t>
      </w:r>
      <w:proofErr w:type="spellStart"/>
      <w:r>
        <w:t>ev</w:t>
      </w:r>
      <w:proofErr w:type="spellEnd"/>
      <w:r>
        <w:t xml:space="preserve"> even agrees – 1AC </w:t>
      </w:r>
      <w:proofErr w:type="spellStart"/>
      <w:r>
        <w:t>McGingle</w:t>
      </w:r>
      <w:proofErr w:type="spellEnd"/>
    </w:p>
    <w:p w14:paraId="433E4187" w14:textId="77777777" w:rsidR="00825666" w:rsidRPr="00B3448B" w:rsidRDefault="00825666" w:rsidP="00825666">
      <w:r w:rsidRPr="00FA57FA">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FA57FA">
        <w:rPr>
          <w:sz w:val="14"/>
          <w:szCs w:val="14"/>
        </w:rPr>
        <w:t xml:space="preserve"> </w:t>
      </w:r>
      <w:r w:rsidRPr="00FA57FA">
        <w:rPr>
          <w:b/>
          <w:highlight w:val="green"/>
          <w:u w:val="single"/>
        </w:rPr>
        <w:t>Indigenous communities</w:t>
      </w:r>
      <w:r w:rsidRPr="00FA57FA">
        <w:rPr>
          <w:b/>
          <w:u w:val="single"/>
        </w:rPr>
        <w:t xml:space="preserve"> therefore </w:t>
      </w:r>
      <w:r w:rsidRPr="00FA57FA">
        <w:rPr>
          <w:b/>
          <w:highlight w:val="green"/>
          <w:u w:val="single"/>
        </w:rPr>
        <w:t>need sui generis laws</w:t>
      </w:r>
      <w:r w:rsidRPr="00FA57FA">
        <w:rPr>
          <w:b/>
          <w:u w:val="single"/>
        </w:rPr>
        <w:t xml:space="preserve"> to protect their shared cultural heritage and shared natural resources</w:t>
      </w:r>
      <w:r w:rsidRPr="00FA57FA">
        <w:rPr>
          <w:sz w:val="14"/>
          <w:szCs w:val="14"/>
        </w:rPr>
        <w:t>.</w:t>
      </w:r>
    </w:p>
    <w:p w14:paraId="4664AA8A" w14:textId="77777777" w:rsidR="00825666" w:rsidRPr="00183057" w:rsidRDefault="00825666" w:rsidP="00825666">
      <w:pPr>
        <w:pStyle w:val="Heading4"/>
        <w:rPr>
          <w:rFonts w:cs="Calibri"/>
          <w:color w:val="000000" w:themeColor="text1"/>
        </w:rPr>
      </w:pPr>
      <w:r w:rsidRPr="00183057">
        <w:rPr>
          <w:rFonts w:cs="Calibri"/>
          <w:color w:val="000000" w:themeColor="text1"/>
        </w:rPr>
        <w:t xml:space="preserve">Reforming IPR is key to affirming native sovereignty. Solves the </w:t>
      </w:r>
      <w:proofErr w:type="spellStart"/>
      <w:r w:rsidRPr="00183057">
        <w:rPr>
          <w:rFonts w:cs="Calibri"/>
          <w:color w:val="000000" w:themeColor="text1"/>
        </w:rPr>
        <w:t>aff</w:t>
      </w:r>
      <w:proofErr w:type="spellEnd"/>
      <w:r w:rsidRPr="00183057">
        <w:rPr>
          <w:rFonts w:cs="Calibri"/>
          <w:color w:val="000000" w:themeColor="text1"/>
        </w:rPr>
        <w:t xml:space="preserve"> because it shifts away from western conceptions of property, but the perm fails since we think IPR is good. </w:t>
      </w:r>
    </w:p>
    <w:p w14:paraId="1EEF4973" w14:textId="77777777" w:rsidR="00825666" w:rsidRPr="00B3448B" w:rsidRDefault="00825666" w:rsidP="00825666">
      <w:proofErr w:type="spellStart"/>
      <w:r w:rsidRPr="00B3448B">
        <w:rPr>
          <w:rStyle w:val="Style13ptBold"/>
        </w:rPr>
        <w:t>Younging</w:t>
      </w:r>
      <w:proofErr w:type="spellEnd"/>
      <w:r w:rsidRPr="00B3448B">
        <w:rPr>
          <w:rStyle w:val="Style13ptBold"/>
        </w:rPr>
        <w:t xml:space="preserve"> 10 </w:t>
      </w:r>
      <w:r w:rsidRPr="00B3448B">
        <w:t xml:space="preserve">“Intergovernmental Committee On Intellectual Property And Genetic Resources Traditional Knowledge And Folklore” Seventeenth Session Geneva, December 6-10, 2010 </w:t>
      </w:r>
      <w:proofErr w:type="spellStart"/>
      <w:r w:rsidRPr="00B3448B">
        <w:t>Wipo</w:t>
      </w:r>
      <w:proofErr w:type="spellEnd"/>
      <w:r w:rsidRPr="00B3448B">
        <w:t xml:space="preserve"> Indigenous Panel On The Role Of The Public Domain Concept: Experiences In The Fields Of Genetic Resources, Traditional Knowledge And Traditional Cultural Expressions: Experiences From Canada Document prepared by Mr. Gregory </w:t>
      </w:r>
      <w:proofErr w:type="spellStart"/>
      <w:r w:rsidRPr="00B3448B">
        <w:t>Younging</w:t>
      </w:r>
      <w:proofErr w:type="spellEnd"/>
      <w:r w:rsidRPr="00B3448B">
        <w:t xml:space="preserve"> [Creative Rights Alliance, Kelowna, Canada, </w:t>
      </w:r>
      <w:proofErr w:type="spellStart"/>
      <w:r w:rsidRPr="00B3448B">
        <w:t>Opaskwayak</w:t>
      </w:r>
      <w:proofErr w:type="spellEnd"/>
      <w:r w:rsidRPr="00B3448B">
        <w:t xml:space="preserve"> Cree Nation-Canada] </w:t>
      </w:r>
      <w:hyperlink r:id="rId18" w:history="1">
        <w:r w:rsidRPr="00B3448B">
          <w:rPr>
            <w:rStyle w:val="Hyperlink"/>
          </w:rPr>
          <w:t>https://www.wipo.int/edocs/mdocs/tk/en/wipo_grtkf_ic_17/wipo_grtkf_ic_17_inf_5_a.pdf</w:t>
        </w:r>
      </w:hyperlink>
      <w:r w:rsidRPr="00B3448B">
        <w:t xml:space="preserve"> SM</w:t>
      </w:r>
    </w:p>
    <w:p w14:paraId="5CE18808" w14:textId="77777777" w:rsidR="00825666" w:rsidRPr="00B3448B" w:rsidRDefault="00825666" w:rsidP="00825666">
      <w:pPr>
        <w:rPr>
          <w:rStyle w:val="StyleUnderline"/>
        </w:rPr>
      </w:pPr>
      <w:r w:rsidRPr="00B3448B">
        <w:rPr>
          <w:rStyle w:val="StyleUnderline"/>
        </w:rPr>
        <w:t>Under the IPR system, knowledge and creative ideas that are not “protected” are in the Public</w:t>
      </w:r>
    </w:p>
    <w:p w14:paraId="532C9124" w14:textId="77777777" w:rsidR="00825666" w:rsidRPr="00B3448B" w:rsidRDefault="00825666" w:rsidP="00825666">
      <w:pPr>
        <w:rPr>
          <w:rStyle w:val="StyleUnderline"/>
        </w:rPr>
      </w:pPr>
      <w:r w:rsidRPr="00B3448B">
        <w:rPr>
          <w:rStyle w:val="StyleUnderline"/>
        </w:rPr>
        <w:t>Domain (</w:t>
      </w:r>
      <w:proofErr w:type="gramStart"/>
      <w:r w:rsidRPr="00B3448B">
        <w:rPr>
          <w:rStyle w:val="StyleUnderline"/>
        </w:rPr>
        <w:t>i.e.</w:t>
      </w:r>
      <w:proofErr w:type="gramEnd"/>
      <w:r w:rsidRPr="00B3448B">
        <w:rPr>
          <w:rStyle w:val="StyleUnderline"/>
        </w:rPr>
        <w:t xml:space="preserve"> accessible by the public).</w:t>
      </w:r>
      <w:r w:rsidRPr="00B3448B">
        <w:t xml:space="preserve"> Generally, Indigenous peoples have not used IPRs to protect their knowledge; and </w:t>
      </w:r>
      <w:proofErr w:type="gramStart"/>
      <w:r w:rsidRPr="00B3448B">
        <w:t>so</w:t>
      </w:r>
      <w:proofErr w:type="gramEnd"/>
      <w:r w:rsidRPr="00B3448B">
        <w:t xml:space="preserve"> </w:t>
      </w:r>
      <w:r w:rsidRPr="00B3448B">
        <w:rPr>
          <w:rStyle w:val="StyleUnderline"/>
          <w:highlight w:val="green"/>
        </w:rPr>
        <w:t>TK</w:t>
      </w:r>
      <w:r w:rsidRPr="00B3448B">
        <w:rPr>
          <w:rStyle w:val="StyleUnderline"/>
        </w:rPr>
        <w:t xml:space="preserve"> is often </w:t>
      </w:r>
      <w:r w:rsidRPr="00B3448B">
        <w:rPr>
          <w:rStyle w:val="StyleUnderline"/>
          <w:highlight w:val="green"/>
        </w:rPr>
        <w:t>treated</w:t>
      </w:r>
      <w:r w:rsidRPr="00B3448B">
        <w:rPr>
          <w:rStyle w:val="StyleUnderline"/>
        </w:rPr>
        <w:t xml:space="preserve"> as if it is </w:t>
      </w:r>
      <w:r w:rsidRPr="00B3448B">
        <w:rPr>
          <w:rStyle w:val="StyleUnderline"/>
          <w:highlight w:val="green"/>
        </w:rPr>
        <w:t>in the Public Domain</w:t>
      </w:r>
      <w:r w:rsidRPr="00B3448B">
        <w:t xml:space="preserve"> – without regard for Customary Laws. Another key problem for TK is that </w:t>
      </w:r>
      <w:r w:rsidRPr="00B3448B">
        <w:rPr>
          <w:rStyle w:val="StyleUnderline"/>
        </w:rPr>
        <w:t xml:space="preserve">the </w:t>
      </w:r>
      <w:r w:rsidRPr="00B3448B">
        <w:rPr>
          <w:rStyle w:val="StyleUnderline"/>
          <w:highlight w:val="green"/>
        </w:rPr>
        <w:t>IPR</w:t>
      </w:r>
      <w:r w:rsidRPr="00B3448B">
        <w:rPr>
          <w:rStyle w:val="StyleUnderline"/>
        </w:rPr>
        <w:t xml:space="preserve"> system</w:t>
      </w:r>
      <w:r w:rsidRPr="00B3448B">
        <w:rPr>
          <w:rStyle w:val="StyleUnderline"/>
          <w:highlight w:val="green"/>
        </w:rPr>
        <w:t>’s</w:t>
      </w:r>
      <w:r w:rsidRPr="00B3448B">
        <w:rPr>
          <w:rStyle w:val="StyleUnderline"/>
        </w:rPr>
        <w:t xml:space="preserve"> </w:t>
      </w:r>
      <w:r w:rsidRPr="00B3448B">
        <w:rPr>
          <w:rStyle w:val="StyleUnderline"/>
          <w:highlight w:val="green"/>
        </w:rPr>
        <w:t>concept of the Public Domain is based on the premise that</w:t>
      </w:r>
      <w:r w:rsidRPr="00B3448B">
        <w:rPr>
          <w:rStyle w:val="StyleUnderline"/>
        </w:rPr>
        <w:t xml:space="preserve"> </w:t>
      </w:r>
      <w:r w:rsidRPr="00B3448B">
        <w:t xml:space="preserve">the author/creator deserves recognition and compensation for his/her work because it is the product of his/her genius; but </w:t>
      </w:r>
      <w:r w:rsidRPr="00B3448B">
        <w:rPr>
          <w:rStyle w:val="StyleUnderline"/>
        </w:rPr>
        <w:t xml:space="preserve">that </w:t>
      </w:r>
      <w:r w:rsidRPr="00B3448B">
        <w:rPr>
          <w:rStyle w:val="StyleUnderline"/>
          <w:highlight w:val="green"/>
        </w:rPr>
        <w:t>all of society must eventually</w:t>
      </w:r>
      <w:r w:rsidRPr="00B3448B">
        <w:rPr>
          <w:rStyle w:val="StyleUnderline"/>
        </w:rPr>
        <w:t xml:space="preserve"> be able to </w:t>
      </w:r>
      <w:r w:rsidRPr="00B3448B">
        <w:rPr>
          <w:rStyle w:val="StyleUnderline"/>
          <w:highlight w:val="green"/>
        </w:rPr>
        <w:t>benefit from that genius</w:t>
      </w:r>
      <w:r w:rsidRPr="00B3448B">
        <w:rPr>
          <w:rStyle w:val="StyleUnderline"/>
        </w:rPr>
        <w:t xml:space="preserve">. Therefore, according to this aspect of IPR theory, all knowledge and creative ideas must eventually enter the Public Domain. Under IPR theory, this is the reasoning behind the </w:t>
      </w:r>
      <w:proofErr w:type="gramStart"/>
      <w:r w:rsidRPr="00B3448B">
        <w:rPr>
          <w:rStyle w:val="StyleUnderline"/>
        </w:rPr>
        <w:t>time period</w:t>
      </w:r>
      <w:proofErr w:type="gramEnd"/>
      <w:r w:rsidRPr="00B3448B">
        <w:rPr>
          <w:rStyle w:val="StyleUnderline"/>
        </w:rPr>
        <w:t xml:space="preserve"> limitations associated with copyright, patents and trademarks.</w:t>
      </w:r>
    </w:p>
    <w:p w14:paraId="6FC9040B" w14:textId="77777777" w:rsidR="00825666" w:rsidRPr="00B3448B" w:rsidRDefault="00825666" w:rsidP="00825666">
      <w:r w:rsidRPr="00B3448B">
        <w:rPr>
          <w:rStyle w:val="StyleUnderline"/>
          <w:highlight w:val="green"/>
        </w:rPr>
        <w:t>The precept</w:t>
      </w:r>
      <w:r w:rsidRPr="00B3448B">
        <w:rPr>
          <w:rStyle w:val="StyleUnderline"/>
        </w:rPr>
        <w:t xml:space="preserve"> that all Intellectual Property, including TK, is intended to eventually enter the Public Domain </w:t>
      </w:r>
      <w:r w:rsidRPr="00B3448B">
        <w:rPr>
          <w:rStyle w:val="StyleUnderline"/>
          <w:highlight w:val="green"/>
        </w:rPr>
        <w:t>is a problem for Indigenous peoples because</w:t>
      </w:r>
      <w:r w:rsidRPr="00B3448B">
        <w:rPr>
          <w:rStyle w:val="StyleUnderline"/>
        </w:rPr>
        <w:t xml:space="preserve"> Customary Law dictates that certain aspects of </w:t>
      </w:r>
      <w:r w:rsidRPr="00B3448B">
        <w:rPr>
          <w:rStyle w:val="StyleUnderline"/>
          <w:highlight w:val="green"/>
        </w:rPr>
        <w:t xml:space="preserve">TK are not intended for external </w:t>
      </w:r>
      <w:r w:rsidRPr="00B3448B">
        <w:rPr>
          <w:rStyle w:val="StyleUnderline"/>
        </w:rPr>
        <w:t xml:space="preserve">access and </w:t>
      </w:r>
      <w:r w:rsidRPr="00B3448B">
        <w:rPr>
          <w:rStyle w:val="StyleUnderline"/>
          <w:highlight w:val="green"/>
        </w:rPr>
        <w:t>use</w:t>
      </w:r>
      <w:r w:rsidRPr="00B3448B">
        <w:rPr>
          <w:rStyle w:val="StyleUnderline"/>
        </w:rPr>
        <w:t xml:space="preserve"> in any form</w:t>
      </w:r>
      <w:r w:rsidRPr="00B3448B">
        <w:t xml:space="preserve">. As a response to this, there have been circumstances where </w:t>
      </w:r>
      <w:r w:rsidRPr="00B3448B">
        <w:rPr>
          <w:rStyle w:val="StyleUnderline"/>
          <w:highlight w:val="green"/>
        </w:rPr>
        <w:t xml:space="preserve">indigenous people have argued that </w:t>
      </w:r>
      <w:r w:rsidRPr="00B3448B">
        <w:rPr>
          <w:rStyle w:val="StyleUnderline"/>
        </w:rPr>
        <w:t xml:space="preserve">some knowledge should be withdrawn from circulation and that for specific kinds of knowledge, </w:t>
      </w:r>
      <w:r w:rsidRPr="00B3448B">
        <w:rPr>
          <w:rStyle w:val="StyleUnderline"/>
          <w:highlight w:val="green"/>
        </w:rPr>
        <w:t>protection should be granted in perpetuity</w:t>
      </w:r>
      <w:r w:rsidRPr="00B3448B">
        <w:t xml:space="preserve">. 29 Examples of this include, sacred ceremonial masks, songs and dances, various forms of shamanic art, sacred stories, prayers, songs, ceremonies, art objects with strong spiritual significance such as scrolls, petroglyphs, and decorated staffs, rattles, blankets, medicine bundles and clothing adornments, and various sacred symbols, designs, crests, </w:t>
      </w:r>
      <w:proofErr w:type="gramStart"/>
      <w:r w:rsidRPr="00B3448B">
        <w:t>medicines</w:t>
      </w:r>
      <w:proofErr w:type="gramEnd"/>
      <w:r w:rsidRPr="00B3448B">
        <w:t xml:space="preserve"> and motifs. However, the present reality is that TK is, or will be, in the Public Domain (i.e., the IPR system overrides Customary Law.)</w:t>
      </w:r>
    </w:p>
    <w:p w14:paraId="0DACFE67" w14:textId="77777777" w:rsidR="00825666" w:rsidRPr="00B3448B" w:rsidRDefault="00825666" w:rsidP="00825666">
      <w:pPr>
        <w:rPr>
          <w:rStyle w:val="StyleUnderline"/>
        </w:rPr>
      </w:pPr>
      <w:r w:rsidRPr="00B3448B">
        <w:rPr>
          <w:rStyle w:val="StyleUnderline"/>
        </w:rPr>
        <w:t>Certain aspects of TK should not enter the public domain (as deemed under Customary Law) and should remain protected as such into perpetuity, which could be expressed as a form of “Indigenous private domain.”</w:t>
      </w:r>
      <w:r w:rsidRPr="00B3448B">
        <w:t xml:space="preserve"> (</w:t>
      </w:r>
      <w:proofErr w:type="spellStart"/>
      <w:r w:rsidRPr="00B3448B">
        <w:t>Younging</w:t>
      </w:r>
      <w:proofErr w:type="spellEnd"/>
      <w:r w:rsidRPr="00B3448B">
        <w:t xml:space="preserve"> 2007). </w:t>
      </w:r>
      <w:r w:rsidRPr="00B3448B">
        <w:rPr>
          <w:rStyle w:val="StyleUnderline"/>
        </w:rPr>
        <w:t xml:space="preserve">Indigenous peoples’ historical </w:t>
      </w:r>
      <w:r w:rsidRPr="00B3448B">
        <w:rPr>
          <w:rStyle w:val="StyleUnderline"/>
          <w:highlight w:val="green"/>
        </w:rPr>
        <w:t>exclusion from the broad category of ‘public’</w:t>
      </w:r>
      <w:r w:rsidRPr="00B3448B">
        <w:rPr>
          <w:rStyle w:val="StyleUnderline"/>
        </w:rPr>
        <w:t xml:space="preserve"> feeds part of the differences in objectives. </w:t>
      </w:r>
      <w:r w:rsidRPr="00B3448B">
        <w:rPr>
          <w:rStyle w:val="StyleUnderline"/>
          <w:highlight w:val="green"/>
        </w:rPr>
        <w:t>Indigenous peoples</w:t>
      </w:r>
      <w:r w:rsidRPr="00B3448B">
        <w:rPr>
          <w:rStyle w:val="StyleUnderline"/>
        </w:rPr>
        <w:t xml:space="preserve"> also </w:t>
      </w:r>
      <w:r w:rsidRPr="00B3448B">
        <w:rPr>
          <w:rStyle w:val="StyleUnderline"/>
          <w:highlight w:val="green"/>
        </w:rPr>
        <w:t xml:space="preserve">present different perceptions of </w:t>
      </w:r>
      <w:r w:rsidRPr="00B3448B">
        <w:rPr>
          <w:rStyle w:val="StyleUnderline"/>
        </w:rPr>
        <w:t xml:space="preserve">knowledge, </w:t>
      </w:r>
      <w:r w:rsidRPr="00B3448B">
        <w:rPr>
          <w:rStyle w:val="StyleUnderline"/>
          <w:highlight w:val="green"/>
        </w:rPr>
        <w:t>the cultural and political contexts from which knowledge emerges,</w:t>
      </w:r>
      <w:r w:rsidRPr="00B3448B">
        <w:rPr>
          <w:rStyle w:val="StyleUnderline"/>
        </w:rPr>
        <w:t xml:space="preserve"> and the availability, or perceived benefits of the availability, of all kinds of cultural knowledge. 30</w:t>
      </w:r>
    </w:p>
    <w:p w14:paraId="40A8782E" w14:textId="77777777" w:rsidR="00825666" w:rsidRPr="00B3448B" w:rsidRDefault="00825666" w:rsidP="00825666">
      <w:r w:rsidRPr="00B3448B">
        <w:t>Copyright Case Study: The Cameron Case</w:t>
      </w:r>
    </w:p>
    <w:p w14:paraId="1A17507C" w14:textId="77777777" w:rsidR="00825666" w:rsidRPr="00B3448B" w:rsidRDefault="00825666" w:rsidP="00825666">
      <w:r w:rsidRPr="00B3448B">
        <w:t xml:space="preserve">In 1985 the Euro-Canadian author Anne Cameron began publishing a series of children’s books though </w:t>
      </w:r>
      <w:proofErr w:type="spellStart"/>
      <w:r w:rsidRPr="00B3448B">
        <w:t>Harbour</w:t>
      </w:r>
      <w:proofErr w:type="spellEnd"/>
      <w:r w:rsidRPr="00B3448B">
        <w:t xml:space="preserve"> Publications based on Westcoast Indigenous traditional stories. These books include: The Raven, Raven and Snipe, Keeper of the River, How the Loon Lost Her Voice, Orca’s Song, Raven Returns the Water, Spider Woman, Lazy Boy and Raven Goes </w:t>
      </w:r>
      <w:proofErr w:type="spellStart"/>
      <w:r w:rsidRPr="00B3448B">
        <w:t>Berrypicking</w:t>
      </w:r>
      <w:proofErr w:type="spellEnd"/>
      <w:r w:rsidRPr="00B3448B">
        <w:t xml:space="preserve">. Cameron had been told the traditional stories by Indigenous storytellers and/or had been present at occasions where the stories were recited. The original printing of the books granted Anne Cameron sole authorship, </w:t>
      </w:r>
      <w:proofErr w:type="gramStart"/>
      <w:r w:rsidRPr="00B3448B">
        <w:t>copyright</w:t>
      </w:r>
      <w:proofErr w:type="gramEnd"/>
      <w:r w:rsidRPr="00B3448B">
        <w:t xml:space="preserve"> and royalty beneficiary, and gave no credit to the Indigenous origins of the stories. As the discourse around Indigenous cultural appropriation emerged in the 1990s, Cameron’s books came under severe Indigenous criticism; not only on the grounds of cultural appropriation, but the Indigenous TK holders asserted that some of the stories and aspects of the stories were incorrect.</w:t>
      </w:r>
    </w:p>
    <w:p w14:paraId="0B775B60" w14:textId="77777777" w:rsidR="00825666" w:rsidRPr="00B3448B" w:rsidRDefault="00825666" w:rsidP="00825666">
      <w:r w:rsidRPr="00B3448B">
        <w:t xml:space="preserve">This led to a major confrontation with Indigenous women authors at a women writer’s conference in Montreal in 1990. At the end of the confrontation Cameron agreed not to publish any more Indigenous stories in the series: however, she did not keep her word and the books continued to be reprinted and new books in the series continued to be published (Armstrong and Maracle1992). Some minor concessions have been made in subsequent reprints of books in the series and new additions. Reprints of the books that were produced after around 1993/94 contained the disclaimer: “When I was growing up on Vancouver </w:t>
      </w:r>
      <w:proofErr w:type="gramStart"/>
      <w:r w:rsidRPr="00B3448B">
        <w:t>Island</w:t>
      </w:r>
      <w:proofErr w:type="gramEnd"/>
      <w:r w:rsidRPr="00B3448B">
        <w:t xml:space="preserve"> I met a woman who was a storyteller. She shared many stories with me and later gave me permission to share them with others… the woman’s name was </w:t>
      </w:r>
      <w:proofErr w:type="spellStart"/>
      <w:r w:rsidRPr="00B3448B">
        <w:t>Klopimum</w:t>
      </w:r>
      <w:proofErr w:type="spellEnd"/>
      <w:r w:rsidRPr="00B3448B">
        <w:t xml:space="preserve">.” However, Cameron continued to maintain sole author credit, copyright and </w:t>
      </w:r>
      <w:proofErr w:type="gramStart"/>
      <w:r w:rsidRPr="00B3448B">
        <w:t>royalties</w:t>
      </w:r>
      <w:proofErr w:type="gramEnd"/>
      <w:r w:rsidRPr="00B3448B">
        <w:t xml:space="preserve"> payments. In a further concession, the 1998 new addition to the series </w:t>
      </w:r>
      <w:proofErr w:type="spellStart"/>
      <w:r w:rsidRPr="00B3448B">
        <w:t>T’aal</w:t>
      </w:r>
      <w:proofErr w:type="spellEnd"/>
      <w:r w:rsidRPr="00B3448B">
        <w:t xml:space="preserve">: the One Who Takes Bad Children is co-authored by Anne Cameron and the Indigenous Elder/storyteller Sue </w:t>
      </w:r>
      <w:proofErr w:type="spellStart"/>
      <w:r w:rsidRPr="00B3448B">
        <w:t>Pielle</w:t>
      </w:r>
      <w:proofErr w:type="spellEnd"/>
      <w:r w:rsidRPr="00B3448B">
        <w:t xml:space="preserve"> who also shares copyright and royalties.</w:t>
      </w:r>
    </w:p>
    <w:p w14:paraId="7CF9196F" w14:textId="77777777" w:rsidR="00825666" w:rsidRPr="00B3448B" w:rsidRDefault="00825666" w:rsidP="00825666">
      <w:r w:rsidRPr="00B3448B">
        <w:t>Patent Case Study: The Igloolik Case</w:t>
      </w:r>
    </w:p>
    <w:p w14:paraId="7B51B3ED" w14:textId="77777777" w:rsidR="00825666" w:rsidRPr="00B3448B" w:rsidRDefault="00825666" w:rsidP="00825666">
      <w:r w:rsidRPr="00B3448B">
        <w:t xml:space="preserve">An example of the failure of the Patent Act </w:t>
      </w:r>
      <w:proofErr w:type="gramStart"/>
      <w:r w:rsidRPr="00B3448B">
        <w:t>In</w:t>
      </w:r>
      <w:proofErr w:type="gramEnd"/>
      <w:r w:rsidRPr="00B3448B">
        <w:t xml:space="preserve"> Canada to respond to Inuit designs is the Igloolik Floe Edge Boat Case.31 A floe edge boat is a traditional Inuit boat used to retrieve seals shot at the floe edge (the edge of the ice floe), to set fishing nets in summer, to protect possessions on sled when travelling by snowmobile or wet spring ice, and to store hunting or fishing equipment. In the late 1980’s the Canadian government sponsored the Eastern Arctic Scientific Research Center to initiate a project to develop a floe edge boat that combined the traditional design with modern materials and technologies. In 1988 the Igloolik Business Association (IBA) sought to obtain a patent for the boats. The IBA thought that manufactured boats using the floe edge design would have great potential in the outdoor recreation market. To assist the IBA with its patent application the agency, the Canadian Patents and Developments Limited (CPDL) initiated a pre-project patent search that found patents were already held by a non-Inuit company for boats with similar structures. The CPDL letter to the IBA concluded that it was difficult for the CPDL to inventively distinguish the design from previous patents and, therefore, the IBA patent would not be granted. The option of challenging the pre-existing patent was considered by the IBA, however, it was decided that it would not likely be successful due to the high financial cost and risk involved in litigation.</w:t>
      </w:r>
    </w:p>
    <w:p w14:paraId="08708E00" w14:textId="77777777" w:rsidR="00825666" w:rsidRPr="00B3448B" w:rsidRDefault="00825666" w:rsidP="00825666">
      <w:r w:rsidRPr="00B3448B">
        <w:t xml:space="preserve">Trademark Case: The </w:t>
      </w:r>
      <w:proofErr w:type="spellStart"/>
      <w:r w:rsidRPr="00B3448B">
        <w:t>Snumeymux</w:t>
      </w:r>
      <w:proofErr w:type="spellEnd"/>
      <w:r w:rsidRPr="00B3448B">
        <w:t xml:space="preserve"> Case</w:t>
      </w:r>
    </w:p>
    <w:p w14:paraId="61045610" w14:textId="77777777" w:rsidR="00825666" w:rsidRPr="00B3448B" w:rsidRDefault="00825666" w:rsidP="00825666">
      <w:r w:rsidRPr="00B3448B">
        <w:t xml:space="preserve">As most Indigenous communities are far behind in terms of establishing businesses most trademarking of TK involves a non-Indigenous corporation trademarking an Indigenous symbol, </w:t>
      </w:r>
      <w:proofErr w:type="gramStart"/>
      <w:r w:rsidRPr="00B3448B">
        <w:t>design</w:t>
      </w:r>
      <w:proofErr w:type="gramEnd"/>
      <w:r w:rsidRPr="00B3448B">
        <w:t xml:space="preserve"> or name. Again, many cases could have been examined in this section but only two have been chosen: one case involving the </w:t>
      </w:r>
      <w:proofErr w:type="spellStart"/>
      <w:r w:rsidRPr="00B3448B">
        <w:t>Snumeymux</w:t>
      </w:r>
      <w:proofErr w:type="spellEnd"/>
      <w:r w:rsidRPr="00B3448B">
        <w:t xml:space="preserve"> Band trade marking petroglyphs through the Canadian Patent Office, and one involving an international corporation’s patent </w:t>
      </w:r>
      <w:proofErr w:type="spellStart"/>
      <w:r w:rsidRPr="00B3448B">
        <w:t>licence</w:t>
      </w:r>
      <w:proofErr w:type="spellEnd"/>
      <w:r w:rsidRPr="00B3448B">
        <w:t xml:space="preserve"> being the subject of an intense international Indigenous lobbying effort.</w:t>
      </w:r>
    </w:p>
    <w:p w14:paraId="7E668943" w14:textId="77777777" w:rsidR="00825666" w:rsidRPr="00B3448B" w:rsidRDefault="00825666" w:rsidP="00825666">
      <w:r w:rsidRPr="00B3448B">
        <w:rPr>
          <w:rStyle w:val="StyleUnderline"/>
        </w:rPr>
        <w:t xml:space="preserve">The </w:t>
      </w:r>
      <w:proofErr w:type="spellStart"/>
      <w:r w:rsidRPr="00B3448B">
        <w:rPr>
          <w:rStyle w:val="StyleUnderline"/>
        </w:rPr>
        <w:t>Snumeymux</w:t>
      </w:r>
      <w:proofErr w:type="spellEnd"/>
      <w:r w:rsidRPr="00B3448B">
        <w:rPr>
          <w:rStyle w:val="StyleUnderline"/>
        </w:rPr>
        <w:t xml:space="preserve"> people have several ancient petroglyphs located off their reserve lands</w:t>
      </w:r>
      <w:r w:rsidRPr="00B3448B">
        <w:t xml:space="preserve"> near False Narrows on Gabriola Island, BC. In the early 1990s </w:t>
      </w:r>
      <w:r w:rsidRPr="00B3448B">
        <w:rPr>
          <w:rStyle w:val="StyleUnderline"/>
        </w:rPr>
        <w:t>non-Indigenous residents of Gabriola Island began using some of the petroglyph images in coffee shops and various other business logos</w:t>
      </w:r>
      <w:r w:rsidRPr="00B3448B">
        <w:t xml:space="preserve">. In the mid-1990s </w:t>
      </w:r>
      <w:r w:rsidRPr="00B3448B">
        <w:rPr>
          <w:rStyle w:val="StyleUnderline"/>
        </w:rPr>
        <w:t xml:space="preserve">the Island’s music festival named itself after what had become the local name of the most </w:t>
      </w:r>
      <w:proofErr w:type="spellStart"/>
      <w:proofErr w:type="gramStart"/>
      <w:r w:rsidRPr="00B3448B">
        <w:rPr>
          <w:rStyle w:val="StyleUnderline"/>
        </w:rPr>
        <w:t>well known</w:t>
      </w:r>
      <w:proofErr w:type="spellEnd"/>
      <w:proofErr w:type="gramEnd"/>
      <w:r w:rsidRPr="00B3448B">
        <w:rPr>
          <w:rStyle w:val="StyleUnderline"/>
        </w:rPr>
        <w:t xml:space="preserve"> petroglyph image, the dancing man</w:t>
      </w:r>
      <w:r w:rsidRPr="00B3448B">
        <w:t xml:space="preserve">. The Dancing Man Music Festival then adopted the image of the dancing man as the festival logo and used it on brochures, posters, </w:t>
      </w:r>
      <w:proofErr w:type="gramStart"/>
      <w:r w:rsidRPr="00B3448B">
        <w:t>advertisements</w:t>
      </w:r>
      <w:proofErr w:type="gramEnd"/>
      <w:r w:rsidRPr="00B3448B">
        <w:t xml:space="preserve"> and T-shirts.</w:t>
      </w:r>
    </w:p>
    <w:p w14:paraId="3EACCD4B" w14:textId="77777777" w:rsidR="00825666" w:rsidRPr="00B3448B" w:rsidRDefault="00825666" w:rsidP="00825666">
      <w:r w:rsidRPr="00B3448B">
        <w:t xml:space="preserve">The </w:t>
      </w:r>
      <w:proofErr w:type="spellStart"/>
      <w:r w:rsidRPr="00B3448B">
        <w:t>Snuneymux</w:t>
      </w:r>
      <w:proofErr w:type="spellEnd"/>
      <w:r w:rsidRPr="00B3448B">
        <w:t xml:space="preserve"> Band first made unsuccessful appeals to the festival, </w:t>
      </w:r>
      <w:proofErr w:type="spellStart"/>
      <w:r w:rsidRPr="00B3448B">
        <w:t>buisnesses</w:t>
      </w:r>
      <w:proofErr w:type="spellEnd"/>
      <w:r w:rsidRPr="00B3448B">
        <w:t xml:space="preserve"> and the Gabriola community to stop using the petroglyph symbols. In 1998 the </w:t>
      </w:r>
      <w:proofErr w:type="spellStart"/>
      <w:r w:rsidRPr="00B3448B">
        <w:t>Snuneymux</w:t>
      </w:r>
      <w:proofErr w:type="spellEnd"/>
      <w:r w:rsidRPr="00B3448B">
        <w:t xml:space="preserve"> Band hired Murry Brown as legal counsel to seek protection of the petroglyphs (Manson-2003). At a 1998 meeting with Brown, </w:t>
      </w:r>
      <w:proofErr w:type="spellStart"/>
      <w:r w:rsidRPr="00B3448B">
        <w:t>Snuneymux</w:t>
      </w:r>
      <w:proofErr w:type="spellEnd"/>
      <w:r w:rsidRPr="00B3448B">
        <w:t xml:space="preserve"> Elders and community members on the matter, The Dancing Man Festival and Gabriola </w:t>
      </w:r>
      <w:proofErr w:type="gramStart"/>
      <w:r w:rsidRPr="00B3448B">
        <w:t>business’</w:t>
      </w:r>
      <w:proofErr w:type="gramEnd"/>
      <w:r w:rsidRPr="00B3448B">
        <w:t xml:space="preserve"> and community representatives were still defiant that they had a right to use the images from the petroglyphs (Brown-2003).</w:t>
      </w:r>
    </w:p>
    <w:p w14:paraId="064C9D20" w14:textId="77777777" w:rsidR="00825666" w:rsidRPr="00B3448B" w:rsidRDefault="00825666" w:rsidP="00825666">
      <w:pPr>
        <w:rPr>
          <w:rStyle w:val="StyleUnderline"/>
        </w:rPr>
      </w:pPr>
      <w:r w:rsidRPr="00B3448B">
        <w:t>On the advice of Murry Brown,</w:t>
      </w:r>
      <w:r w:rsidRPr="00B3448B">
        <w:rPr>
          <w:rStyle w:val="StyleUnderline"/>
        </w:rPr>
        <w:t xml:space="preserve"> The </w:t>
      </w:r>
      <w:proofErr w:type="spellStart"/>
      <w:r w:rsidRPr="00B3448B">
        <w:rPr>
          <w:rStyle w:val="StyleUnderline"/>
        </w:rPr>
        <w:t>Snuneymux</w:t>
      </w:r>
      <w:proofErr w:type="spellEnd"/>
      <w:r w:rsidRPr="00B3448B">
        <w:rPr>
          <w:rStyle w:val="StyleUnderline"/>
        </w:rPr>
        <w:t xml:space="preserve"> Band filed for a Section 91(n) Public Authority Trademark for eight petroglyphs and was awarded the trademark in October of 1998</w:t>
      </w:r>
      <w:r w:rsidRPr="00B3448B">
        <w:t xml:space="preserve"> (Brown2003). </w:t>
      </w:r>
      <w:r w:rsidRPr="00B3448B">
        <w:rPr>
          <w:rStyle w:val="StyleUnderline"/>
        </w:rPr>
        <w:t xml:space="preserve">The trademark protects the </w:t>
      </w:r>
      <w:proofErr w:type="spellStart"/>
      <w:r w:rsidRPr="00B3448B">
        <w:rPr>
          <w:rStyle w:val="StyleUnderline"/>
        </w:rPr>
        <w:t>petrogylphs</w:t>
      </w:r>
      <w:proofErr w:type="spellEnd"/>
      <w:r w:rsidRPr="00B3448B">
        <w:rPr>
          <w:rStyle w:val="StyleUnderline"/>
        </w:rPr>
        <w:t xml:space="preserve"> from “all uses” by non-</w:t>
      </w:r>
      <w:proofErr w:type="spellStart"/>
      <w:r w:rsidRPr="00B3448B">
        <w:rPr>
          <w:rStyle w:val="StyleUnderline"/>
        </w:rPr>
        <w:t>Snuneymux</w:t>
      </w:r>
      <w:proofErr w:type="spellEnd"/>
      <w:r w:rsidRPr="00B3448B">
        <w:rPr>
          <w:rStyle w:val="StyleUnderline"/>
        </w:rPr>
        <w:t xml:space="preserve"> people and, therefore the Dancing Man Festival and Gabriola Island business and community representatives were forced to stop using images derived from the petroglyphs</w:t>
      </w:r>
      <w:r w:rsidRPr="00B3448B">
        <w:t xml:space="preserve">. In the </w:t>
      </w:r>
      <w:proofErr w:type="spellStart"/>
      <w:r w:rsidRPr="00B3448B">
        <w:t>Snuneymux</w:t>
      </w:r>
      <w:proofErr w:type="spellEnd"/>
      <w:r w:rsidRPr="00B3448B">
        <w:t xml:space="preserve"> case the petroglyphs were trademarked for “defensive” purposes. </w:t>
      </w:r>
      <w:r w:rsidRPr="00B3448B">
        <w:rPr>
          <w:rStyle w:val="StyleUnderline"/>
        </w:rPr>
        <w:t xml:space="preserve">The </w:t>
      </w:r>
      <w:proofErr w:type="spellStart"/>
      <w:r w:rsidRPr="00B3448B">
        <w:rPr>
          <w:rStyle w:val="StyleUnderline"/>
        </w:rPr>
        <w:t>Snuneymux</w:t>
      </w:r>
      <w:proofErr w:type="spellEnd"/>
      <w:r w:rsidRPr="00B3448B">
        <w:rPr>
          <w:rStyle w:val="StyleUnderline"/>
        </w:rPr>
        <w:t xml:space="preserve"> case represents an innovative use of the IPR system that negotiated within the systems limitations and found a way to make it work to protect TK.</w:t>
      </w:r>
    </w:p>
    <w:p w14:paraId="44349729" w14:textId="77777777" w:rsidR="00825666" w:rsidRPr="00B3448B" w:rsidRDefault="00825666" w:rsidP="00825666">
      <w:r w:rsidRPr="00B3448B">
        <w:t>Case Studies Summary</w:t>
      </w:r>
    </w:p>
    <w:p w14:paraId="3097E520" w14:textId="77777777" w:rsidR="00825666" w:rsidRPr="00B3448B" w:rsidRDefault="00825666" w:rsidP="00825666">
      <w:r w:rsidRPr="00B3448B">
        <w:t xml:space="preserve">The case studies have shown that serious conflicts exist between the IPR and TK systems and lead to the conclusion that it constitutes a major problem which Indigenous peoples must work out with the modern states they are within and the international community. </w:t>
      </w:r>
      <w:r w:rsidRPr="00B3448B">
        <w:rPr>
          <w:rStyle w:val="StyleUnderline"/>
        </w:rPr>
        <w:t xml:space="preserve">In contrast to Eurocentric thought, </w:t>
      </w:r>
      <w:r w:rsidRPr="00B3448B">
        <w:rPr>
          <w:rStyle w:val="StyleUnderline"/>
          <w:highlight w:val="green"/>
        </w:rPr>
        <w:t>almost all Indigenous thought asserts</w:t>
      </w:r>
      <w:r w:rsidRPr="00B3448B">
        <w:rPr>
          <w:rStyle w:val="StyleUnderline"/>
        </w:rPr>
        <w:t xml:space="preserve"> that </w:t>
      </w:r>
      <w:r w:rsidRPr="00B3448B">
        <w:rPr>
          <w:rStyle w:val="StyleUnderline"/>
          <w:highlight w:val="green"/>
        </w:rPr>
        <w:t>property is a sacred ecological order</w:t>
      </w:r>
      <w:r w:rsidRPr="00B3448B">
        <w:rPr>
          <w:rStyle w:val="StyleUnderline"/>
        </w:rPr>
        <w:t xml:space="preserve"> and manifestations of that order should not be treated as commodities.32 </w:t>
      </w:r>
      <w:proofErr w:type="gramStart"/>
      <w:r w:rsidRPr="00B3448B">
        <w:rPr>
          <w:rStyle w:val="StyleUnderline"/>
        </w:rPr>
        <w:t>It is clear that there</w:t>
      </w:r>
      <w:proofErr w:type="gramEnd"/>
      <w:r w:rsidRPr="00B3448B">
        <w:rPr>
          <w:rStyle w:val="StyleUnderline"/>
        </w:rPr>
        <w:t xml:space="preserve"> are pressing problems in the regulation of TK.</w:t>
      </w:r>
      <w:r w:rsidRPr="00B3448B">
        <w:t xml:space="preserve"> It is also clear that IPR system and other Eurocentric concepts do not offer a solution to some of the problems. </w:t>
      </w:r>
      <w:r w:rsidRPr="00B3448B">
        <w:rPr>
          <w:rStyle w:val="StyleUnderline"/>
        </w:rPr>
        <w:t>There have been cases of Indigenous people using the IPR system to protect their TK.</w:t>
      </w:r>
      <w:r w:rsidRPr="00B3448B">
        <w:t xml:space="preserve"> However, the reality is that </w:t>
      </w:r>
      <w:r w:rsidRPr="00B3448B">
        <w:rPr>
          <w:rStyle w:val="StyleUnderline"/>
        </w:rPr>
        <w:t xml:space="preserve">there are </w:t>
      </w:r>
      <w:r w:rsidRPr="00B3448B">
        <w:rPr>
          <w:rStyle w:val="StyleUnderline"/>
          <w:highlight w:val="green"/>
        </w:rPr>
        <w:t>many more cases of non-Indigenous people using</w:t>
      </w:r>
      <w:r w:rsidRPr="00B3448B">
        <w:rPr>
          <w:rStyle w:val="StyleUnderline"/>
        </w:rPr>
        <w:t xml:space="preserve"> the </w:t>
      </w:r>
      <w:r w:rsidRPr="00B3448B">
        <w:rPr>
          <w:rStyle w:val="StyleUnderline"/>
          <w:highlight w:val="green"/>
        </w:rPr>
        <w:t>IPR</w:t>
      </w:r>
      <w:r w:rsidRPr="00B3448B">
        <w:rPr>
          <w:rStyle w:val="StyleUnderline"/>
        </w:rPr>
        <w:t xml:space="preserve"> system </w:t>
      </w:r>
      <w:r w:rsidRPr="00B3448B">
        <w:rPr>
          <w:rStyle w:val="StyleUnderline"/>
          <w:highlight w:val="green"/>
        </w:rPr>
        <w:t>to take ownership over TK</w:t>
      </w:r>
      <w:r w:rsidRPr="00B3448B">
        <w:rPr>
          <w:rStyle w:val="StyleUnderline"/>
        </w:rPr>
        <w:t xml:space="preserve"> using</w:t>
      </w:r>
      <w:r w:rsidRPr="00B3448B">
        <w:t xml:space="preserve"> copyright, trademark, </w:t>
      </w:r>
      <w:proofErr w:type="gramStart"/>
      <w:r w:rsidRPr="00B3448B">
        <w:t>patents</w:t>
      </w:r>
      <w:proofErr w:type="gramEnd"/>
      <w:r w:rsidRPr="00B3448B">
        <w:t xml:space="preserve"> and </w:t>
      </w:r>
      <w:r w:rsidRPr="00B3448B">
        <w:rPr>
          <w:rStyle w:val="StyleUnderline"/>
        </w:rPr>
        <w:t>the Public Domain.</w:t>
      </w:r>
      <w:r w:rsidRPr="00B3448B">
        <w:t xml:space="preserve"> In many such cases this had created a ridiculous situation whereby Indigenous peoples cannot legally access their own knowledge. A study undertaken on behalf of the Intellectual Property Policy Directorate (IPPD) of Industry Canada and the Canadian Working Group on Article 8(j) concluded: “There is little in the cases found to suggest that the IP system has adapted very much to the unique aspects of Indigenous knowledge or heritage. Rather, Indigenous peoples have been required to conform to the legislation that was designed for other contexts and purposes, namely western </w:t>
      </w:r>
      <w:proofErr w:type="gramStart"/>
      <w:r w:rsidRPr="00B3448B">
        <w:t>practices</w:t>
      </w:r>
      <w:proofErr w:type="gramEnd"/>
      <w:r w:rsidRPr="00B3448B">
        <w:t xml:space="preserve"> and circumstances. At the same time, </w:t>
      </w:r>
      <w:r w:rsidRPr="00B3448B">
        <w:rPr>
          <w:rStyle w:val="StyleUnderline"/>
        </w:rPr>
        <w:t>there is little evidence that these changes have been promoted within the system, i.e., from failed efforts to use it that have been challenged</w:t>
      </w:r>
      <w:r w:rsidRPr="00B3448B">
        <w:t xml:space="preserve">” (IPPD-2002). Such conclusions, along with other conclusions being drawn in other countries and international forums, and the case study examples discussed, appear to support the argument that </w:t>
      </w:r>
      <w:r w:rsidRPr="00B3448B">
        <w:rPr>
          <w:rStyle w:val="StyleUnderline"/>
          <w:highlight w:val="green"/>
        </w:rPr>
        <w:t>new systems of protection need to be developed. Sui Generis models</w:t>
      </w:r>
      <w:r w:rsidRPr="00B3448B">
        <w:rPr>
          <w:rStyle w:val="StyleUnderline"/>
        </w:rPr>
        <w:t xml:space="preserve"> based on and/or incorporating Customary Laws </w:t>
      </w:r>
      <w:r w:rsidRPr="00B3448B">
        <w:rPr>
          <w:rStyle w:val="StyleUnderline"/>
          <w:highlight w:val="green"/>
        </w:rPr>
        <w:t>have been proposed</w:t>
      </w:r>
      <w:r w:rsidRPr="00B3448B">
        <w:rPr>
          <w:highlight w:val="green"/>
        </w:rPr>
        <w:t xml:space="preserve"> </w:t>
      </w:r>
      <w:r w:rsidRPr="00B3448B">
        <w:t>and developed in many countries and are being discussed in the WIPO IGC.</w:t>
      </w:r>
    </w:p>
    <w:p w14:paraId="4E3DBF50" w14:textId="77777777" w:rsidR="00825666" w:rsidRPr="00B3448B" w:rsidRDefault="00825666" w:rsidP="00825666">
      <w:proofErr w:type="spellStart"/>
      <w:r w:rsidRPr="00B3448B">
        <w:t>Gnaritas</w:t>
      </w:r>
      <w:proofErr w:type="spellEnd"/>
      <w:r w:rsidRPr="00B3448B">
        <w:t xml:space="preserve"> Nullius (Nobody’s Knowledge)</w:t>
      </w:r>
    </w:p>
    <w:p w14:paraId="31E12CDD" w14:textId="77777777" w:rsidR="00825666" w:rsidRPr="00B3448B" w:rsidRDefault="00825666" w:rsidP="00825666">
      <w:pPr>
        <w:rPr>
          <w:rStyle w:val="StyleUnderline"/>
        </w:rPr>
      </w:pPr>
      <w:r w:rsidRPr="00B3448B">
        <w:rPr>
          <w:rStyle w:val="StyleUnderline"/>
        </w:rPr>
        <w:t xml:space="preserve">Just as Indigenous territories were declared as Terra Nullius in the colonization process, so too has TK been treated as </w:t>
      </w:r>
      <w:proofErr w:type="spellStart"/>
      <w:r w:rsidRPr="00B3448B">
        <w:rPr>
          <w:rStyle w:val="StyleUnderline"/>
        </w:rPr>
        <w:t>Gnaritas</w:t>
      </w:r>
      <w:proofErr w:type="spellEnd"/>
      <w:r w:rsidRPr="00B3448B">
        <w:rPr>
          <w:rStyle w:val="StyleUnderline"/>
        </w:rPr>
        <w:t xml:space="preserve"> Nullius (Nobody’s Knowledge) by the IPR system and consequently flowed into the public domain along with Western knowledge. </w:t>
      </w:r>
      <w:r w:rsidRPr="00B3448B">
        <w:t xml:space="preserve">This has occurred despite widespread Indigenous claims of ownership and breech of Customary Law. The problem is that </w:t>
      </w:r>
      <w:r w:rsidRPr="00B3448B">
        <w:rPr>
          <w:rStyle w:val="StyleUnderline"/>
          <w:highlight w:val="green"/>
        </w:rPr>
        <w:t>advocates for the public domain</w:t>
      </w:r>
      <w:r w:rsidRPr="00B3448B">
        <w:rPr>
          <w:rStyle w:val="StyleUnderline"/>
        </w:rPr>
        <w:t xml:space="preserve"> seem to see knowledge as the same concept across </w:t>
      </w:r>
      <w:proofErr w:type="gramStart"/>
      <w:r w:rsidRPr="00B3448B">
        <w:rPr>
          <w:rStyle w:val="StyleUnderline"/>
        </w:rPr>
        <w:t>cultures, and</w:t>
      </w:r>
      <w:proofErr w:type="gramEnd"/>
      <w:r w:rsidRPr="00B3448B">
        <w:rPr>
          <w:rStyle w:val="StyleUnderline"/>
        </w:rPr>
        <w:t xml:space="preserve"> </w:t>
      </w:r>
      <w:r w:rsidRPr="00B3448B">
        <w:rPr>
          <w:rStyle w:val="StyleUnderline"/>
          <w:highlight w:val="green"/>
        </w:rPr>
        <w:t>impose the liberal ideals of freedom and equality</w:t>
      </w:r>
      <w:r w:rsidRPr="00B3448B">
        <w:rPr>
          <w:rStyle w:val="StyleUnderline"/>
        </w:rPr>
        <w:t xml:space="preserve"> to Indigenous peoples knowledge systems. </w:t>
      </w:r>
      <w:r w:rsidRPr="00B3448B">
        <w:rPr>
          <w:rStyle w:val="StyleUnderline"/>
          <w:highlight w:val="green"/>
        </w:rPr>
        <w:t>Not all knowledge has the same role</w:t>
      </w:r>
      <w:r w:rsidRPr="00B3448B">
        <w:rPr>
          <w:rStyle w:val="StyleUnderline"/>
        </w:rPr>
        <w:t xml:space="preserve"> and significance within diverse epistemologies, nor do diverse worldviews all necessarily incorporate a principle that knowledge can be universally accessed. Neither can all knowledge fit into a Western paradigms and legal regimes</w:t>
      </w:r>
      <w:r w:rsidRPr="00B3448B">
        <w:t xml:space="preserve">. A central dimension of Indigenous knowledge systems is that knowledge is shared according to developed rules and expectations for behavior within frameworks that have been developed and practiced over centuries and millennium. </w:t>
      </w:r>
      <w:r w:rsidRPr="00B3448B">
        <w:rPr>
          <w:rStyle w:val="StyleUnderline"/>
        </w:rPr>
        <w:t>Arguments for a public domain of Indigenous knowledge again reduces the capacity for Indigenous control and decision making</w:t>
      </w:r>
      <w:r w:rsidRPr="00B3448B">
        <w:t xml:space="preserve"> (Anderson 2010) </w:t>
      </w:r>
      <w:r w:rsidRPr="00B3448B">
        <w:rPr>
          <w:rStyle w:val="StyleUnderline"/>
        </w:rPr>
        <w:t xml:space="preserve">and </w:t>
      </w:r>
      <w:proofErr w:type="spellStart"/>
      <w:r w:rsidRPr="00B3448B">
        <w:rPr>
          <w:rStyle w:val="StyleUnderline"/>
        </w:rPr>
        <w:t>can not</w:t>
      </w:r>
      <w:proofErr w:type="spellEnd"/>
      <w:r w:rsidRPr="00B3448B">
        <w:rPr>
          <w:rStyle w:val="StyleUnderline"/>
        </w:rPr>
        <w:t xml:space="preserve"> be reasonably made outside the problematic frameworks of the colonization of TK and </w:t>
      </w:r>
      <w:proofErr w:type="spellStart"/>
      <w:r w:rsidRPr="00B3448B">
        <w:rPr>
          <w:rStyle w:val="StyleUnderline"/>
        </w:rPr>
        <w:t>Gnaritas</w:t>
      </w:r>
      <w:proofErr w:type="spellEnd"/>
      <w:r w:rsidRPr="00B3448B">
        <w:rPr>
          <w:rStyle w:val="StyleUnderline"/>
        </w:rPr>
        <w:t xml:space="preserve"> Nullius.</w:t>
      </w:r>
    </w:p>
    <w:p w14:paraId="2682FB18" w14:textId="77777777" w:rsidR="00825666" w:rsidRPr="00821009" w:rsidRDefault="00825666" w:rsidP="00825666">
      <w:pPr>
        <w:pStyle w:val="Heading3"/>
      </w:pPr>
      <w:r>
        <w:t>3</w:t>
      </w:r>
    </w:p>
    <w:p w14:paraId="09E79546" w14:textId="77777777" w:rsidR="00825666" w:rsidRPr="00005719" w:rsidRDefault="00825666" w:rsidP="00825666">
      <w:pPr>
        <w:pStyle w:val="Heading4"/>
        <w:rPr>
          <w:rFonts w:cs="Calibri"/>
        </w:rPr>
      </w:pPr>
      <w:bookmarkStart w:id="1" w:name="_Hlk79447762"/>
      <w:r w:rsidRPr="00005719">
        <w:rPr>
          <w:rFonts w:cs="Calibri"/>
        </w:rPr>
        <w:t>Biotech industry strong now</w:t>
      </w:r>
      <w:r>
        <w:rPr>
          <w:rFonts w:cs="Calibri"/>
        </w:rPr>
        <w:t xml:space="preserve"> – </w:t>
      </w:r>
      <w:proofErr w:type="gramStart"/>
      <w:r>
        <w:rPr>
          <w:rFonts w:cs="Calibri"/>
        </w:rPr>
        <w:t>new innovation</w:t>
      </w:r>
      <w:proofErr w:type="gramEnd"/>
      <w:r>
        <w:rPr>
          <w:rFonts w:cs="Calibri"/>
        </w:rPr>
        <w:t xml:space="preserve"> and R&amp;D coming</w:t>
      </w:r>
    </w:p>
    <w:p w14:paraId="145651D5" w14:textId="77777777" w:rsidR="00825666" w:rsidRPr="00005719" w:rsidRDefault="00825666" w:rsidP="00825666">
      <w:proofErr w:type="spellStart"/>
      <w:r w:rsidRPr="00005719">
        <w:rPr>
          <w:rStyle w:val="Style13ptBold"/>
        </w:rPr>
        <w:t>Cancherini</w:t>
      </w:r>
      <w:proofErr w:type="spellEnd"/>
      <w:r w:rsidRPr="00005719">
        <w:rPr>
          <w:rStyle w:val="Style13ptBold"/>
        </w:rPr>
        <w:t xml:space="preserve"> et al. 4/30</w:t>
      </w:r>
      <w:r w:rsidRPr="00005719">
        <w:t xml:space="preserve"> [Laura, Engagement Manager @ McKinsey &amp; Company, Joseph Lydon, Associate Partner @ McKinsey &amp; Company, Jorge Santos Da Silva, Senior Partner at McKinsey &amp; Company, and Alexandra </w:t>
      </w:r>
      <w:proofErr w:type="spellStart"/>
      <w:r w:rsidRPr="00005719">
        <w:t>Zemp</w:t>
      </w:r>
      <w:proofErr w:type="spellEnd"/>
      <w:r w:rsidRPr="00005719">
        <w:t>, Partner at McKinsey &amp; Company</w:t>
      </w:r>
      <w:r>
        <w:t>]</w:t>
      </w:r>
      <w:r w:rsidRPr="00005719">
        <w:t xml:space="preserve"> “What’s ahead for biotech: Another wave or low tide?“,  McKinsey &amp; Company, 4-30-2021, </w:t>
      </w:r>
      <w:hyperlink r:id="rId19" w:history="1">
        <w:r w:rsidRPr="00005719">
          <w:rPr>
            <w:rStyle w:val="Hyperlink"/>
          </w:rPr>
          <w:t>https://www.mckinsey.com/industries/pharmaceuticals-and-medical-products/our-insights/whats-ahead-for-biotech-another-wave-or-low-tide</w:t>
        </w:r>
      </w:hyperlink>
      <w:r w:rsidRPr="00005719">
        <w:t xml:space="preserve"> </w:t>
      </w:r>
      <w:r>
        <w:t>//</w:t>
      </w:r>
      <w:proofErr w:type="spellStart"/>
      <w:r>
        <w:t>ajs</w:t>
      </w:r>
      <w:proofErr w:type="spellEnd"/>
      <w:r w:rsidRPr="00005719">
        <w:t xml:space="preserve">  </w:t>
      </w:r>
    </w:p>
    <w:p w14:paraId="4E8E2315" w14:textId="77777777" w:rsidR="00825666" w:rsidRPr="00005719" w:rsidRDefault="00825666" w:rsidP="00825666">
      <w:r w:rsidRPr="00005719">
        <w:t xml:space="preserve">As the pandemic spread across the globe in early 2020, biotech leaders were initially pessimistic, reassessing their cash position and financing constraints. When McKinsey and </w:t>
      </w:r>
      <w:proofErr w:type="spellStart"/>
      <w:r w:rsidRPr="00005719">
        <w:t>BioCentury</w:t>
      </w:r>
      <w:proofErr w:type="spellEnd"/>
      <w:r w:rsidRPr="00005719">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3DE4BA24" w14:textId="77777777" w:rsidR="00825666" w:rsidRPr="00005719" w:rsidRDefault="00825666" w:rsidP="00825666">
      <w:r w:rsidRPr="00005719">
        <w:t xml:space="preserve">Belying this downbeat mood, </w:t>
      </w:r>
      <w:r w:rsidRPr="003D797F">
        <w:rPr>
          <w:rStyle w:val="StyleUnderline"/>
          <w:highlight w:val="green"/>
        </w:rPr>
        <w:t>biotech</w:t>
      </w:r>
      <w:r w:rsidRPr="00005719">
        <w:rPr>
          <w:rStyle w:val="StyleUnderline"/>
        </w:rPr>
        <w:t xml:space="preserve"> has in fact had one of its best years so far. By</w:t>
      </w:r>
      <w:r w:rsidRPr="00005719">
        <w:t xml:space="preserve"> January </w:t>
      </w:r>
      <w:r w:rsidRPr="00005719">
        <w:rPr>
          <w:rStyle w:val="StyleUnderline"/>
        </w:rPr>
        <w:t xml:space="preserve">2021, </w:t>
      </w:r>
      <w:r w:rsidRPr="003D797F">
        <w:rPr>
          <w:rStyle w:val="StyleUnderline"/>
          <w:highlight w:val="green"/>
        </w:rPr>
        <w:t>venture capitalists</w:t>
      </w:r>
      <w:r w:rsidRPr="00005719">
        <w:rPr>
          <w:rStyle w:val="StyleUnderline"/>
        </w:rPr>
        <w:t xml:space="preserve"> had </w:t>
      </w:r>
      <w:r w:rsidRPr="003D797F">
        <w:rPr>
          <w:rStyle w:val="StyleUnderline"/>
          <w:highlight w:val="green"/>
        </w:rPr>
        <w:t>invested</w:t>
      </w:r>
      <w:r w:rsidRPr="00005719">
        <w:rPr>
          <w:rStyle w:val="StyleUnderline"/>
        </w:rPr>
        <w:t xml:space="preserve"> some </w:t>
      </w:r>
      <w:r w:rsidRPr="003D797F">
        <w:rPr>
          <w:rStyle w:val="StyleUnderline"/>
          <w:highlight w:val="green"/>
        </w:rPr>
        <w:t>60 percent more</w:t>
      </w:r>
      <w:r w:rsidRPr="00005719">
        <w:rPr>
          <w:rStyle w:val="StyleUnderline"/>
        </w:rPr>
        <w:t xml:space="preserve"> than</w:t>
      </w:r>
      <w:r w:rsidRPr="00005719">
        <w:t xml:space="preserve"> they had in January </w:t>
      </w:r>
      <w:r w:rsidRPr="00005719">
        <w:rPr>
          <w:rStyle w:val="StyleUnderline"/>
        </w:rPr>
        <w:t>2020</w:t>
      </w:r>
      <w:r w:rsidRPr="00005719">
        <w:t xml:space="preserve">, with more than </w:t>
      </w:r>
      <w:r w:rsidRPr="003D797F">
        <w:rPr>
          <w:rStyle w:val="StyleUnderline"/>
          <w:highlight w:val="green"/>
        </w:rPr>
        <w:t>$3 billion invested</w:t>
      </w:r>
      <w:r w:rsidRPr="003D797F">
        <w:rPr>
          <w:rStyle w:val="StyleUnderline"/>
        </w:rPr>
        <w:t xml:space="preserve"> worldwide </w:t>
      </w:r>
      <w:r w:rsidRPr="003D797F">
        <w:rPr>
          <w:rStyle w:val="StyleUnderline"/>
          <w:highlight w:val="green"/>
        </w:rPr>
        <w:t>in January 2021</w:t>
      </w:r>
      <w:r w:rsidRPr="003D797F">
        <w:rPr>
          <w:rStyle w:val="StyleUnderline"/>
        </w:rPr>
        <w:t xml:space="preserve"> alone.5 IPO</w:t>
      </w:r>
      <w:r w:rsidRPr="00005719">
        <w:rPr>
          <w:rStyle w:val="StyleUnderline"/>
        </w:rPr>
        <w:t xml:space="preserve"> activity grew strongly: there were 19 more closures than in the same period in </w:t>
      </w:r>
      <w:r w:rsidRPr="003D797F">
        <w:rPr>
          <w:rStyle w:val="StyleUnderline"/>
        </w:rPr>
        <w:t>2020, with an average of $150 million per raise, 17 percent more than in 2020</w:t>
      </w:r>
      <w:r w:rsidRPr="00005719">
        <w:t xml:space="preserve">. Other deals have also had a bumper start to 2021, with </w:t>
      </w:r>
      <w:r w:rsidRPr="00005719">
        <w:rPr>
          <w:rStyle w:val="StyleUnderline"/>
        </w:rPr>
        <w:t xml:space="preserve">the </w:t>
      </w:r>
      <w:r w:rsidRPr="003D797F">
        <w:rPr>
          <w:rStyle w:val="StyleUnderline"/>
          <w:highlight w:val="green"/>
        </w:rPr>
        <w:t>average deal size</w:t>
      </w:r>
      <w:r w:rsidRPr="00005719">
        <w:rPr>
          <w:rStyle w:val="StyleUnderline"/>
        </w:rPr>
        <w:t xml:space="preserve"> reaching more than $500 million, </w:t>
      </w:r>
      <w:r w:rsidRPr="003D797F">
        <w:rPr>
          <w:rStyle w:val="StyleUnderline"/>
          <w:highlight w:val="green"/>
        </w:rPr>
        <w:t>up</w:t>
      </w:r>
      <w:r w:rsidRPr="00005719">
        <w:rPr>
          <w:rStyle w:val="StyleUnderline"/>
        </w:rPr>
        <w:t xml:space="preserve"> by </w:t>
      </w:r>
      <w:r w:rsidRPr="003D797F">
        <w:rPr>
          <w:rStyle w:val="StyleUnderline"/>
        </w:rPr>
        <w:t xml:space="preserve">more than </w:t>
      </w:r>
      <w:r w:rsidRPr="003D797F">
        <w:rPr>
          <w:rStyle w:val="StyleUnderline"/>
          <w:highlight w:val="green"/>
        </w:rPr>
        <w:t>66 percent</w:t>
      </w:r>
      <w:r w:rsidRPr="00005719">
        <w:rPr>
          <w:rStyle w:val="StyleUnderline"/>
        </w:rPr>
        <w:t xml:space="preserve"> on the 2020 average</w:t>
      </w:r>
      <w:r w:rsidRPr="00005719">
        <w:t xml:space="preserve"> (Exhibit 3).6</w:t>
      </w:r>
    </w:p>
    <w:p w14:paraId="0AC5C4EF" w14:textId="77777777" w:rsidR="00825666" w:rsidRPr="00005719" w:rsidRDefault="00825666" w:rsidP="00825666">
      <w:r w:rsidRPr="00005719">
        <w:t>What about SPACs?</w:t>
      </w:r>
    </w:p>
    <w:p w14:paraId="6020ADBC" w14:textId="77777777" w:rsidR="00825666" w:rsidRPr="00005719" w:rsidRDefault="00825666" w:rsidP="00825666">
      <w:r w:rsidRPr="00005719">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005719">
        <w:t>biotechs</w:t>
      </w:r>
      <w:proofErr w:type="spellEnd"/>
      <w:r w:rsidRPr="00005719">
        <w:t xml:space="preserve"> may be part of their story.</w:t>
      </w:r>
    </w:p>
    <w:p w14:paraId="60B5E5E1" w14:textId="77777777" w:rsidR="00825666" w:rsidRPr="00005719" w:rsidRDefault="00825666" w:rsidP="00825666">
      <w:r w:rsidRPr="00005719">
        <w:t>Fundamentals continue strong</w:t>
      </w:r>
    </w:p>
    <w:p w14:paraId="3D40C7BF" w14:textId="77777777" w:rsidR="00825666" w:rsidRPr="00005719" w:rsidRDefault="00825666" w:rsidP="00825666">
      <w:pPr>
        <w:rPr>
          <w:rStyle w:val="StyleUnderline"/>
        </w:rPr>
      </w:pPr>
      <w:r w:rsidRPr="00005719">
        <w:t xml:space="preserve">When we asked executives and investors why </w:t>
      </w:r>
      <w:r w:rsidRPr="00005719">
        <w:rPr>
          <w:rStyle w:val="StyleUnderline"/>
        </w:rPr>
        <w:t xml:space="preserve">the </w:t>
      </w:r>
      <w:r w:rsidRPr="003D797F">
        <w:rPr>
          <w:rStyle w:val="StyleUnderline"/>
          <w:highlight w:val="green"/>
        </w:rPr>
        <w:t>biotech sector</w:t>
      </w:r>
      <w:r w:rsidRPr="00005719">
        <w:rPr>
          <w:rStyle w:val="StyleUnderline"/>
        </w:rPr>
        <w:t xml:space="preserve"> had </w:t>
      </w:r>
      <w:r w:rsidRPr="003D797F">
        <w:rPr>
          <w:rStyle w:val="StyleUnderline"/>
          <w:highlight w:val="green"/>
        </w:rPr>
        <w:t>stayed</w:t>
      </w:r>
      <w:r w:rsidRPr="00005719">
        <w:rPr>
          <w:rStyle w:val="StyleUnderline"/>
        </w:rPr>
        <w:t xml:space="preserve"> so </w:t>
      </w:r>
      <w:r w:rsidRPr="003D797F">
        <w:rPr>
          <w:rStyle w:val="StyleUnderline"/>
          <w:highlight w:val="green"/>
        </w:rPr>
        <w:t>resilient</w:t>
      </w:r>
      <w:r w:rsidRPr="00005719">
        <w:rPr>
          <w:rStyle w:val="StyleUnderline"/>
        </w:rPr>
        <w:t xml:space="preserve"> </w:t>
      </w:r>
      <w:r w:rsidRPr="00005719">
        <w:t xml:space="preserve">during the worst economic crisis in decades, they cited </w:t>
      </w:r>
      <w:r w:rsidRPr="00005719">
        <w:rPr>
          <w:rStyle w:val="StyleUnderline"/>
        </w:rPr>
        <w:t>innovation</w:t>
      </w:r>
      <w:r w:rsidRPr="00005719">
        <w:t xml:space="preserve"> as the main reason. The number of assets transitioning to clinical phases is still rising, and </w:t>
      </w:r>
      <w:r w:rsidRPr="00005719">
        <w:rPr>
          <w:rStyle w:val="StyleUnderline"/>
        </w:rPr>
        <w:t xml:space="preserve">further waves of </w:t>
      </w:r>
      <w:r w:rsidRPr="003D797F">
        <w:rPr>
          <w:rStyle w:val="StyleUnderline"/>
          <w:highlight w:val="green"/>
        </w:rPr>
        <w:t>innovation</w:t>
      </w:r>
      <w:r w:rsidRPr="00005719">
        <w:rPr>
          <w:rStyle w:val="StyleUnderline"/>
        </w:rPr>
        <w:t xml:space="preserve"> are </w:t>
      </w:r>
      <w:r w:rsidRPr="003D797F">
        <w:rPr>
          <w:rStyle w:val="StyleUnderline"/>
          <w:highlight w:val="green"/>
        </w:rPr>
        <w:t>on the horizon</w:t>
      </w:r>
      <w:r w:rsidRPr="00005719">
        <w:rPr>
          <w:rStyle w:val="StyleUnderline"/>
        </w:rPr>
        <w:t>, driven by the convergence of biological and technological advances.</w:t>
      </w:r>
    </w:p>
    <w:p w14:paraId="793BD083" w14:textId="77777777" w:rsidR="00825666" w:rsidRPr="00005719" w:rsidRDefault="00825666" w:rsidP="00825666">
      <w:pPr>
        <w:rPr>
          <w:rStyle w:val="StyleUnderline"/>
        </w:rPr>
      </w:pPr>
      <w:r w:rsidRPr="00005719">
        <w:t xml:space="preserve">In the present day, many </w:t>
      </w:r>
      <w:proofErr w:type="spellStart"/>
      <w:r w:rsidRPr="00005719">
        <w:t>biotechs</w:t>
      </w:r>
      <w:proofErr w:type="spellEnd"/>
      <w:r w:rsidRPr="00005719">
        <w:t xml:space="preserve">, along with the wider pharmaceutical industry, are taking steps to address the COVID-19 pandemic. Together, </w:t>
      </w:r>
      <w:proofErr w:type="spellStart"/>
      <w:r w:rsidRPr="00005719">
        <w:t>biotechs</w:t>
      </w:r>
      <w:proofErr w:type="spellEnd"/>
      <w:r w:rsidRPr="00005719">
        <w:t xml:space="preserve"> and pharma companies have </w:t>
      </w:r>
      <w:hyperlink r:id="rId20" w:history="1">
        <w:r w:rsidRPr="00005719">
          <w:rPr>
            <w:rStyle w:val="Hyperlink"/>
          </w:rPr>
          <w:t>more than 250 vaccine candidates in their pipelines</w:t>
        </w:r>
      </w:hyperlink>
      <w:r w:rsidRPr="00005719">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05719">
        <w:rPr>
          <w:rStyle w:val="StyleUnderline"/>
        </w:rPr>
        <w:t xml:space="preserve">the world has been living through a time of </w:t>
      </w:r>
      <w:r w:rsidRPr="003D797F">
        <w:rPr>
          <w:rStyle w:val="StyleUnderline"/>
          <w:highlight w:val="green"/>
        </w:rPr>
        <w:t>mass</w:t>
      </w:r>
      <w:r w:rsidRPr="00005719">
        <w:rPr>
          <w:rStyle w:val="StyleUnderline"/>
        </w:rPr>
        <w:t xml:space="preserve"> education in </w:t>
      </w:r>
      <w:r w:rsidRPr="003D797F">
        <w:rPr>
          <w:rStyle w:val="StyleUnderline"/>
          <w:highlight w:val="green"/>
        </w:rPr>
        <w:t>science r</w:t>
      </w:r>
      <w:r w:rsidRPr="00005719">
        <w:rPr>
          <w:rStyle w:val="StyleUnderline"/>
        </w:rPr>
        <w:t xml:space="preserve">esearch </w:t>
      </w:r>
      <w:r w:rsidRPr="003D797F">
        <w:rPr>
          <w:rStyle w:val="StyleUnderline"/>
          <w:highlight w:val="green"/>
        </w:rPr>
        <w:t>and d</w:t>
      </w:r>
      <w:r w:rsidRPr="00005719">
        <w:rPr>
          <w:rStyle w:val="StyleUnderline"/>
        </w:rPr>
        <w:t>evelopment.</w:t>
      </w:r>
    </w:p>
    <w:p w14:paraId="06BB2189" w14:textId="77777777" w:rsidR="00825666" w:rsidRPr="00005719" w:rsidRDefault="00825666" w:rsidP="00825666">
      <w:r w:rsidRPr="003D797F">
        <w:rPr>
          <w:rStyle w:val="StyleUnderline"/>
          <w:highlight w:val="green"/>
        </w:rPr>
        <w:t>Biotech</w:t>
      </w:r>
      <w:r w:rsidRPr="00005719">
        <w:rPr>
          <w:rStyle w:val="StyleUnderline"/>
        </w:rPr>
        <w:t xml:space="preserve"> has also benefited from its </w:t>
      </w:r>
      <w:r w:rsidRPr="003D797F">
        <w:rPr>
          <w:rStyle w:val="StyleUnderline"/>
          <w:highlight w:val="green"/>
        </w:rPr>
        <w:t>innate financial resilience</w:t>
      </w:r>
      <w:r w:rsidRPr="00005719">
        <w:rPr>
          <w:rStyle w:val="StyleUnderline"/>
        </w:rPr>
        <w:t xml:space="preserve">. </w:t>
      </w:r>
      <w:r w:rsidRPr="003D797F">
        <w:rPr>
          <w:rStyle w:val="StyleUnderline"/>
        </w:rPr>
        <w:t>Healthcare</w:t>
      </w:r>
      <w:r w:rsidRPr="00005719">
        <w:t xml:space="preserve"> </w:t>
      </w:r>
      <w:proofErr w:type="gramStart"/>
      <w:r w:rsidRPr="00005719">
        <w:t xml:space="preserve">as a whole </w:t>
      </w:r>
      <w:r w:rsidRPr="00005719">
        <w:rPr>
          <w:rStyle w:val="StyleUnderline"/>
        </w:rPr>
        <w:t>is</w:t>
      </w:r>
      <w:proofErr w:type="gramEnd"/>
      <w:r w:rsidRPr="00005719">
        <w:rPr>
          <w:rStyle w:val="StyleUnderline"/>
        </w:rPr>
        <w:t xml:space="preserve"> </w:t>
      </w:r>
      <w:r w:rsidRPr="003D797F">
        <w:rPr>
          <w:rStyle w:val="StyleUnderline"/>
          <w:highlight w:val="green"/>
        </w:rPr>
        <w:t>less dependent on economic cycles</w:t>
      </w:r>
      <w:r w:rsidRPr="00005719">
        <w:t xml:space="preserve"> than most other industries. Biotech is an innovator, actively identifying and addressing patients’ unmet needs. In </w:t>
      </w:r>
      <w:r w:rsidRPr="003D797F">
        <w:t>addition,</w:t>
      </w:r>
      <w:r w:rsidRPr="00005719">
        <w:rPr>
          <w:rStyle w:val="StyleUnderline"/>
        </w:rPr>
        <w:t xml:space="preserve"> </w:t>
      </w:r>
      <w:proofErr w:type="spellStart"/>
      <w:r w:rsidRPr="00005719">
        <w:rPr>
          <w:rStyle w:val="StyleUnderline"/>
        </w:rPr>
        <w:t>biotechs</w:t>
      </w:r>
      <w:proofErr w:type="spellEnd"/>
      <w:r w:rsidRPr="00005719">
        <w:rPr>
          <w:rStyle w:val="StyleUnderline"/>
        </w:rPr>
        <w:t>’ top-line revenues have been less affected by lockdowns</w:t>
      </w:r>
      <w:r w:rsidRPr="00005719">
        <w:t xml:space="preserve"> than is the case in most other industries.</w:t>
      </w:r>
    </w:p>
    <w:p w14:paraId="540246A1" w14:textId="77777777" w:rsidR="00825666" w:rsidRPr="00005719" w:rsidRDefault="00825666" w:rsidP="00825666">
      <w:r w:rsidRPr="00005719">
        <w:t xml:space="preserve">Another factor acting in the sector’s favor is that </w:t>
      </w:r>
      <w:r w:rsidRPr="00005719">
        <w:rPr>
          <w:rStyle w:val="StyleUnderline"/>
        </w:rPr>
        <w:t xml:space="preserve">larger pharmaceutical companies still rely on </w:t>
      </w:r>
      <w:proofErr w:type="spellStart"/>
      <w:r w:rsidRPr="00005719">
        <w:rPr>
          <w:rStyle w:val="StyleUnderline"/>
        </w:rPr>
        <w:t>biotechs</w:t>
      </w:r>
      <w:proofErr w:type="spellEnd"/>
      <w:r w:rsidRPr="00005719">
        <w:rPr>
          <w:rStyle w:val="StyleUnderline"/>
        </w:rPr>
        <w:t xml:space="preserve"> as a source of innovation.</w:t>
      </w:r>
      <w:r w:rsidRPr="00005719">
        <w:t xml:space="preserve"> With </w:t>
      </w:r>
      <w:r w:rsidRPr="00005719">
        <w:rPr>
          <w:rStyle w:val="StyleUnderline"/>
        </w:rPr>
        <w:t xml:space="preserve">the </w:t>
      </w:r>
      <w:hyperlink r:id="rId21" w:history="1">
        <w:r w:rsidRPr="00005719">
          <w:rPr>
            <w:rStyle w:val="StyleUnderline"/>
          </w:rPr>
          <w:t>top dozen pharma companies</w:t>
        </w:r>
      </w:hyperlink>
      <w:r w:rsidRPr="00005719">
        <w:rPr>
          <w:rStyle w:val="StyleUnderline"/>
        </w:rPr>
        <w:t xml:space="preserve"> having more than $170 billion in excess reserves</w:t>
      </w:r>
      <w:r w:rsidRPr="00005719">
        <w:t xml:space="preserve"> that could be available </w:t>
      </w:r>
      <w:r w:rsidRPr="00005719">
        <w:rPr>
          <w:rStyle w:val="StyleUnderline"/>
        </w:rPr>
        <w:t>for spending on M&amp;A,</w:t>
      </w:r>
      <w:r w:rsidRPr="00005719">
        <w:t xml:space="preserve"> the prospects for further financing and deal making look promising.</w:t>
      </w:r>
    </w:p>
    <w:p w14:paraId="765C81BA" w14:textId="77777777" w:rsidR="00825666" w:rsidRPr="00005719" w:rsidRDefault="00825666" w:rsidP="00825666">
      <w:r w:rsidRPr="00005719">
        <w:t xml:space="preserve">For these and other reasons, </w:t>
      </w:r>
      <w:r w:rsidRPr="00005719">
        <w:rPr>
          <w:rStyle w:val="StyleUnderline"/>
        </w:rPr>
        <w:t xml:space="preserve">many investors regard biotech as </w:t>
      </w:r>
      <w:proofErr w:type="gramStart"/>
      <w:r w:rsidRPr="00005719">
        <w:rPr>
          <w:rStyle w:val="StyleUnderline"/>
        </w:rPr>
        <w:t>a safe haven</w:t>
      </w:r>
      <w:proofErr w:type="gramEnd"/>
      <w:r w:rsidRPr="00005719">
        <w:rPr>
          <w:rStyle w:val="StyleUnderline"/>
        </w:rPr>
        <w:t xml:space="preserve">. </w:t>
      </w:r>
      <w:r w:rsidRPr="00005719">
        <w:t>One interviewee felt it had benefited from a halo effect during the pandemic.</w:t>
      </w:r>
    </w:p>
    <w:p w14:paraId="55E9A458" w14:textId="77777777" w:rsidR="00825666" w:rsidRPr="00005719" w:rsidRDefault="00825666" w:rsidP="00825666">
      <w:r w:rsidRPr="00005719">
        <w:t>More innovation on the horizon</w:t>
      </w:r>
    </w:p>
    <w:p w14:paraId="7F52B3D5" w14:textId="77777777" w:rsidR="00825666" w:rsidRPr="00005719" w:rsidRDefault="00825666" w:rsidP="00825666">
      <w:r w:rsidRPr="00005719">
        <w:t xml:space="preserve">The investors and executives we interviewed agreed that </w:t>
      </w:r>
      <w:r w:rsidRPr="00005719">
        <w:rPr>
          <w:rStyle w:val="StyleUnderline"/>
        </w:rPr>
        <w:t xml:space="preserve">biotech </w:t>
      </w:r>
      <w:r w:rsidRPr="003D797F">
        <w:rPr>
          <w:rStyle w:val="StyleUnderline"/>
          <w:highlight w:val="green"/>
        </w:rPr>
        <w:t>innovation continues to increase in quality and quantity</w:t>
      </w:r>
      <w:r w:rsidRPr="00005719">
        <w:rPr>
          <w:rStyle w:val="StyleUnderline"/>
        </w:rPr>
        <w:t xml:space="preserve"> despite the macroeconomic environment</w:t>
      </w:r>
      <w:r w:rsidRPr="00005719">
        <w:t xml:space="preserve">. Evidence can be seen in the accelerating pace of assets transitioning across the development lifecycle. When we tracked the number of assets transitioning to Phase I, Phase II, and Phase III clinical trials, we found that Phase I and Phase II </w:t>
      </w:r>
      <w:r w:rsidRPr="00005719">
        <w:rPr>
          <w:rStyle w:val="StyleUnderline"/>
        </w:rPr>
        <w:t xml:space="preserve">assets have transitioned 50 percent faster since 2018 </w:t>
      </w:r>
      <w:r w:rsidRPr="00005719">
        <w:t xml:space="preserve">than between 2013 and 2018, whereas Phase III assets have maintained much the same pace. There could be many reasons for this, but it is worth noting that </w:t>
      </w:r>
      <w:proofErr w:type="spellStart"/>
      <w:r w:rsidRPr="00005719">
        <w:t>biotechs</w:t>
      </w:r>
      <w:proofErr w:type="spellEnd"/>
      <w:r w:rsidRPr="00005719">
        <w:t xml:space="preserve"> with Phase I and Phase II assets as their lead assets have accounted for more than half of biotech IPOs. Having an early IPO gives a biotech earlier access to capital and leaves it with more scope to concentrate on science.</w:t>
      </w:r>
    </w:p>
    <w:p w14:paraId="22C9F9DA" w14:textId="77777777" w:rsidR="00825666" w:rsidRPr="00005719" w:rsidRDefault="00825666" w:rsidP="00825666">
      <w:r w:rsidRPr="00005719">
        <w:t xml:space="preserve">Looking forward, the combination of advances in biological science and accelerating developments in technology and artificial intelligence has the potential to take innovation to a new level. A </w:t>
      </w:r>
      <w:hyperlink r:id="rId22" w:history="1">
        <w:r w:rsidRPr="00005719">
          <w:rPr>
            <w:rStyle w:val="Hyperlink"/>
          </w:rPr>
          <w:t>recent report</w:t>
        </w:r>
      </w:hyperlink>
      <w:r w:rsidRPr="00005719">
        <w:t xml:space="preserve"> from the McKinsey Global Institute analyzed the profound economic and social impact of biological innovation and found that biomolecules, biosystems, </w:t>
      </w:r>
      <w:proofErr w:type="spellStart"/>
      <w:r w:rsidRPr="00005719">
        <w:t>biomachines</w:t>
      </w:r>
      <w:proofErr w:type="spellEnd"/>
      <w:r w:rsidRPr="00005719">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3982E342" w14:textId="77777777" w:rsidR="00825666" w:rsidRPr="00005719" w:rsidRDefault="00825666" w:rsidP="00825666">
      <w:pPr>
        <w:tabs>
          <w:tab w:val="left" w:pos="1433"/>
        </w:tabs>
      </w:pPr>
    </w:p>
    <w:p w14:paraId="6D552441" w14:textId="77777777" w:rsidR="00825666" w:rsidRDefault="00825666" w:rsidP="00825666">
      <w:pPr>
        <w:pStyle w:val="Heading4"/>
        <w:rPr>
          <w:rFonts w:cs="Calibri"/>
        </w:rPr>
      </w:pPr>
      <w:r>
        <w:rPr>
          <w:rFonts w:cs="Calibri"/>
        </w:rPr>
        <w:t xml:space="preserve">Strong IPR is key to innovation – empirics and FDI </w:t>
      </w:r>
    </w:p>
    <w:p w14:paraId="765CC42D" w14:textId="77777777" w:rsidR="00825666" w:rsidRDefault="00825666" w:rsidP="00825666">
      <w:r w:rsidRPr="00CD41EB">
        <w:rPr>
          <w:rStyle w:val="StyleUnderline"/>
        </w:rPr>
        <w:t>Ezell and Cory 19</w:t>
      </w:r>
      <w:r>
        <w:t xml:space="preserve"> [Stephen Ezell, BS from</w:t>
      </w:r>
      <w:r w:rsidRPr="00CD41EB">
        <w:t xml:space="preserve"> School of Foreign Service at Georgetown</w:t>
      </w:r>
      <w:r>
        <w:t xml:space="preserve">, VP of global innovation policy at </w:t>
      </w:r>
      <w:r w:rsidRPr="00CD41EB">
        <w:t>Information Technology and Innovation Foundation</w:t>
      </w:r>
      <w:r>
        <w:t xml:space="preserve">. </w:t>
      </w:r>
      <w:r w:rsidRPr="00CD41EB">
        <w:t>Nigel</w:t>
      </w:r>
      <w:r>
        <w:t xml:space="preserve"> Cory</w:t>
      </w:r>
      <w:r w:rsidRPr="00CD41EB">
        <w:t>,</w:t>
      </w:r>
      <w:r>
        <w:t xml:space="preserve"> MA in public policy from Georgetown, BA in international business from Griffith University,</w:t>
      </w:r>
      <w:r w:rsidRPr="00CD41EB">
        <w:t xml:space="preserve"> </w:t>
      </w:r>
      <w:r>
        <w:t>A</w:t>
      </w:r>
      <w:r w:rsidRPr="00CD41EB">
        <w:t xml:space="preserve">ssociate </w:t>
      </w:r>
      <w:r>
        <w:t>D</w:t>
      </w:r>
      <w:r w:rsidRPr="00CD41EB">
        <w:t xml:space="preserve">irector </w:t>
      </w:r>
      <w:r>
        <w:t xml:space="preserve">of </w:t>
      </w:r>
      <w:r w:rsidRPr="00CD41EB">
        <w:t>trade policy at Information Technology and Innovation Foundation, former researcher in the Southeast Asia Program at the Center for Strategic and International Studies</w:t>
      </w:r>
      <w:r>
        <w:t>.]</w:t>
      </w:r>
      <w:r w:rsidRPr="00CD41EB">
        <w:t xml:space="preserve"> “The Way Forward for Intellectual Property Internationally,” Information Technology and Innovation Foundation, </w:t>
      </w:r>
      <w:r>
        <w:t xml:space="preserve">April 25, 2019, </w:t>
      </w:r>
      <w:hyperlink r:id="rId23" w:history="1">
        <w:r w:rsidRPr="00404B84">
          <w:rPr>
            <w:rStyle w:val="Hyperlink"/>
          </w:rPr>
          <w:t>https://itif.org/publications/2019/04/25/way-forward-intellectual-property-internationally</w:t>
        </w:r>
      </w:hyperlink>
      <w:r>
        <w:t xml:space="preserve"> TG</w:t>
      </w:r>
    </w:p>
    <w:p w14:paraId="5FDEE835" w14:textId="77777777" w:rsidR="00825666" w:rsidRPr="00CD41EB" w:rsidRDefault="00825666" w:rsidP="00825666">
      <w:pPr>
        <w:pStyle w:val="ListParagraph"/>
        <w:numPr>
          <w:ilvl w:val="0"/>
          <w:numId w:val="15"/>
        </w:numPr>
      </w:pPr>
      <w:r>
        <w:t>FDI – foreign direct investment</w:t>
      </w:r>
    </w:p>
    <w:p w14:paraId="057F2ED2" w14:textId="77777777" w:rsidR="00825666" w:rsidRPr="00CD41EB" w:rsidRDefault="00825666" w:rsidP="00825666">
      <w:pPr>
        <w:rPr>
          <w:rStyle w:val="StyleUnderline"/>
        </w:rPr>
      </w:pPr>
      <w:r w:rsidRPr="001F7834">
        <w:rPr>
          <w:rStyle w:val="StyleUnderline"/>
          <w:highlight w:val="green"/>
        </w:rPr>
        <w:t>IPRs</w:t>
      </w:r>
      <w:r w:rsidRPr="00CD41EB">
        <w:rPr>
          <w:rStyle w:val="StyleUnderline"/>
        </w:rPr>
        <w:t xml:space="preserve"> Strengthen Innovation</w:t>
      </w:r>
    </w:p>
    <w:p w14:paraId="7B33E189" w14:textId="77777777" w:rsidR="00825666" w:rsidRPr="00CD41EB" w:rsidRDefault="00825666" w:rsidP="00825666">
      <w:r w:rsidRPr="00CD41EB">
        <w:rPr>
          <w:rStyle w:val="StyleUnderline"/>
        </w:rPr>
        <w:t xml:space="preserve">Intellectual property rights </w:t>
      </w:r>
      <w:r w:rsidRPr="001F7834">
        <w:rPr>
          <w:rStyle w:val="StyleUnderline"/>
          <w:highlight w:val="green"/>
        </w:rPr>
        <w:t>power innovation</w:t>
      </w:r>
      <w:r w:rsidRPr="00CD41EB">
        <w:t xml:space="preserve">. For instance, analyzing the level of intellectual property protections (via the World Economic Forum’s Global Competitiveness reports) and creative outputs (via the Global Innovation Index) shows that </w:t>
      </w:r>
      <w:r w:rsidRPr="00CD41EB">
        <w:rPr>
          <w:rStyle w:val="StyleUnderline"/>
        </w:rPr>
        <w:t>countries with stronger IP protection have more creative outputs</w:t>
      </w:r>
      <w:r w:rsidRPr="00CD41EB">
        <w:t xml:space="preserve"> (in terms of intangible assets and creative goods and services in a nation’s media, printing and publishing, and entertainment industries, including online), even at varying levels of development.46</w:t>
      </w:r>
    </w:p>
    <w:p w14:paraId="10604E44" w14:textId="77777777" w:rsidR="00825666" w:rsidRPr="00CD41EB" w:rsidRDefault="00825666" w:rsidP="00825666">
      <w:r w:rsidRPr="00CD41EB">
        <w:rPr>
          <w:rStyle w:val="StyleUnderline"/>
        </w:rPr>
        <w:t xml:space="preserve">IPR reforms also introduce strong incentives for domestic innovation. Sherwood, using </w:t>
      </w:r>
      <w:r w:rsidRPr="001F7834">
        <w:rPr>
          <w:rStyle w:val="StyleUnderline"/>
          <w:highlight w:val="green"/>
        </w:rPr>
        <w:t>case studies from 18</w:t>
      </w:r>
      <w:r w:rsidRPr="00CD41EB">
        <w:rPr>
          <w:rStyle w:val="StyleUnderline"/>
        </w:rPr>
        <w:t xml:space="preserve"> developing </w:t>
      </w:r>
      <w:r w:rsidRPr="001F7834">
        <w:rPr>
          <w:rStyle w:val="StyleUnderline"/>
          <w:highlight w:val="green"/>
        </w:rPr>
        <w:t>countries, concluded</w:t>
      </w:r>
      <w:r w:rsidRPr="00CD41EB">
        <w:rPr>
          <w:rStyle w:val="StyleUnderline"/>
        </w:rPr>
        <w:t xml:space="preserve"> that </w:t>
      </w:r>
      <w:r w:rsidRPr="001F7834">
        <w:rPr>
          <w:rStyle w:val="StyleUnderline"/>
          <w:highlight w:val="green"/>
        </w:rPr>
        <w:t>poor</w:t>
      </w:r>
      <w:r w:rsidRPr="00CD41EB">
        <w:rPr>
          <w:rStyle w:val="StyleUnderline"/>
        </w:rPr>
        <w:t xml:space="preserve"> provision of </w:t>
      </w:r>
      <w:r w:rsidRPr="001F7834">
        <w:rPr>
          <w:rStyle w:val="StyleUnderline"/>
          <w:highlight w:val="green"/>
        </w:rPr>
        <w:t>i</w:t>
      </w:r>
      <w:r w:rsidRPr="00CD41EB">
        <w:rPr>
          <w:rStyle w:val="StyleUnderline"/>
        </w:rPr>
        <w:t xml:space="preserve">ntellectual </w:t>
      </w:r>
      <w:r w:rsidRPr="001F7834">
        <w:rPr>
          <w:rStyle w:val="StyleUnderline"/>
          <w:highlight w:val="green"/>
        </w:rPr>
        <w:t>p</w:t>
      </w:r>
      <w:r w:rsidRPr="00CD41EB">
        <w:rPr>
          <w:rStyle w:val="StyleUnderline"/>
        </w:rPr>
        <w:t xml:space="preserve">roperty </w:t>
      </w:r>
      <w:r w:rsidRPr="001F7834">
        <w:rPr>
          <w:rStyle w:val="StyleUnderline"/>
          <w:highlight w:val="green"/>
        </w:rPr>
        <w:t>r</w:t>
      </w:r>
      <w:r w:rsidRPr="00CD41EB">
        <w:rPr>
          <w:rStyle w:val="StyleUnderline"/>
        </w:rPr>
        <w:t xml:space="preserve">ights </w:t>
      </w:r>
      <w:r w:rsidRPr="001F7834">
        <w:rPr>
          <w:rStyle w:val="StyleUnderline"/>
          <w:highlight w:val="green"/>
        </w:rPr>
        <w:t>deters local innovation</w:t>
      </w:r>
      <w:r w:rsidRPr="00CD41EB">
        <w:rPr>
          <w:rStyle w:val="StyleUnderline"/>
        </w:rPr>
        <w:t xml:space="preserve"> and risk-taking</w:t>
      </w:r>
      <w:r w:rsidRPr="00CD41EB">
        <w:t xml:space="preserve">.47 In contrast, </w:t>
      </w:r>
      <w:r w:rsidRPr="00CD41EB">
        <w:rPr>
          <w:rStyle w:val="StyleUnderline"/>
        </w:rPr>
        <w:t>IPR reform has been associated with increased innovative activity, as measured by domestic patent filings</w:t>
      </w:r>
      <w:r w:rsidRPr="00CD41EB">
        <w:t xml:space="preserve">, albeit with some variation across countries and sectors.48 For example, Ryan, in a study of biomedical innovations and patent reform in Brazil, found that </w:t>
      </w:r>
      <w:r w:rsidRPr="001F7834">
        <w:rPr>
          <w:rStyle w:val="StyleUnderline"/>
          <w:highlight w:val="green"/>
        </w:rPr>
        <w:t>patents</w:t>
      </w:r>
      <w:r w:rsidRPr="00CD41EB">
        <w:rPr>
          <w:rStyle w:val="StyleUnderline"/>
        </w:rPr>
        <w:t xml:space="preserve"> provided incentives for innovation investments and </w:t>
      </w:r>
      <w:r w:rsidRPr="001F7834">
        <w:rPr>
          <w:rStyle w:val="StyleUnderline"/>
          <w:highlight w:val="green"/>
        </w:rPr>
        <w:t>facilitated</w:t>
      </w:r>
      <w:r w:rsidRPr="00CD41EB">
        <w:rPr>
          <w:rStyle w:val="StyleUnderline"/>
        </w:rPr>
        <w:t xml:space="preserve"> the </w:t>
      </w:r>
      <w:r w:rsidRPr="001F7834">
        <w:rPr>
          <w:rStyle w:val="StyleUnderline"/>
          <w:highlight w:val="green"/>
        </w:rPr>
        <w:t>functioning</w:t>
      </w:r>
      <w:r w:rsidRPr="00CD41EB">
        <w:rPr>
          <w:rStyle w:val="StyleUnderline"/>
        </w:rPr>
        <w:t xml:space="preserve"> of </w:t>
      </w:r>
      <w:r w:rsidRPr="001F7834">
        <w:rPr>
          <w:rStyle w:val="StyleUnderline"/>
          <w:highlight w:val="green"/>
        </w:rPr>
        <w:t>tech</w:t>
      </w:r>
      <w:r w:rsidRPr="00CD41EB">
        <w:rPr>
          <w:rStyle w:val="StyleUnderline"/>
        </w:rPr>
        <w:t xml:space="preserve">nology </w:t>
      </w:r>
      <w:r w:rsidRPr="001F7834">
        <w:rPr>
          <w:rStyle w:val="StyleUnderline"/>
          <w:highlight w:val="green"/>
        </w:rPr>
        <w:t>markets</w:t>
      </w:r>
      <w:r w:rsidRPr="00CD41EB">
        <w:t xml:space="preserve">.49 Park and </w:t>
      </w:r>
      <w:proofErr w:type="spellStart"/>
      <w:r w:rsidRPr="00CD41EB">
        <w:t>Lippoldt</w:t>
      </w:r>
      <w:proofErr w:type="spellEnd"/>
      <w:r w:rsidRPr="00CD41EB">
        <w:t xml:space="preserve"> also observed that the </w:t>
      </w:r>
      <w:r w:rsidRPr="00CD41EB">
        <w:rPr>
          <w:rStyle w:val="StyleUnderline"/>
        </w:rPr>
        <w:t>provision of adequate protection for IPRs can help to stimulate local innovation, in some cases building on the transfer of technologies that provide inputs and spillovers</w:t>
      </w:r>
      <w:r w:rsidRPr="00CD41EB">
        <w:t xml:space="preserve">.50 In other words, local innovators are introduced to technologies first through the technology transfer that takes place in an environment wherein protection of IPRs is assured; then, they may build on those ideas to create an evolved product or develop alternate approaches (i.e., to innovate). Related research finds that </w:t>
      </w:r>
      <w:r w:rsidRPr="00CD41EB">
        <w:rPr>
          <w:rStyle w:val="StyleUnderline"/>
        </w:rPr>
        <w:t>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CD41EB">
        <w:t xml:space="preserve">.51 However, </w:t>
      </w:r>
      <w:proofErr w:type="spellStart"/>
      <w:r w:rsidRPr="00CD41EB">
        <w:t>Maskus</w:t>
      </w:r>
      <w:proofErr w:type="spellEnd"/>
      <w:r w:rsidRPr="00CD41EB">
        <w:t xml:space="preserve"> notes that </w:t>
      </w:r>
      <w:r w:rsidRPr="00CD41EB">
        <w:rPr>
          <w:rStyle w:val="StyleUnderline"/>
        </w:rPr>
        <w:t>without protection from potential abuse of their newly developed technologies, foreign enterprises may be less willing to reveal technical information</w:t>
      </w:r>
      <w:r w:rsidRPr="00CD41EB">
        <w:t xml:space="preserve"> associated with their innovations.52 The protection of patents and trade secrets provides necessary legal assurances for firms wishing to reveal proprietary characteristics of technologies to subsidiaries and licensees via contracts.</w:t>
      </w:r>
    </w:p>
    <w:p w14:paraId="59A7462B" w14:textId="77777777" w:rsidR="00825666" w:rsidRPr="00CD41EB" w:rsidRDefault="00825666" w:rsidP="00825666">
      <w:r w:rsidRPr="00CD41EB">
        <w:t xml:space="preserve">The </w:t>
      </w:r>
      <w:r w:rsidRPr="001F7834">
        <w:rPr>
          <w:rStyle w:val="StyleUnderline"/>
        </w:rPr>
        <w:t xml:space="preserve">relationship between IPR rights and innovation can also be seen in studies of how the introduction of stronger IPR laws, </w:t>
      </w:r>
      <w:proofErr w:type="gramStart"/>
      <w:r w:rsidRPr="001F7834">
        <w:rPr>
          <w:rStyle w:val="StyleUnderline"/>
        </w:rPr>
        <w:t>with regard to</w:t>
      </w:r>
      <w:proofErr w:type="gramEnd"/>
      <w:r w:rsidRPr="001F7834">
        <w:rPr>
          <w:rStyle w:val="StyleUnderline"/>
        </w:rPr>
        <w:t xml:space="preserve"> patents, copyrights, and trademarks, affect R&amp;D activity in an economy</w:t>
      </w:r>
      <w:r w:rsidRPr="00CD41EB">
        <w:t xml:space="preserve">. Studies by </w:t>
      </w:r>
      <w:proofErr w:type="spellStart"/>
      <w:r w:rsidRPr="00CD41EB">
        <w:t>Varsakelis</w:t>
      </w:r>
      <w:proofErr w:type="spellEnd"/>
      <w:r w:rsidRPr="00CD41EB">
        <w:t xml:space="preserve"> and by Kanwar and Evenson found that </w:t>
      </w:r>
      <w:r w:rsidRPr="001F7834">
        <w:rPr>
          <w:rStyle w:val="StyleUnderline"/>
          <w:highlight w:val="green"/>
        </w:rPr>
        <w:t>R&amp;D to GDP ratios are positively related to</w:t>
      </w:r>
      <w:r w:rsidRPr="001F7834">
        <w:rPr>
          <w:rStyle w:val="StyleUnderline"/>
        </w:rPr>
        <w:t xml:space="preserve"> the </w:t>
      </w:r>
      <w:r w:rsidRPr="001F7834">
        <w:rPr>
          <w:rStyle w:val="StyleUnderline"/>
          <w:highlight w:val="green"/>
        </w:rPr>
        <w:t>strength of patent rights</w:t>
      </w:r>
      <w:r w:rsidRPr="00CD41EB">
        <w:t xml:space="preserve">, and are conditional on other factors.53 Cavazos Cepeda et al. </w:t>
      </w:r>
      <w:r w:rsidRPr="001F7834">
        <w:rPr>
          <w:rStyle w:val="StyleUnderline"/>
        </w:rPr>
        <w:t xml:space="preserve">found a positive influence of IPRs on the level of R&amp;D in an economy, with each </w:t>
      </w:r>
      <w:r w:rsidRPr="001F7834">
        <w:rPr>
          <w:rStyle w:val="StyleUnderline"/>
          <w:highlight w:val="green"/>
        </w:rPr>
        <w:t>1 percent increase in</w:t>
      </w:r>
      <w:r w:rsidRPr="001F7834">
        <w:rPr>
          <w:rStyle w:val="StyleUnderline"/>
        </w:rPr>
        <w:t xml:space="preserve"> the level of protection of </w:t>
      </w:r>
      <w:r w:rsidRPr="001F7834">
        <w:rPr>
          <w:rStyle w:val="StyleUnderline"/>
          <w:highlight w:val="green"/>
        </w:rPr>
        <w:t>IPRs</w:t>
      </w:r>
      <w:r w:rsidRPr="001F7834">
        <w:rPr>
          <w:rStyle w:val="StyleUnderline"/>
        </w:rPr>
        <w:t xml:space="preserve"> in an economy</w:t>
      </w:r>
      <w:r w:rsidRPr="001F7834">
        <w:t xml:space="preserve"> (as measured by improvements to a country’s score in the Patent Rights Index) </w:t>
      </w:r>
      <w:r w:rsidRPr="001F7834">
        <w:rPr>
          <w:rStyle w:val="StyleUnderline"/>
          <w:highlight w:val="green"/>
        </w:rPr>
        <w:t>equating</w:t>
      </w:r>
      <w:r w:rsidRPr="001F7834">
        <w:rPr>
          <w:rStyle w:val="StyleUnderline"/>
        </w:rPr>
        <w:t xml:space="preserve"> to, on average, a </w:t>
      </w:r>
      <w:r w:rsidRPr="001F7834">
        <w:rPr>
          <w:rStyle w:val="StyleUnderline"/>
          <w:highlight w:val="green"/>
        </w:rPr>
        <w:t>0.7 percent increase in</w:t>
      </w:r>
      <w:r w:rsidRPr="001F7834">
        <w:rPr>
          <w:rStyle w:val="StyleUnderline"/>
        </w:rPr>
        <w:t xml:space="preserve"> the </w:t>
      </w:r>
      <w:r w:rsidRPr="001F7834">
        <w:rPr>
          <w:rStyle w:val="StyleUnderline"/>
          <w:highlight w:val="green"/>
        </w:rPr>
        <w:t>domestic</w:t>
      </w:r>
      <w:r w:rsidRPr="001F7834">
        <w:rPr>
          <w:rStyle w:val="StyleUnderline"/>
        </w:rPr>
        <w:t xml:space="preserve"> level of </w:t>
      </w:r>
      <w:r w:rsidRPr="001F7834">
        <w:rPr>
          <w:rStyle w:val="StyleUnderline"/>
          <w:highlight w:val="green"/>
        </w:rPr>
        <w:t>R&amp;D</w:t>
      </w:r>
      <w:r w:rsidRPr="001F7834">
        <w:rPr>
          <w:highlight w:val="green"/>
        </w:rPr>
        <w:t>.</w:t>
      </w:r>
      <w:r w:rsidRPr="00CD41EB">
        <w:t xml:space="preserve">54 Likewise, </w:t>
      </w:r>
      <w:r w:rsidRPr="001F7834">
        <w:rPr>
          <w:rStyle w:val="StyleUnderline"/>
        </w:rPr>
        <w:t xml:space="preserve">a </w:t>
      </w:r>
      <w:r w:rsidRPr="001F7834">
        <w:rPr>
          <w:rStyle w:val="StyleUnderline"/>
          <w:highlight w:val="green"/>
        </w:rPr>
        <w:t>1 percent increase in copyright protection</w:t>
      </w:r>
      <w:r w:rsidRPr="001F7834">
        <w:rPr>
          <w:rStyle w:val="StyleUnderline"/>
        </w:rPr>
        <w:t xml:space="preserve"> was associated </w:t>
      </w:r>
      <w:r w:rsidRPr="001F7834">
        <w:rPr>
          <w:rStyle w:val="StyleUnderline"/>
          <w:highlight w:val="green"/>
        </w:rPr>
        <w:t>with</w:t>
      </w:r>
      <w:r w:rsidRPr="001F7834">
        <w:rPr>
          <w:rStyle w:val="StyleUnderline"/>
        </w:rPr>
        <w:t xml:space="preserve"> a </w:t>
      </w:r>
      <w:r w:rsidRPr="001F7834">
        <w:rPr>
          <w:rStyle w:val="StyleUnderline"/>
          <w:highlight w:val="green"/>
        </w:rPr>
        <w:t>3.3 percent increase in domestic R&amp;D</w:t>
      </w:r>
      <w:r w:rsidRPr="00CD41EB">
        <w:t xml:space="preserve">. Similarly, </w:t>
      </w:r>
      <w:r w:rsidRPr="001F7834">
        <w:rPr>
          <w:rStyle w:val="StyleUnderline"/>
        </w:rPr>
        <w:t>when trademark protection increased by 1 percent, there was an associated R&amp;D increase of 1.4 percent</w:t>
      </w:r>
      <w:r w:rsidRPr="00CD41EB">
        <w:t>. As the authors concluded, “</w:t>
      </w:r>
      <w:r w:rsidRPr="001F7834">
        <w:rPr>
          <w:rStyle w:val="StyleUnderline"/>
          <w:highlight w:val="green"/>
        </w:rPr>
        <w:t>Increases in</w:t>
      </w:r>
      <w:r w:rsidRPr="001F7834">
        <w:rPr>
          <w:rStyle w:val="StyleUnderline"/>
        </w:rPr>
        <w:t xml:space="preserve"> the protection of the </w:t>
      </w:r>
      <w:r w:rsidRPr="001F7834">
        <w:rPr>
          <w:rStyle w:val="StyleUnderline"/>
          <w:highlight w:val="green"/>
        </w:rPr>
        <w:t>IPRs carried</w:t>
      </w:r>
      <w:r w:rsidRPr="001F7834">
        <w:rPr>
          <w:rStyle w:val="StyleUnderline"/>
        </w:rPr>
        <w:t xml:space="preserve"> economic benefits in the form of </w:t>
      </w:r>
      <w:r w:rsidRPr="001F7834">
        <w:rPr>
          <w:rStyle w:val="StyleUnderline"/>
          <w:highlight w:val="green"/>
        </w:rPr>
        <w:t>higher</w:t>
      </w:r>
      <w:r w:rsidRPr="001F7834">
        <w:rPr>
          <w:rStyle w:val="StyleUnderline"/>
        </w:rPr>
        <w:t xml:space="preserve"> inflows of </w:t>
      </w:r>
      <w:r w:rsidRPr="001F7834">
        <w:rPr>
          <w:rStyle w:val="StyleUnderline"/>
          <w:highlight w:val="green"/>
        </w:rPr>
        <w:t>FDI, and</w:t>
      </w:r>
      <w:r w:rsidRPr="001F7834">
        <w:rPr>
          <w:rStyle w:val="StyleUnderline"/>
        </w:rPr>
        <w:t xml:space="preserve"> increases in the levels of both domestically conducted </w:t>
      </w:r>
      <w:r w:rsidRPr="001F7834">
        <w:rPr>
          <w:rStyle w:val="StyleUnderline"/>
          <w:highlight w:val="green"/>
        </w:rPr>
        <w:t>R&amp;D</w:t>
      </w:r>
      <w:r w:rsidRPr="001F7834">
        <w:rPr>
          <w:rStyle w:val="StyleUnderline"/>
        </w:rPr>
        <w:t xml:space="preserve"> and service imports</w:t>
      </w:r>
      <w:r w:rsidRPr="00CD41EB">
        <w:t xml:space="preserve"> as measured by licensing fees.”55 As Jackson summarized, regarding the relationship between IPR reform and both innovation and R&amp;D, and FDI, “In </w:t>
      </w:r>
      <w:r w:rsidRPr="001F7834">
        <w:rPr>
          <w:rStyle w:val="StyleUnderline"/>
        </w:rPr>
        <w:t>addition to spurring domestic innovation, strong intellectual property rights can increase incentives for foreign direct investment which in turn also leads to economic growth</w:t>
      </w:r>
      <w:r w:rsidRPr="00CD41EB">
        <w:t>.”56</w:t>
      </w:r>
    </w:p>
    <w:p w14:paraId="013BB3B2" w14:textId="77777777" w:rsidR="00825666" w:rsidRPr="00E86D81" w:rsidRDefault="00825666" w:rsidP="00825666">
      <w:pPr>
        <w:pStyle w:val="Heading4"/>
      </w:pPr>
      <w:r>
        <w:t xml:space="preserve">The link is massive – 50+ percent of prescription meds stem from Indigenous knowledge – </w:t>
      </w:r>
      <w:proofErr w:type="spellStart"/>
      <w:r>
        <w:t>preempot</w:t>
      </w:r>
      <w:proofErr w:type="spellEnd"/>
      <w:r>
        <w:t xml:space="preserve"> just proves </w:t>
      </w:r>
      <w:proofErr w:type="spellStart"/>
      <w:r>
        <w:t>thuis</w:t>
      </w:r>
      <w:proofErr w:type="spellEnd"/>
    </w:p>
    <w:p w14:paraId="6A695F7F" w14:textId="77777777" w:rsidR="00825666" w:rsidRDefault="00825666" w:rsidP="00825666">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w:t>
      </w:r>
      <w:proofErr w:type="spellStart"/>
      <w:r w:rsidRPr="00AE61A2">
        <w:t>Verlagsgesellschaft</w:t>
      </w:r>
      <w:proofErr w:type="spellEnd"/>
      <w:r w:rsidRPr="00AE61A2">
        <w:t xml:space="preserve"> </w:t>
      </w:r>
      <w:proofErr w:type="spellStart"/>
      <w:r w:rsidRPr="00AE61A2">
        <w:t>mbH</w:t>
      </w:r>
      <w:proofErr w:type="spellEnd"/>
      <w:r w:rsidRPr="00AE61A2">
        <w:t xml:space="preserve"> &amp; Co. KG, pg. 7-10, 2008 //SLC PK</w:t>
      </w:r>
      <w:r>
        <w:t xml:space="preserve"> </w:t>
      </w:r>
    </w:p>
    <w:p w14:paraId="67816EF1" w14:textId="77777777" w:rsidR="00825666" w:rsidRPr="00821009" w:rsidRDefault="00825666" w:rsidP="00825666">
      <w:pPr>
        <w:pStyle w:val="ListParagraph"/>
        <w:numPr>
          <w:ilvl w:val="0"/>
          <w:numId w:val="11"/>
        </w:numPr>
      </w:pPr>
      <w:r>
        <w:t>TM = traditional medicine</w:t>
      </w:r>
    </w:p>
    <w:p w14:paraId="6B89F6C1" w14:textId="77777777" w:rsidR="00825666" w:rsidRDefault="00825666" w:rsidP="00825666">
      <w:pPr>
        <w:rPr>
          <w:rStyle w:val="StyleUnderline"/>
        </w:rPr>
      </w:pPr>
      <w:r w:rsidRPr="006905D6">
        <w:rPr>
          <w:sz w:val="16"/>
        </w:rPr>
        <w:t xml:space="preserve">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rPr>
          <w:sz w:val="16"/>
        </w:rPr>
        <w:t xml:space="preserve"> This generated US sales of about 20 billion.4 Another estimate found that </w:t>
      </w:r>
      <w:r w:rsidRPr="00AE61A2">
        <w:rPr>
          <w:rStyle w:val="StyleUnderline"/>
          <w:highlight w:val="green"/>
        </w:rPr>
        <w:t>3/</w:t>
      </w:r>
      <w:r w:rsidRPr="00821009">
        <w:rPr>
          <w:rStyle w:val="StyleUnderline"/>
          <w:highlight w:val="green"/>
        </w:rPr>
        <w:t>4 of</w:t>
      </w:r>
      <w:r w:rsidRPr="00AE61A2">
        <w:rPr>
          <w:rStyle w:val="StyleUnderline"/>
        </w:rPr>
        <w:t xml:space="preserve"> the </w:t>
      </w:r>
      <w:r w:rsidRPr="00821009">
        <w:rPr>
          <w:rStyle w:val="StyleUnderline"/>
          <w:highlight w:val="green"/>
        </w:rPr>
        <w:t>plants used in prescription drugs</w:t>
      </w:r>
      <w:r w:rsidRPr="00AE61A2">
        <w:rPr>
          <w:rStyle w:val="StyleUnderline"/>
        </w:rPr>
        <w:t xml:space="preserve">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 xml:space="preserve">because </w:t>
      </w:r>
      <w:r w:rsidRPr="00821009">
        <w:rPr>
          <w:rStyle w:val="StyleUnderline"/>
          <w:highlight w:val="green"/>
        </w:rPr>
        <w:t>of</w:t>
      </w:r>
      <w:r w:rsidRPr="00AE61A2">
        <w:rPr>
          <w:rStyle w:val="StyleUnderline"/>
        </w:rPr>
        <w:t xml:space="preserve"> their use in </w:t>
      </w:r>
      <w:r w:rsidRPr="00AE61A2">
        <w:rPr>
          <w:rStyle w:val="StyleUnderline"/>
          <w:highlight w:val="green"/>
        </w:rPr>
        <w:t>TM</w:t>
      </w:r>
      <w:r w:rsidRPr="00AE61A2">
        <w:rPr>
          <w:rStyle w:val="StyleUnderline"/>
        </w:rPr>
        <w:t>.</w:t>
      </w:r>
      <w:r w:rsidRPr="006905D6">
        <w:rPr>
          <w:sz w:val="16"/>
        </w:rPr>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sz w:val="16"/>
          <w:highlight w:val="green"/>
        </w:rPr>
        <w:t>.</w:t>
      </w:r>
      <w:r w:rsidRPr="006905D6">
        <w:rPr>
          <w:sz w:val="16"/>
        </w:rPr>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both natural substances, as well as the knowledge about how to use them.</w:t>
      </w:r>
    </w:p>
    <w:p w14:paraId="26CC36D6" w14:textId="77777777" w:rsidR="00825666" w:rsidRPr="00897004" w:rsidRDefault="00825666" w:rsidP="00825666"/>
    <w:p w14:paraId="036078CD" w14:textId="77777777" w:rsidR="00825666" w:rsidRPr="00005719" w:rsidRDefault="00825666" w:rsidP="00825666">
      <w:pPr>
        <w:pStyle w:val="Heading4"/>
        <w:rPr>
          <w:rFonts w:cs="Calibri"/>
        </w:rPr>
      </w:pPr>
      <w:r w:rsidRPr="00005719">
        <w:rPr>
          <w:rFonts w:cs="Calibri"/>
        </w:rPr>
        <w:t xml:space="preserve">Biopharmaceutical innovation is key to prevent </w:t>
      </w:r>
      <w:r w:rsidRPr="00005719">
        <w:rPr>
          <w:rFonts w:cs="Calibri"/>
          <w:u w:val="single"/>
        </w:rPr>
        <w:t>future pandemics</w:t>
      </w:r>
      <w:r w:rsidRPr="00005719">
        <w:rPr>
          <w:rFonts w:cs="Calibri"/>
        </w:rPr>
        <w:t xml:space="preserve"> and </w:t>
      </w:r>
      <w:r w:rsidRPr="00005719">
        <w:rPr>
          <w:rFonts w:cs="Calibri"/>
          <w:u w:val="single"/>
        </w:rPr>
        <w:t>bioterror</w:t>
      </w:r>
      <w:r w:rsidRPr="00005719">
        <w:rPr>
          <w:rFonts w:cs="Calibri"/>
        </w:rPr>
        <w:t xml:space="preserve"> – turns case</w:t>
      </w:r>
    </w:p>
    <w:p w14:paraId="270707C6" w14:textId="77777777" w:rsidR="00825666" w:rsidRPr="00005719" w:rsidRDefault="00825666" w:rsidP="00825666">
      <w:r w:rsidRPr="00005719">
        <w:rPr>
          <w:rStyle w:val="Style13ptBold"/>
        </w:rPr>
        <w:t xml:space="preserve">Marjanovic and </w:t>
      </w:r>
      <w:proofErr w:type="spellStart"/>
      <w:r w:rsidRPr="00005719">
        <w:rPr>
          <w:rStyle w:val="Style13ptBold"/>
        </w:rPr>
        <w:t>Feijao</w:t>
      </w:r>
      <w:proofErr w:type="spellEnd"/>
      <w:r w:rsidRPr="00005719">
        <w:rPr>
          <w:rStyle w:val="Style13ptBold"/>
        </w:rPr>
        <w:t xml:space="preserve"> 20</w:t>
      </w:r>
      <w:r w:rsidRPr="00005719">
        <w:t xml:space="preserve"> [(Sonja Marjanovic, Ph.D., Judge Business School, University of Cambridge. Carolina </w:t>
      </w:r>
      <w:proofErr w:type="spellStart"/>
      <w:r w:rsidRPr="00005719">
        <w:t>Feijao</w:t>
      </w:r>
      <w:proofErr w:type="spellEnd"/>
      <w:r w:rsidRPr="00005719">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53C1EC5A" w14:textId="77777777" w:rsidR="00825666" w:rsidRPr="00005719" w:rsidRDefault="00825666" w:rsidP="00825666">
      <w:r w:rsidRPr="00005719">
        <w:t xml:space="preserve">As key actors in the healthcare innovation landscape, </w:t>
      </w:r>
      <w:r w:rsidRPr="00005719">
        <w:rPr>
          <w:rStyle w:val="StyleUnderline"/>
          <w:highlight w:val="green"/>
        </w:rPr>
        <w:t>pharma</w:t>
      </w:r>
      <w:r w:rsidRPr="00005719">
        <w:rPr>
          <w:rStyle w:val="StyleUnderline"/>
        </w:rPr>
        <w:t>ceutical</w:t>
      </w:r>
      <w:r w:rsidRPr="00005719">
        <w:t xml:space="preserve"> and life sciences </w:t>
      </w:r>
      <w:r w:rsidRPr="00005719">
        <w:rPr>
          <w:rStyle w:val="StyleUnderline"/>
          <w:highlight w:val="green"/>
        </w:rPr>
        <w:t>companies</w:t>
      </w:r>
      <w:r w:rsidRPr="00005719">
        <w:rPr>
          <w:rStyle w:val="StyleUnderline"/>
        </w:rPr>
        <w:t xml:space="preserve"> have been </w:t>
      </w:r>
      <w:r w:rsidRPr="00005719">
        <w:rPr>
          <w:rStyle w:val="StyleUnderline"/>
          <w:highlight w:val="green"/>
        </w:rPr>
        <w:t>called on</w:t>
      </w:r>
      <w:r w:rsidRPr="00005719">
        <w:rPr>
          <w:rStyle w:val="StyleUnderline"/>
        </w:rPr>
        <w:t xml:space="preserve"> to develop medicines, </w:t>
      </w:r>
      <w:proofErr w:type="gramStart"/>
      <w:r w:rsidRPr="00005719">
        <w:rPr>
          <w:rStyle w:val="StyleUnderline"/>
        </w:rPr>
        <w:t>vaccines</w:t>
      </w:r>
      <w:proofErr w:type="gramEnd"/>
      <w:r w:rsidRPr="00005719">
        <w:rPr>
          <w:rStyle w:val="StyleUnderline"/>
        </w:rPr>
        <w:t xml:space="preserve"> and diagnostics </w:t>
      </w:r>
      <w:r w:rsidRPr="00005719">
        <w:rPr>
          <w:rStyle w:val="StyleUnderline"/>
          <w:highlight w:val="green"/>
        </w:rPr>
        <w:t>for</w:t>
      </w:r>
      <w:r w:rsidRPr="00005719">
        <w:rPr>
          <w:rStyle w:val="StyleUnderline"/>
        </w:rPr>
        <w:t xml:space="preserve"> pressing </w:t>
      </w:r>
      <w:r w:rsidRPr="00005719">
        <w:rPr>
          <w:rStyle w:val="StyleUnderline"/>
          <w:highlight w:val="green"/>
        </w:rPr>
        <w:t>public health challenges</w:t>
      </w:r>
      <w:r w:rsidRPr="00005719">
        <w:t xml:space="preserve">. The COVID-19 crisis is one such challenge, but there are many others. For example, MERS, SARS, Ebola, Zika and avian and swine flu are also infectious diseases that represent public health threats. Infectious agents such as </w:t>
      </w:r>
      <w:r w:rsidRPr="00005719">
        <w:rPr>
          <w:rStyle w:val="StyleUnderline"/>
        </w:rPr>
        <w:t xml:space="preserve">anthrax, smallpox and tularemia could present </w:t>
      </w:r>
      <w:r w:rsidRPr="00005719">
        <w:rPr>
          <w:rStyle w:val="StyleUnderline"/>
          <w:highlight w:val="green"/>
        </w:rPr>
        <w:t>threats in a bioterror</w:t>
      </w:r>
      <w:r w:rsidRPr="00005719">
        <w:rPr>
          <w:rStyle w:val="StyleUnderline"/>
        </w:rPr>
        <w:t xml:space="preserve">ism </w:t>
      </w:r>
      <w:r w:rsidRPr="00005719">
        <w:rPr>
          <w:rStyle w:val="StyleUnderline"/>
          <w:highlight w:val="green"/>
        </w:rPr>
        <w:t>context</w:t>
      </w:r>
      <w:r w:rsidRPr="00005719">
        <w:t>.1 The general threat to public health that is posed by antimicrobial resistance is also well-</w:t>
      </w:r>
      <w:proofErr w:type="spellStart"/>
      <w:r w:rsidRPr="00005719">
        <w:t>recognised</w:t>
      </w:r>
      <w:proofErr w:type="spellEnd"/>
      <w:r w:rsidRPr="00005719">
        <w:t xml:space="preserve"> as an area in need of pharmaceutical innovation. </w:t>
      </w:r>
      <w:r w:rsidRPr="00005719">
        <w:rPr>
          <w:rStyle w:val="StyleUnderline"/>
          <w:highlight w:val="green"/>
        </w:rPr>
        <w:t>Innovating</w:t>
      </w:r>
      <w:r w:rsidRPr="00005719">
        <w:t xml:space="preserve"> in response to these challenges </w:t>
      </w:r>
      <w:r w:rsidRPr="00005719">
        <w:rPr>
          <w:rStyle w:val="StyleUnderline"/>
          <w:highlight w:val="green"/>
        </w:rPr>
        <w:t>does not always align</w:t>
      </w:r>
      <w:r w:rsidRPr="00005719">
        <w:rPr>
          <w:rStyle w:val="StyleUnderline"/>
        </w:rPr>
        <w:t xml:space="preserve"> well </w:t>
      </w:r>
      <w:r w:rsidRPr="00005719">
        <w:rPr>
          <w:rStyle w:val="StyleUnderline"/>
          <w:highlight w:val="green"/>
        </w:rPr>
        <w:t>with pharma</w:t>
      </w:r>
      <w:r w:rsidRPr="00005719">
        <w:rPr>
          <w:rStyle w:val="StyleUnderline"/>
        </w:rPr>
        <w:t xml:space="preserve">ceutical industry </w:t>
      </w:r>
      <w:r w:rsidRPr="00005719">
        <w:rPr>
          <w:rStyle w:val="StyleUnderline"/>
          <w:highlight w:val="green"/>
        </w:rPr>
        <w:t>commercial models</w:t>
      </w:r>
      <w:r w:rsidRPr="00005719">
        <w:rPr>
          <w:rStyle w:val="StyleUnderline"/>
        </w:rPr>
        <w:t>, shareholder expectations and competition</w:t>
      </w:r>
      <w:r w:rsidRPr="00005719">
        <w:t xml:space="preserve"> within the industry. </w:t>
      </w:r>
      <w:r w:rsidRPr="00005719">
        <w:rPr>
          <w:rStyle w:val="StyleUnderline"/>
          <w:highlight w:val="green"/>
        </w:rPr>
        <w:t>However</w:t>
      </w:r>
      <w:r w:rsidRPr="00005719">
        <w:rPr>
          <w:rStyle w:val="StyleUnderline"/>
        </w:rPr>
        <w:t xml:space="preserve">, the </w:t>
      </w:r>
      <w:r w:rsidRPr="00005719">
        <w:rPr>
          <w:rStyle w:val="StyleUnderline"/>
          <w:highlight w:val="green"/>
        </w:rPr>
        <w:t xml:space="preserve">expertise, </w:t>
      </w:r>
      <w:proofErr w:type="gramStart"/>
      <w:r w:rsidRPr="00005719">
        <w:rPr>
          <w:rStyle w:val="StyleUnderline"/>
          <w:highlight w:val="green"/>
        </w:rPr>
        <w:t>networks</w:t>
      </w:r>
      <w:proofErr w:type="gramEnd"/>
      <w:r w:rsidRPr="00005719">
        <w:rPr>
          <w:rStyle w:val="StyleUnderline"/>
          <w:highlight w:val="green"/>
        </w:rPr>
        <w:t xml:space="preserve"> and infrastructure</w:t>
      </w:r>
      <w:r w:rsidRPr="00005719">
        <w:rPr>
          <w:rStyle w:val="StyleUnderline"/>
        </w:rPr>
        <w:t xml:space="preserve"> that industry has</w:t>
      </w:r>
      <w:r w:rsidRPr="00005719">
        <w:t xml:space="preserve"> within its reach, </w:t>
      </w:r>
      <w:r w:rsidRPr="00005719">
        <w:rPr>
          <w:rStyle w:val="StyleUnderline"/>
        </w:rPr>
        <w:t>as well as public expectations and</w:t>
      </w:r>
      <w:r w:rsidRPr="00005719">
        <w:t xml:space="preserve"> the </w:t>
      </w:r>
      <w:r w:rsidRPr="00005719">
        <w:rPr>
          <w:rStyle w:val="StyleUnderline"/>
        </w:rPr>
        <w:t xml:space="preserve">moral imperative, </w:t>
      </w:r>
      <w:r w:rsidRPr="00005719">
        <w:rPr>
          <w:rStyle w:val="StyleUnderline"/>
          <w:highlight w:val="green"/>
        </w:rPr>
        <w:t>make pharma</w:t>
      </w:r>
      <w:r w:rsidRPr="00005719">
        <w:rPr>
          <w:rStyle w:val="StyleUnderline"/>
        </w:rPr>
        <w:t>ceutical companies</w:t>
      </w:r>
      <w:r w:rsidRPr="00005719">
        <w:t xml:space="preserve"> and the wider life sciences sector </w:t>
      </w:r>
      <w:r w:rsidRPr="00005719">
        <w:rPr>
          <w:rStyle w:val="StyleUnderline"/>
        </w:rPr>
        <w:t xml:space="preserve">an </w:t>
      </w:r>
      <w:r w:rsidRPr="00005719">
        <w:rPr>
          <w:rStyle w:val="StyleUnderline"/>
          <w:highlight w:val="green"/>
        </w:rPr>
        <w:t>indispensable</w:t>
      </w:r>
      <w:r w:rsidRPr="00005719">
        <w:rPr>
          <w:rStyle w:val="StyleUnderline"/>
        </w:rPr>
        <w:t xml:space="preserve"> partner</w:t>
      </w:r>
      <w:r w:rsidRPr="00005719">
        <w:t xml:space="preserve"> in the search for solutions that save lives. This perspective argues for the need to establish more sustainable and scalable ways of </w:t>
      </w:r>
      <w:proofErr w:type="spellStart"/>
      <w:r w:rsidRPr="00005719">
        <w:t>incentivising</w:t>
      </w:r>
      <w:proofErr w:type="spellEnd"/>
      <w:r w:rsidRPr="00005719">
        <w:t xml:space="preserve"> pharmaceutical innovation in response to infectious disease threats to public health. It considers both past and current examples of efforts to </w:t>
      </w:r>
      <w:proofErr w:type="spellStart"/>
      <w:r w:rsidRPr="00005719">
        <w:t>mobilise</w:t>
      </w:r>
      <w:proofErr w:type="spellEnd"/>
      <w:r w:rsidRPr="00005719">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005719">
        <w:rPr>
          <w:rStyle w:val="StyleUnderline"/>
        </w:rPr>
        <w:t xml:space="preserve">we are seeing industry-wide efforts unfold at </w:t>
      </w:r>
      <w:r w:rsidRPr="00005719">
        <w:rPr>
          <w:rStyle w:val="StyleUnderline"/>
          <w:highlight w:val="green"/>
        </w:rPr>
        <w:t>unprecedented scale and pace</w:t>
      </w:r>
      <w:r w:rsidRPr="00005719">
        <w:rPr>
          <w:rStyle w:val="StyleUnderline"/>
        </w:rPr>
        <w:t>.</w:t>
      </w:r>
      <w:r w:rsidRPr="00005719">
        <w:t xml:space="preserve"> Whereas there is always scope for more activity, </w:t>
      </w:r>
      <w:r w:rsidRPr="00005719">
        <w:rPr>
          <w:rStyle w:val="StyleUnderline"/>
        </w:rPr>
        <w:t xml:space="preserve">industry is currently contributing </w:t>
      </w:r>
      <w:proofErr w:type="gramStart"/>
      <w:r w:rsidRPr="00005719">
        <w:rPr>
          <w:rStyle w:val="StyleUnderline"/>
        </w:rPr>
        <w:t>in</w:t>
      </w:r>
      <w:proofErr w:type="gramEnd"/>
      <w:r w:rsidRPr="00005719">
        <w:rPr>
          <w:rStyle w:val="StyleUnderline"/>
        </w:rPr>
        <w:t xml:space="preserve"> a variety of ways. Examples include pharmaceutical companies donating existing compounds to assess their utility</w:t>
      </w:r>
      <w:r w:rsidRPr="00005719">
        <w:t xml:space="preserve"> in the fight against COVID19; </w:t>
      </w:r>
      <w:r w:rsidRPr="00005719">
        <w:rPr>
          <w:rStyle w:val="StyleUnderline"/>
          <w:highlight w:val="green"/>
        </w:rPr>
        <w:t>screening</w:t>
      </w:r>
      <w:r w:rsidRPr="00005719">
        <w:rPr>
          <w:rStyle w:val="StyleUnderline"/>
        </w:rPr>
        <w:t xml:space="preserve"> existing </w:t>
      </w:r>
      <w:r w:rsidRPr="00005719">
        <w:rPr>
          <w:rStyle w:val="StyleUnderline"/>
          <w:highlight w:val="green"/>
        </w:rPr>
        <w:t>compound libraries</w:t>
      </w:r>
      <w:r w:rsidRPr="00005719">
        <w:rPr>
          <w:rStyle w:val="StyleUnderline"/>
        </w:rPr>
        <w:t xml:space="preserve"> in-house or with partners to see if they can be repurposed; </w:t>
      </w:r>
      <w:r w:rsidRPr="00005719">
        <w:rPr>
          <w:rStyle w:val="StyleUnderline"/>
          <w:highlight w:val="green"/>
        </w:rPr>
        <w:t>accelerating trials</w:t>
      </w:r>
      <w:r w:rsidRPr="00005719">
        <w:t xml:space="preserve"> for potentially effective medicine or vaccine candidates; </w:t>
      </w:r>
      <w:r w:rsidRPr="00005719">
        <w:rPr>
          <w:rStyle w:val="StyleUnderline"/>
        </w:rPr>
        <w:t xml:space="preserve">and in some cases rapidly accelerating in-house research and development </w:t>
      </w:r>
      <w:r w:rsidRPr="00005719">
        <w:t xml:space="preserve">to discover new treatments or vaccine agents and develop diagnostics tests.3,4 </w:t>
      </w:r>
      <w:r w:rsidRPr="00005719">
        <w:rPr>
          <w:rStyle w:val="StyleUnderline"/>
        </w:rPr>
        <w:t>Pharmaceutical companies are collaborating</w:t>
      </w:r>
      <w:r w:rsidRPr="00005719">
        <w:t xml:space="preserve"> with each other in some of these efforts </w:t>
      </w:r>
      <w:r w:rsidRPr="00005719">
        <w:rPr>
          <w:rStyle w:val="StyleUnderline"/>
        </w:rPr>
        <w:t xml:space="preserve">and participating in global </w:t>
      </w:r>
      <w:r w:rsidRPr="00005719">
        <w:rPr>
          <w:rStyle w:val="StyleUnderline"/>
          <w:highlight w:val="green"/>
        </w:rPr>
        <w:t>R&amp;D partnerships</w:t>
      </w:r>
      <w:r w:rsidRPr="00005719">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005719">
        <w:t>realised</w:t>
      </w:r>
      <w:proofErr w:type="spellEnd"/>
      <w:r w:rsidRPr="00005719">
        <w:t xml:space="preserve"> across the industry, </w:t>
      </w:r>
      <w:r w:rsidRPr="00005719">
        <w:rPr>
          <w:rStyle w:val="StyleUnderline"/>
        </w:rPr>
        <w:t>there are likely to be relatively few companies that are ‘commercial’ winners</w:t>
      </w:r>
      <w:r w:rsidRPr="00005719">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005719">
        <w:rPr>
          <w:rStyle w:val="StyleUnderline"/>
        </w:rPr>
        <w:t>in the United States AbbVie has waived intellectual property rights for an existing combination product that is being tested for therapeutic potential against COVID-19</w:t>
      </w:r>
      <w:r w:rsidRPr="00005719">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005719">
        <w:t>mobilising</w:t>
      </w:r>
      <w:proofErr w:type="spellEnd"/>
      <w:r w:rsidRPr="00005719">
        <w:t xml:space="preserve"> substantial efforts to rise to the COVID-19 challenge at hand. However, we need to consider how pharmaceutical innovation for responding to emerging infectious diseases can best be enabled beyond the current crisis. </w:t>
      </w:r>
      <w:r w:rsidRPr="00005719">
        <w:rPr>
          <w:rStyle w:val="StyleUnderline"/>
        </w:rPr>
        <w:t xml:space="preserve">Many public health threats (including those associated with other infectious </w:t>
      </w:r>
      <w:r w:rsidRPr="00005719">
        <w:rPr>
          <w:rStyle w:val="StyleUnderline"/>
          <w:highlight w:val="green"/>
        </w:rPr>
        <w:t>diseases, bioterror</w:t>
      </w:r>
      <w:r w:rsidRPr="00005719">
        <w:rPr>
          <w:rStyle w:val="StyleUnderline"/>
        </w:rPr>
        <w:t xml:space="preserve">ism </w:t>
      </w:r>
      <w:r w:rsidRPr="00005719">
        <w:rPr>
          <w:rStyle w:val="StyleUnderline"/>
          <w:highlight w:val="green"/>
        </w:rPr>
        <w:t>agents and antimicrobial resistance</w:t>
      </w:r>
      <w:r w:rsidRPr="00005719">
        <w:rPr>
          <w:rStyle w:val="StyleUnderline"/>
        </w:rPr>
        <w:t xml:space="preserve">) are urgently </w:t>
      </w:r>
      <w:r w:rsidRPr="00005719">
        <w:rPr>
          <w:rStyle w:val="StyleUnderline"/>
          <w:highlight w:val="green"/>
        </w:rPr>
        <w:t>in need of pharma</w:t>
      </w:r>
      <w:r w:rsidRPr="00005719">
        <w:rPr>
          <w:rStyle w:val="StyleUnderline"/>
        </w:rPr>
        <w:t xml:space="preserve">ceutical </w:t>
      </w:r>
      <w:r w:rsidRPr="00005719">
        <w:rPr>
          <w:rStyle w:val="StyleUnderline"/>
          <w:highlight w:val="green"/>
        </w:rPr>
        <w:t>innovation</w:t>
      </w:r>
      <w:r w:rsidRPr="00005719">
        <w:t xml:space="preserve">, even if their impacts are not as visible to society as COVID-19 is in the immediate term. </w:t>
      </w:r>
      <w:r w:rsidRPr="00005719">
        <w:rPr>
          <w:rStyle w:val="StyleUnderline"/>
        </w:rPr>
        <w:t>The pharmaceutical industry has responded to previous public health emergencies associated with infectious disease in recent times – for example</w:t>
      </w:r>
      <w:r w:rsidRPr="00005719">
        <w:t xml:space="preserve"> those associated with </w:t>
      </w:r>
      <w:r w:rsidRPr="00005719">
        <w:rPr>
          <w:rStyle w:val="StyleUnderline"/>
        </w:rPr>
        <w:t>Ebola and Zika</w:t>
      </w:r>
      <w:r w:rsidRPr="00005719">
        <w:t xml:space="preserve"> outbreaks.11 However, </w:t>
      </w:r>
      <w:r w:rsidRPr="00005719">
        <w:rPr>
          <w:rStyle w:val="StyleUnderline"/>
        </w:rPr>
        <w:t>it has done so to a lesser scale than for COVID-19 and with contributions from fewer companies</w:t>
      </w:r>
      <w:r w:rsidRPr="00005719">
        <w:t xml:space="preserve">. Similarly, </w:t>
      </w:r>
      <w:r w:rsidRPr="00005719">
        <w:rPr>
          <w:rStyle w:val="StyleUnderline"/>
        </w:rPr>
        <w:t>levels of activity in response to the threat of antimicrobial resistance are still low</w:t>
      </w:r>
      <w:r w:rsidRPr="00005719">
        <w:t xml:space="preserve">.12 There are important policy questions as to whether – and how – industry could engage with such public health threats to an even greater extent under improved innovation conditions. </w:t>
      </w:r>
    </w:p>
    <w:p w14:paraId="51952617" w14:textId="77777777" w:rsidR="00825666" w:rsidRPr="00005719" w:rsidRDefault="00825666" w:rsidP="00825666"/>
    <w:p w14:paraId="61E321B0" w14:textId="77777777" w:rsidR="00825666" w:rsidRPr="00005719" w:rsidRDefault="00825666" w:rsidP="00825666">
      <w:pPr>
        <w:pStyle w:val="Heading4"/>
        <w:rPr>
          <w:rFonts w:cs="Calibri"/>
        </w:rPr>
      </w:pPr>
      <w:r w:rsidRPr="00005719">
        <w:rPr>
          <w:rFonts w:cs="Calibri"/>
        </w:rPr>
        <w:t xml:space="preserve">COVID incentivizes </w:t>
      </w:r>
      <w:r w:rsidRPr="00005719">
        <w:rPr>
          <w:rFonts w:cs="Calibri"/>
          <w:u w:val="single"/>
        </w:rPr>
        <w:t>engineered bioterror</w:t>
      </w:r>
      <w:r w:rsidRPr="00005719">
        <w:rPr>
          <w:rFonts w:cs="Calibri"/>
        </w:rPr>
        <w:t>- extinction</w:t>
      </w:r>
    </w:p>
    <w:p w14:paraId="619034E7" w14:textId="77777777" w:rsidR="00825666" w:rsidRPr="00005719" w:rsidRDefault="00825666" w:rsidP="00825666">
      <w:r w:rsidRPr="00005719">
        <w:rPr>
          <w:rStyle w:val="Style13ptBold"/>
        </w:rPr>
        <w:t>Walsh, 20</w:t>
      </w:r>
      <w:r w:rsidRPr="00005719">
        <w:t xml:space="preserve"> -- </w:t>
      </w:r>
      <w:proofErr w:type="spellStart"/>
      <w:r w:rsidRPr="00005719">
        <w:t>Axios</w:t>
      </w:r>
      <w:proofErr w:type="spellEnd"/>
      <w:r w:rsidRPr="00005719">
        <w:t xml:space="preserve"> Future correspondent [Bryan Walsh, "The coronavirus pandemic reawakens bioweapon fears," </w:t>
      </w:r>
      <w:proofErr w:type="spellStart"/>
      <w:r w:rsidRPr="00005719">
        <w:t>Axios</w:t>
      </w:r>
      <w:proofErr w:type="spellEnd"/>
      <w:r w:rsidRPr="00005719">
        <w:t>, 5-14-2020, https://www.axios.com/coronavirus-pandemic-pathogen-bioweapon-45417c86-52aa-41b1-8a99-44a6e597d3a8.html, accessed 9-7-2020]</w:t>
      </w:r>
    </w:p>
    <w:p w14:paraId="744A6532" w14:textId="77777777" w:rsidR="00825666" w:rsidRPr="00005719" w:rsidRDefault="00825666" w:rsidP="00825666">
      <w:pPr>
        <w:rPr>
          <w:sz w:val="14"/>
        </w:rPr>
      </w:pPr>
      <w:r w:rsidRPr="00005719">
        <w:rPr>
          <w:sz w:val="14"/>
        </w:rPr>
        <w:t xml:space="preserve">The </w:t>
      </w:r>
      <w:r w:rsidRPr="00005719">
        <w:rPr>
          <w:rStyle w:val="StyleUnderline"/>
        </w:rPr>
        <w:t>corona</w:t>
      </w:r>
      <w:r w:rsidRPr="00005719">
        <w:rPr>
          <w:sz w:val="14"/>
        </w:rPr>
        <w:t xml:space="preserve">virus pandemic </w:t>
      </w:r>
      <w:r w:rsidRPr="00005719">
        <w:rPr>
          <w:rStyle w:val="StyleUnderline"/>
        </w:rPr>
        <w:t>reawakens bioweapon fears</w:t>
      </w:r>
    </w:p>
    <w:p w14:paraId="651922DA" w14:textId="77777777" w:rsidR="00825666" w:rsidRPr="00005719" w:rsidRDefault="00825666" w:rsidP="00825666">
      <w:pPr>
        <w:rPr>
          <w:sz w:val="14"/>
        </w:rPr>
      </w:pPr>
      <w:r w:rsidRPr="00005719">
        <w:rPr>
          <w:rStyle w:val="StyleUnderline"/>
        </w:rPr>
        <w:t>The immense</w:t>
      </w:r>
      <w:r w:rsidRPr="00005719">
        <w:rPr>
          <w:sz w:val="14"/>
        </w:rPr>
        <w:t xml:space="preserve"> human and economic </w:t>
      </w:r>
      <w:r w:rsidRPr="00005719">
        <w:rPr>
          <w:rStyle w:val="StyleUnderline"/>
        </w:rPr>
        <w:t>toll</w:t>
      </w:r>
      <w:r w:rsidRPr="00005719">
        <w:rPr>
          <w:sz w:val="14"/>
        </w:rPr>
        <w:t xml:space="preserve"> of the COVID-19 pandemic </w:t>
      </w:r>
      <w:r w:rsidRPr="00005719">
        <w:rPr>
          <w:rStyle w:val="StyleUnderline"/>
        </w:rPr>
        <w:t>only underscores the threat posed by pathogens that could be deliberately engineered and released</w:t>
      </w:r>
      <w:r w:rsidRPr="00005719">
        <w:rPr>
          <w:sz w:val="14"/>
        </w:rPr>
        <w:t>.</w:t>
      </w:r>
    </w:p>
    <w:p w14:paraId="105AF06C" w14:textId="77777777" w:rsidR="00825666" w:rsidRPr="00005719" w:rsidRDefault="00825666" w:rsidP="00825666">
      <w:pPr>
        <w:rPr>
          <w:sz w:val="14"/>
        </w:rPr>
      </w:pPr>
      <w:r w:rsidRPr="00005719">
        <w:rPr>
          <w:sz w:val="14"/>
        </w:rPr>
        <w:t xml:space="preserve">Why it matters: </w:t>
      </w:r>
      <w:proofErr w:type="gramStart"/>
      <w:r w:rsidRPr="00005719">
        <w:rPr>
          <w:rStyle w:val="Emphasis"/>
          <w:highlight w:val="green"/>
        </w:rPr>
        <w:t>New</w:t>
      </w:r>
      <w:proofErr w:type="gramEnd"/>
      <w:r w:rsidRPr="00005719">
        <w:rPr>
          <w:rStyle w:val="Emphasis"/>
          <w:highlight w:val="green"/>
        </w:rPr>
        <w:t xml:space="preserve"> tech</w:t>
      </w:r>
      <w:r w:rsidRPr="00005719">
        <w:rPr>
          <w:sz w:val="14"/>
        </w:rPr>
        <w:t xml:space="preserve">nology </w:t>
      </w:r>
      <w:r w:rsidRPr="00005719">
        <w:rPr>
          <w:rStyle w:val="StyleUnderline"/>
          <w:highlight w:val="green"/>
        </w:rPr>
        <w:t xml:space="preserve">like </w:t>
      </w:r>
      <w:r w:rsidRPr="00005719">
        <w:rPr>
          <w:rStyle w:val="Emphasis"/>
          <w:highlight w:val="green"/>
        </w:rPr>
        <w:t xml:space="preserve">gene editing </w:t>
      </w:r>
      <w:r w:rsidRPr="00005719">
        <w:rPr>
          <w:rStyle w:val="StyleUnderline"/>
          <w:highlight w:val="green"/>
        </w:rPr>
        <w:t xml:space="preserve">and </w:t>
      </w:r>
      <w:r w:rsidRPr="00005719">
        <w:rPr>
          <w:rStyle w:val="Emphasis"/>
          <w:highlight w:val="green"/>
        </w:rPr>
        <w:t xml:space="preserve">DNA synthesis </w:t>
      </w:r>
      <w:r w:rsidRPr="00005719">
        <w:rPr>
          <w:sz w:val="14"/>
        </w:rPr>
        <w:t xml:space="preserve">has </w:t>
      </w:r>
      <w:r w:rsidRPr="00005719">
        <w:rPr>
          <w:rStyle w:val="StyleUnderline"/>
          <w:highlight w:val="green"/>
        </w:rPr>
        <w:t xml:space="preserve">made </w:t>
      </w:r>
      <w:r w:rsidRPr="00005719">
        <w:rPr>
          <w:rStyle w:val="StyleUnderline"/>
        </w:rPr>
        <w:t>the creation of more virulent pathogens easier</w:t>
      </w:r>
      <w:r w:rsidRPr="00005719">
        <w:rPr>
          <w:sz w:val="14"/>
        </w:rPr>
        <w:t>. Yet security and regulation efforts haven't kept pace with the science.</w:t>
      </w:r>
    </w:p>
    <w:p w14:paraId="0BC60FF1" w14:textId="77777777" w:rsidR="00825666" w:rsidRPr="00005719" w:rsidRDefault="00825666" w:rsidP="00825666">
      <w:pPr>
        <w:rPr>
          <w:sz w:val="14"/>
        </w:rPr>
      </w:pPr>
      <w:r w:rsidRPr="00005719">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485E4693" w14:textId="77777777" w:rsidR="00825666" w:rsidRPr="00005719" w:rsidRDefault="00825666" w:rsidP="00825666">
      <w:pPr>
        <w:rPr>
          <w:rStyle w:val="StyleUnderline"/>
        </w:rPr>
      </w:pPr>
      <w:r w:rsidRPr="00005719">
        <w:rPr>
          <w:sz w:val="14"/>
        </w:rPr>
        <w:t xml:space="preserve">That doesn't mean the threat from bioweapons isn't dire. Along with AI, </w:t>
      </w:r>
      <w:r w:rsidRPr="00005719">
        <w:rPr>
          <w:rStyle w:val="Emphasis"/>
          <w:highlight w:val="green"/>
        </w:rPr>
        <w:t>engineered pandemics</w:t>
      </w:r>
      <w:r w:rsidRPr="00005719">
        <w:rPr>
          <w:rStyle w:val="StyleUnderline"/>
        </w:rPr>
        <w:t xml:space="preserve"> are widely considered </w:t>
      </w:r>
      <w:r w:rsidRPr="00005719">
        <w:rPr>
          <w:rStyle w:val="StyleUnderline"/>
          <w:highlight w:val="green"/>
        </w:rPr>
        <w:t xml:space="preserve">the </w:t>
      </w:r>
      <w:r w:rsidRPr="00005719">
        <w:rPr>
          <w:rStyle w:val="Emphasis"/>
          <w:highlight w:val="green"/>
        </w:rPr>
        <w:t>biggest existential risk facing humanity</w:t>
      </w:r>
      <w:r w:rsidRPr="00005719">
        <w:rPr>
          <w:rStyle w:val="StyleUnderline"/>
        </w:rPr>
        <w:t>.</w:t>
      </w:r>
    </w:p>
    <w:p w14:paraId="63C64DD1" w14:textId="77777777" w:rsidR="00825666" w:rsidRPr="00005719" w:rsidRDefault="00825666" w:rsidP="00825666">
      <w:pPr>
        <w:rPr>
          <w:rStyle w:val="StyleUnderline"/>
        </w:rPr>
      </w:pPr>
      <w:r w:rsidRPr="00005719">
        <w:rPr>
          <w:sz w:val="14"/>
        </w:rPr>
        <w:t xml:space="preserve">That's in part because </w:t>
      </w:r>
      <w:r w:rsidRPr="00005719">
        <w:rPr>
          <w:rStyle w:val="StyleUnderline"/>
        </w:rPr>
        <w:t xml:space="preserve">a </w:t>
      </w:r>
      <w:r w:rsidRPr="00005719">
        <w:rPr>
          <w:rStyle w:val="StyleUnderline"/>
          <w:highlight w:val="green"/>
        </w:rPr>
        <w:t xml:space="preserve">pathogen could be </w:t>
      </w:r>
      <w:r w:rsidRPr="00005719">
        <w:rPr>
          <w:rStyle w:val="Emphasis"/>
          <w:highlight w:val="green"/>
        </w:rPr>
        <w:t>engineered</w:t>
      </w:r>
      <w:r w:rsidRPr="00005719">
        <w:rPr>
          <w:rStyle w:val="StyleUnderline"/>
          <w:highlight w:val="green"/>
        </w:rPr>
        <w:t xml:space="preserve"> </w:t>
      </w:r>
      <w:r w:rsidRPr="00005719">
        <w:rPr>
          <w:rStyle w:val="StyleUnderline"/>
        </w:rPr>
        <w:t xml:space="preserve">in a lab </w:t>
      </w:r>
      <w:r w:rsidRPr="00005719">
        <w:rPr>
          <w:rStyle w:val="Emphasis"/>
          <w:highlight w:val="green"/>
        </w:rPr>
        <w:t>for maximum contagiousness and virulence</w:t>
      </w:r>
      <w:r w:rsidRPr="00005719">
        <w:rPr>
          <w:rStyle w:val="StyleUnderline"/>
        </w:rPr>
        <w:t>, well beyond what would arise through natural selection.</w:t>
      </w:r>
    </w:p>
    <w:p w14:paraId="49A431A7" w14:textId="77777777" w:rsidR="00825666" w:rsidRPr="00005719" w:rsidRDefault="00825666" w:rsidP="00825666">
      <w:pPr>
        <w:rPr>
          <w:sz w:val="14"/>
        </w:rPr>
      </w:pPr>
      <w:r w:rsidRPr="00005719">
        <w:rPr>
          <w:sz w:val="14"/>
        </w:rPr>
        <w:t xml:space="preserve">Case in point: a 2018 pandemic simulation put on by the Johns Hopkins Center for Health Security featured a fictional engineered virus called Clade X that combined the contagiousness of the common cold with the virulence of the real-life </w:t>
      </w:r>
      <w:proofErr w:type="spellStart"/>
      <w:r w:rsidRPr="00005719">
        <w:rPr>
          <w:sz w:val="14"/>
        </w:rPr>
        <w:t>Nipah</w:t>
      </w:r>
      <w:proofErr w:type="spellEnd"/>
      <w:r w:rsidRPr="00005719">
        <w:rPr>
          <w:sz w:val="14"/>
        </w:rPr>
        <w:t xml:space="preserve"> virus, which has a mortality rate of 40-75%. The resulting simulated global outbreak killed 150 million people.</w:t>
      </w:r>
    </w:p>
    <w:p w14:paraId="3B11AEA2" w14:textId="77777777" w:rsidR="00825666" w:rsidRPr="00005719" w:rsidRDefault="00825666" w:rsidP="00825666">
      <w:pPr>
        <w:rPr>
          <w:sz w:val="14"/>
        </w:rPr>
      </w:pPr>
      <w:r w:rsidRPr="00005719">
        <w:rPr>
          <w:sz w:val="14"/>
        </w:rPr>
        <w:t xml:space="preserve">COVID-19 isn't anywhere near that fatal, but </w:t>
      </w:r>
      <w:r w:rsidRPr="00005719">
        <w:rPr>
          <w:rStyle w:val="StyleUnderline"/>
        </w:rPr>
        <w:t xml:space="preserve">the </w:t>
      </w:r>
      <w:r w:rsidRPr="00005719">
        <w:rPr>
          <w:rStyle w:val="StyleUnderline"/>
          <w:highlight w:val="green"/>
        </w:rPr>
        <w:t>pandemic has shown the vulnerability of the U.S.</w:t>
      </w:r>
      <w:r w:rsidRPr="00005719">
        <w:rPr>
          <w:sz w:val="14"/>
        </w:rPr>
        <w:t xml:space="preserve"> and the world </w:t>
      </w:r>
      <w:r w:rsidRPr="00005719">
        <w:rPr>
          <w:rStyle w:val="StyleUnderline"/>
        </w:rPr>
        <w:t>to bio</w:t>
      </w:r>
      <w:r w:rsidRPr="00005719">
        <w:rPr>
          <w:sz w:val="14"/>
        </w:rPr>
        <w:t xml:space="preserve">logical </w:t>
      </w:r>
      <w:r w:rsidRPr="00005719">
        <w:rPr>
          <w:rStyle w:val="StyleUnderline"/>
        </w:rPr>
        <w:t>threats</w:t>
      </w:r>
      <w:r w:rsidRPr="00005719">
        <w:rPr>
          <w:sz w:val="14"/>
        </w:rPr>
        <w:t xml:space="preserve"> both natural and manmade.</w:t>
      </w:r>
    </w:p>
    <w:p w14:paraId="306543F6" w14:textId="77777777" w:rsidR="00825666" w:rsidRPr="00005719" w:rsidRDefault="00825666" w:rsidP="00825666">
      <w:pPr>
        <w:rPr>
          <w:sz w:val="14"/>
        </w:rPr>
      </w:pPr>
      <w:r w:rsidRPr="00005719">
        <w:rPr>
          <w:sz w:val="14"/>
        </w:rPr>
        <w:t>"</w:t>
      </w:r>
      <w:r w:rsidRPr="00005719">
        <w:rPr>
          <w:rStyle w:val="StyleUnderline"/>
        </w:rPr>
        <w:t xml:space="preserve">Potential </w:t>
      </w:r>
      <w:r w:rsidRPr="00005719">
        <w:rPr>
          <w:rStyle w:val="StyleUnderline"/>
          <w:highlight w:val="green"/>
        </w:rPr>
        <w:t>adversaries are</w:t>
      </w:r>
      <w:r w:rsidRPr="00005719">
        <w:rPr>
          <w:sz w:val="14"/>
        </w:rPr>
        <w:t xml:space="preserve"> of course </w:t>
      </w:r>
      <w:r w:rsidRPr="00005719">
        <w:rPr>
          <w:rStyle w:val="StyleUnderline"/>
          <w:highlight w:val="green"/>
        </w:rPr>
        <w:t xml:space="preserve">seeing the same things </w:t>
      </w:r>
      <w:r w:rsidRPr="00005719">
        <w:rPr>
          <w:rStyle w:val="StyleUnderline"/>
        </w:rPr>
        <w:t>we’re seeing</w:t>
      </w:r>
      <w:r w:rsidRPr="00005719">
        <w:rPr>
          <w:sz w:val="14"/>
        </w:rPr>
        <w:t>," says Richard Pilch of the Middlebury Institute of International Studies. "</w:t>
      </w:r>
      <w:r w:rsidRPr="00005719">
        <w:rPr>
          <w:rStyle w:val="StyleUnderline"/>
        </w:rPr>
        <w:t>Anyone looking for a radical leveling approach</w:t>
      </w:r>
      <w:r w:rsidRPr="00005719">
        <w:rPr>
          <w:sz w:val="14"/>
        </w:rPr>
        <w:t xml:space="preserve"> — whether a state actor like North Korea or </w:t>
      </w:r>
      <w:r w:rsidRPr="00005719">
        <w:rPr>
          <w:rStyle w:val="StyleUnderline"/>
        </w:rPr>
        <w:t>a</w:t>
      </w:r>
      <w:r w:rsidRPr="00005719">
        <w:rPr>
          <w:rStyle w:val="StyleUnderline"/>
          <w:highlight w:val="green"/>
        </w:rPr>
        <w:t xml:space="preserve"> </w:t>
      </w:r>
      <w:r w:rsidRPr="00005719">
        <w:rPr>
          <w:rStyle w:val="StyleUnderline"/>
        </w:rPr>
        <w:t xml:space="preserve">motivated </w:t>
      </w:r>
      <w:r w:rsidRPr="00005719">
        <w:rPr>
          <w:rStyle w:val="StyleUnderline"/>
          <w:highlight w:val="green"/>
        </w:rPr>
        <w:t>terrorist organization</w:t>
      </w:r>
      <w:r w:rsidRPr="00005719">
        <w:rPr>
          <w:sz w:val="14"/>
          <w:highlight w:val="green"/>
        </w:rPr>
        <w:t xml:space="preserve"> — </w:t>
      </w:r>
      <w:r w:rsidRPr="00005719">
        <w:rPr>
          <w:rStyle w:val="StyleUnderline"/>
          <w:highlight w:val="green"/>
        </w:rPr>
        <w:t>may be influenced by COVID</w:t>
      </w:r>
      <w:r w:rsidRPr="00005719">
        <w:rPr>
          <w:sz w:val="14"/>
        </w:rPr>
        <w:t xml:space="preserve">-19 </w:t>
      </w:r>
      <w:r w:rsidRPr="00005719">
        <w:rPr>
          <w:rStyle w:val="StyleUnderline"/>
          <w:highlight w:val="green"/>
        </w:rPr>
        <w:t>to</w:t>
      </w:r>
      <w:r w:rsidRPr="00005719">
        <w:rPr>
          <w:sz w:val="14"/>
          <w:highlight w:val="green"/>
        </w:rPr>
        <w:t xml:space="preserve"> </w:t>
      </w:r>
      <w:r w:rsidRPr="00005719">
        <w:rPr>
          <w:sz w:val="14"/>
        </w:rPr>
        <w:t xml:space="preserve">consider </w:t>
      </w:r>
      <w:r w:rsidRPr="00005719">
        <w:rPr>
          <w:rStyle w:val="StyleUnderline"/>
          <w:highlight w:val="green"/>
        </w:rPr>
        <w:t>pursu</w:t>
      </w:r>
      <w:r w:rsidRPr="00005719">
        <w:rPr>
          <w:sz w:val="14"/>
        </w:rPr>
        <w:t xml:space="preserve">ing a </w:t>
      </w:r>
      <w:r w:rsidRPr="00005719">
        <w:rPr>
          <w:rStyle w:val="StyleUnderline"/>
          <w:highlight w:val="green"/>
        </w:rPr>
        <w:t>bio</w:t>
      </w:r>
      <w:r w:rsidRPr="00005719">
        <w:rPr>
          <w:sz w:val="14"/>
        </w:rPr>
        <w:t xml:space="preserve">logical </w:t>
      </w:r>
      <w:r w:rsidRPr="00005719">
        <w:rPr>
          <w:rStyle w:val="StyleUnderline"/>
          <w:highlight w:val="green"/>
        </w:rPr>
        <w:t xml:space="preserve">weapons </w:t>
      </w:r>
      <w:r w:rsidRPr="00005719">
        <w:rPr>
          <w:rStyle w:val="StyleUnderline"/>
        </w:rPr>
        <w:t>capability."</w:t>
      </w:r>
    </w:p>
    <w:p w14:paraId="37ECF64E" w14:textId="77777777" w:rsidR="00825666" w:rsidRPr="00005719" w:rsidRDefault="00825666" w:rsidP="00825666">
      <w:pPr>
        <w:rPr>
          <w:sz w:val="14"/>
        </w:rPr>
      </w:pPr>
      <w:r w:rsidRPr="00005719">
        <w:rPr>
          <w:sz w:val="14"/>
        </w:rPr>
        <w:t>Background: Bioweapons were officially banned by the Biological Weapons Convention in 1975, though North Korea is suspected of maintaining an offensive bioweapons program.</w:t>
      </w:r>
    </w:p>
    <w:p w14:paraId="18B1E22F" w14:textId="77777777" w:rsidR="00825666" w:rsidRPr="00005719" w:rsidRDefault="00825666" w:rsidP="00825666">
      <w:pPr>
        <w:rPr>
          <w:sz w:val="14"/>
        </w:rPr>
      </w:pPr>
      <w:r w:rsidRPr="00005719">
        <w:rPr>
          <w:sz w:val="14"/>
        </w:rPr>
        <w:t xml:space="preserve">A particular concern about biowarfare and bioterror, though, is that many of </w:t>
      </w:r>
      <w:r w:rsidRPr="00005719">
        <w:rPr>
          <w:rStyle w:val="StyleUnderline"/>
        </w:rPr>
        <w:t>the tools and methods that could be used to create a weaponized virus are</w:t>
      </w:r>
      <w:r w:rsidRPr="00005719">
        <w:rPr>
          <w:sz w:val="14"/>
        </w:rPr>
        <w:t xml:space="preserve"> largely </w:t>
      </w:r>
      <w:r w:rsidRPr="00005719">
        <w:rPr>
          <w:rStyle w:val="StyleUnderline"/>
        </w:rPr>
        <w:t xml:space="preserve">indistinguishable from those used </w:t>
      </w:r>
      <w:proofErr w:type="gramStart"/>
      <w:r w:rsidRPr="00005719">
        <w:rPr>
          <w:rStyle w:val="StyleUnderline"/>
        </w:rPr>
        <w:t>in</w:t>
      </w:r>
      <w:r w:rsidRPr="00005719">
        <w:rPr>
          <w:sz w:val="14"/>
        </w:rPr>
        <w:t xml:space="preserve"> the course of</w:t>
      </w:r>
      <w:proofErr w:type="gramEnd"/>
      <w:r w:rsidRPr="00005719">
        <w:rPr>
          <w:sz w:val="14"/>
        </w:rPr>
        <w:t xml:space="preserve"> </w:t>
      </w:r>
      <w:r w:rsidRPr="00005719">
        <w:rPr>
          <w:rStyle w:val="StyleUnderline"/>
        </w:rPr>
        <w:t>legitimate scientific research. This makes biotech</w:t>
      </w:r>
      <w:r w:rsidRPr="00005719">
        <w:rPr>
          <w:sz w:val="14"/>
        </w:rPr>
        <w:t xml:space="preserve">nology </w:t>
      </w:r>
      <w:r w:rsidRPr="00005719">
        <w:rPr>
          <w:rStyle w:val="StyleUnderline"/>
        </w:rPr>
        <w:t>"dual-use"</w:t>
      </w:r>
      <w:r w:rsidRPr="00005719">
        <w:rPr>
          <w:sz w:val="14"/>
        </w:rPr>
        <w:t xml:space="preserve"> — and that much more difficult to safely regulate without cutting off research that could be vitally important.</w:t>
      </w:r>
    </w:p>
    <w:p w14:paraId="7B3EE25D" w14:textId="77777777" w:rsidR="00825666" w:rsidRPr="00005719" w:rsidRDefault="00825666" w:rsidP="00825666">
      <w:pPr>
        <w:rPr>
          <w:sz w:val="14"/>
        </w:rPr>
      </w:pPr>
      <w:r w:rsidRPr="00005719">
        <w:rPr>
          <w:sz w:val="14"/>
        </w:rPr>
        <w:t xml:space="preserve">While earlier bioweapons fears focused on the possibility that a state or terror group could try to weaponize a known dangerous agent like smallpox — which would require somehow obtaining restricted pathogens — </w:t>
      </w:r>
      <w:r w:rsidRPr="00005719">
        <w:rPr>
          <w:rStyle w:val="StyleUnderline"/>
        </w:rPr>
        <w:t>new tech</w:t>
      </w:r>
      <w:r w:rsidRPr="00005719">
        <w:rPr>
          <w:sz w:val="14"/>
        </w:rPr>
        <w:t xml:space="preserve">nology </w:t>
      </w:r>
      <w:r w:rsidRPr="00005719">
        <w:rPr>
          <w:rStyle w:val="StyleUnderline"/>
        </w:rPr>
        <w:t>means</w:t>
      </w:r>
      <w:r w:rsidRPr="00005719">
        <w:rPr>
          <w:sz w:val="14"/>
        </w:rPr>
        <w:t xml:space="preserve"> that </w:t>
      </w:r>
      <w:r w:rsidRPr="00005719">
        <w:rPr>
          <w:rStyle w:val="StyleUnderline"/>
        </w:rPr>
        <w:t>someone could obtain the genetic sequence of a germ online and synthesize it in the lab</w:t>
      </w:r>
      <w:r w:rsidRPr="00005719">
        <w:rPr>
          <w:sz w:val="14"/>
        </w:rPr>
        <w:t>.</w:t>
      </w:r>
    </w:p>
    <w:p w14:paraId="367EF9F4" w14:textId="77777777" w:rsidR="00825666" w:rsidRPr="00005719" w:rsidRDefault="00825666" w:rsidP="00825666">
      <w:pPr>
        <w:rPr>
          <w:sz w:val="14"/>
        </w:rPr>
      </w:pPr>
      <w:r w:rsidRPr="00005719">
        <w:rPr>
          <w:sz w:val="14"/>
        </w:rPr>
        <w:t xml:space="preserve">"If you've been trained in a relevant technical discipline, that means you can make almost any potentially harmful agent that you're aware of," says Kevin </w:t>
      </w:r>
      <w:proofErr w:type="spellStart"/>
      <w:r w:rsidRPr="00005719">
        <w:rPr>
          <w:sz w:val="14"/>
        </w:rPr>
        <w:t>Esvelt</w:t>
      </w:r>
      <w:proofErr w:type="spellEnd"/>
      <w:r w:rsidRPr="00005719">
        <w:rPr>
          <w:sz w:val="14"/>
        </w:rPr>
        <w:t>, a biologist at the MIT Media Lab and a member of the CDC's Biological Agent Containment Working Group. That would include the novel coronavirus that causes COVID-19, which was recently synthesized from its genetic sequence in a study published in Nature.</w:t>
      </w:r>
    </w:p>
    <w:p w14:paraId="4047DC55" w14:textId="77777777" w:rsidR="00825666" w:rsidRPr="00005719" w:rsidRDefault="00825666" w:rsidP="00825666">
      <w:pPr>
        <w:rPr>
          <w:sz w:val="14"/>
        </w:rPr>
      </w:pPr>
      <w:r w:rsidRPr="00005719">
        <w:rPr>
          <w:sz w:val="14"/>
        </w:rPr>
        <w:t xml:space="preserve">How it works: Currently, synthetic DNA is ordered through commercial suppliers. But while most suppliers screen DNA orders for the sequences of dangerous pathogens, they're not required to — and not all do, which means safety efforts are "incomplete, inaccurate, and insecure," says </w:t>
      </w:r>
      <w:proofErr w:type="spellStart"/>
      <w:r w:rsidRPr="00005719">
        <w:rPr>
          <w:sz w:val="14"/>
        </w:rPr>
        <w:t>Esvelt</w:t>
      </w:r>
      <w:proofErr w:type="spellEnd"/>
      <w:r w:rsidRPr="00005719">
        <w:rPr>
          <w:sz w:val="14"/>
        </w:rPr>
        <w:t>.</w:t>
      </w:r>
    </w:p>
    <w:p w14:paraId="1FDC88CA" w14:textId="77777777" w:rsidR="00825666" w:rsidRPr="00005719" w:rsidRDefault="00825666" w:rsidP="00825666">
      <w:pPr>
        <w:rPr>
          <w:sz w:val="14"/>
        </w:rPr>
      </w:pPr>
      <w:r w:rsidRPr="00005719">
        <w:rPr>
          <w:sz w:val="14"/>
        </w:rPr>
        <w:t>Screening efforts that look for the genetic sequences of known pathogens also wouldn't necessarily be able to detect when synthetic DNA was being used to make something entirely novel and dangerous.</w:t>
      </w:r>
    </w:p>
    <w:p w14:paraId="6A78740A" w14:textId="77777777" w:rsidR="00825666" w:rsidRPr="00005719" w:rsidRDefault="00825666" w:rsidP="00825666">
      <w:pPr>
        <w:rPr>
          <w:sz w:val="14"/>
        </w:rPr>
      </w:pPr>
      <w:proofErr w:type="gramStart"/>
      <w:r w:rsidRPr="00005719">
        <w:rPr>
          <w:sz w:val="14"/>
        </w:rPr>
        <w:t>In the near future</w:t>
      </w:r>
      <w:proofErr w:type="gramEnd"/>
      <w:r w:rsidRPr="00005719">
        <w:rPr>
          <w:sz w:val="14"/>
        </w:rPr>
        <w:t>, desktop DNA synthesizers may be able to generate synthetic DNA in the lab, cutting out the need for commercial suppliers — and potential security screenings.</w:t>
      </w:r>
    </w:p>
    <w:p w14:paraId="2A08887D" w14:textId="77777777" w:rsidR="00825666" w:rsidRPr="00005719" w:rsidRDefault="00825666" w:rsidP="00825666">
      <w:pPr>
        <w:rPr>
          <w:sz w:val="14"/>
        </w:rPr>
      </w:pPr>
      <w:r w:rsidRPr="00005719">
        <w:rPr>
          <w:rStyle w:val="StyleUnderline"/>
          <w:highlight w:val="green"/>
        </w:rPr>
        <w:t xml:space="preserve">The </w:t>
      </w:r>
      <w:r w:rsidRPr="00005719">
        <w:rPr>
          <w:rStyle w:val="Emphasis"/>
          <w:highlight w:val="green"/>
        </w:rPr>
        <w:t>democratization of biotech</w:t>
      </w:r>
      <w:r w:rsidRPr="00005719">
        <w:rPr>
          <w:sz w:val="14"/>
        </w:rPr>
        <w:t xml:space="preserve">nology </w:t>
      </w:r>
      <w:r w:rsidRPr="00005719">
        <w:rPr>
          <w:rStyle w:val="StyleUnderline"/>
          <w:highlight w:val="green"/>
        </w:rPr>
        <w:t xml:space="preserve">could unleash a </w:t>
      </w:r>
      <w:r w:rsidRPr="00005719">
        <w:rPr>
          <w:rStyle w:val="Emphasis"/>
          <w:highlight w:val="green"/>
        </w:rPr>
        <w:t>wave of</w:t>
      </w:r>
      <w:r w:rsidRPr="00005719">
        <w:rPr>
          <w:rStyle w:val="StyleUnderline"/>
          <w:highlight w:val="green"/>
        </w:rPr>
        <w:t xml:space="preserve"> </w:t>
      </w:r>
      <w:r w:rsidRPr="00005719">
        <w:rPr>
          <w:sz w:val="14"/>
        </w:rPr>
        <w:t xml:space="preserve">creativity and </w:t>
      </w:r>
      <w:r w:rsidRPr="00005719">
        <w:rPr>
          <w:rStyle w:val="Emphasis"/>
          <w:highlight w:val="green"/>
        </w:rPr>
        <w:t>innovation</w:t>
      </w:r>
      <w:r w:rsidRPr="00005719">
        <w:rPr>
          <w:sz w:val="14"/>
        </w:rPr>
        <w:t xml:space="preserve">, just as the democratization of personal computing did. </w:t>
      </w:r>
      <w:r w:rsidRPr="00005719">
        <w:rPr>
          <w:rStyle w:val="StyleUnderline"/>
        </w:rPr>
        <w:t xml:space="preserve">But </w:t>
      </w:r>
      <w:r w:rsidRPr="00005719">
        <w:rPr>
          <w:rStyle w:val="StyleUnderline"/>
          <w:highlight w:val="green"/>
        </w:rPr>
        <w:t xml:space="preserve">it </w:t>
      </w:r>
      <w:r w:rsidRPr="00005719">
        <w:rPr>
          <w:sz w:val="14"/>
        </w:rPr>
        <w:t xml:space="preserve">also </w:t>
      </w:r>
      <w:r w:rsidRPr="00005719">
        <w:rPr>
          <w:rStyle w:val="StyleUnderline"/>
          <w:highlight w:val="green"/>
        </w:rPr>
        <w:t xml:space="preserve">increases the number of people who could </w:t>
      </w:r>
      <w:r w:rsidRPr="00005719">
        <w:rPr>
          <w:rStyle w:val="StyleUnderline"/>
        </w:rPr>
        <w:t xml:space="preserve">potentially </w:t>
      </w:r>
      <w:r w:rsidRPr="00005719">
        <w:rPr>
          <w:rStyle w:val="StyleUnderline"/>
          <w:highlight w:val="green"/>
        </w:rPr>
        <w:t xml:space="preserve">make a dangerous </w:t>
      </w:r>
      <w:r w:rsidRPr="00005719">
        <w:rPr>
          <w:rStyle w:val="StyleUnderline"/>
        </w:rPr>
        <w:t xml:space="preserve">engineered </w:t>
      </w:r>
      <w:r w:rsidRPr="00005719">
        <w:rPr>
          <w:rStyle w:val="StyleUnderline"/>
          <w:highlight w:val="green"/>
        </w:rPr>
        <w:t>virus</w:t>
      </w:r>
      <w:r w:rsidRPr="00005719">
        <w:rPr>
          <w:sz w:val="14"/>
        </w:rPr>
        <w:t>, whether deliberately or by accident.</w:t>
      </w:r>
    </w:p>
    <w:p w14:paraId="2468E99F" w14:textId="77777777" w:rsidR="00825666" w:rsidRPr="00005719" w:rsidRDefault="00825666" w:rsidP="00825666"/>
    <w:bookmarkEnd w:id="1"/>
    <w:p w14:paraId="67D733CE" w14:textId="77777777" w:rsidR="00825666" w:rsidRDefault="00825666" w:rsidP="00825666">
      <w:pPr>
        <w:pStyle w:val="Heading3"/>
      </w:pPr>
      <w:r>
        <w:t>4</w:t>
      </w:r>
    </w:p>
    <w:p w14:paraId="45EB44C5" w14:textId="77777777" w:rsidR="00825666" w:rsidRPr="006660FE" w:rsidRDefault="00825666" w:rsidP="00825666">
      <w:pPr>
        <w:pStyle w:val="Heading4"/>
        <w:rPr>
          <w:rFonts w:cs="Calibri"/>
        </w:rPr>
      </w:pPr>
      <w:r w:rsidRPr="006660FE">
        <w:rPr>
          <w:rFonts w:cs="Calibri"/>
        </w:rPr>
        <w:t xml:space="preserve">CP: The member nations of the World Trade Organization should </w:t>
      </w:r>
      <w:proofErr w:type="gramStart"/>
      <w:r w:rsidRPr="006660FE">
        <w:rPr>
          <w:rFonts w:cs="Calibri"/>
        </w:rPr>
        <w:t>enter into</w:t>
      </w:r>
      <w:proofErr w:type="gramEnd"/>
      <w:r w:rsidRPr="006660FE">
        <w:rPr>
          <w:rFonts w:cs="Calibri"/>
        </w:rPr>
        <w:t xml:space="preserve"> a prior and binding consultation with the World Health Organization over whether to [</w:t>
      </w:r>
      <w:r w:rsidRPr="006660FE">
        <w:rPr>
          <w:rFonts w:cs="Calibri"/>
          <w:color w:val="FF0000"/>
        </w:rPr>
        <w:t>plan</w:t>
      </w:r>
      <w:r w:rsidRPr="006660FE">
        <w:rPr>
          <w:rFonts w:cs="Calibri"/>
        </w:rPr>
        <w:t xml:space="preserve">]. Member nations should support the proposal and adopt the results of consultation. </w:t>
      </w:r>
    </w:p>
    <w:p w14:paraId="6DBA18B9" w14:textId="77777777" w:rsidR="00825666" w:rsidRPr="006660FE" w:rsidRDefault="00825666" w:rsidP="00825666"/>
    <w:p w14:paraId="17536546" w14:textId="77777777" w:rsidR="00825666" w:rsidRPr="006660FE" w:rsidRDefault="00825666" w:rsidP="00825666">
      <w:pPr>
        <w:pStyle w:val="Heading4"/>
        <w:rPr>
          <w:rFonts w:cs="Calibri"/>
        </w:rPr>
      </w:pPr>
      <w:r w:rsidRPr="006660FE">
        <w:rPr>
          <w:rFonts w:cs="Calibri"/>
        </w:rPr>
        <w:t xml:space="preserve">WHO says yes – it supports increasing the availability of generics and limiting </w:t>
      </w:r>
      <w:proofErr w:type="gramStart"/>
      <w:r w:rsidRPr="006660FE">
        <w:rPr>
          <w:rFonts w:cs="Calibri"/>
        </w:rPr>
        <w:t>TRIPS</w:t>
      </w:r>
      <w:proofErr w:type="gramEnd"/>
    </w:p>
    <w:p w14:paraId="7560EFD7" w14:textId="77777777" w:rsidR="00825666" w:rsidRPr="006660FE" w:rsidRDefault="00825666" w:rsidP="00825666">
      <w:pPr>
        <w:rPr>
          <w:rStyle w:val="Style13ptBold"/>
          <w:b w:val="0"/>
          <w:bCs w:val="0"/>
        </w:rPr>
      </w:pPr>
      <w:proofErr w:type="spellStart"/>
      <w:r w:rsidRPr="006660FE">
        <w:rPr>
          <w:rStyle w:val="Style13ptBold"/>
        </w:rPr>
        <w:t>Hoen</w:t>
      </w:r>
      <w:proofErr w:type="spellEnd"/>
      <w:r w:rsidRPr="006660FE">
        <w:rPr>
          <w:rStyle w:val="Style13ptBold"/>
        </w:rPr>
        <w:t xml:space="preserve"> 03 </w:t>
      </w:r>
      <w:r w:rsidRPr="006660FE">
        <w:rPr>
          <w:rStyle w:val="Style13ptBold"/>
          <w:b w:val="0"/>
          <w:bCs w:val="0"/>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b w:val="0"/>
          <w:bCs w:val="0"/>
          <w:sz w:val="16"/>
          <w:szCs w:val="16"/>
        </w:rPr>
        <w:t>) “</w:t>
      </w:r>
      <w:r w:rsidRPr="006660FE">
        <w:rPr>
          <w:bCs/>
          <w:szCs w:val="16"/>
        </w:rPr>
        <w:t>TRIPS, Pharmaceutical Patents and Access to Essential Medicines: Seattle, Doha and Beyond,” Chicago Journal of International Law, 2003] JL</w:t>
      </w:r>
    </w:p>
    <w:p w14:paraId="22DDFAE7" w14:textId="77777777" w:rsidR="00825666" w:rsidRPr="006660FE" w:rsidRDefault="00825666" w:rsidP="00825666">
      <w:pPr>
        <w:rPr>
          <w:sz w:val="12"/>
        </w:rPr>
      </w:pPr>
      <w:r w:rsidRPr="006660FE">
        <w:rPr>
          <w:sz w:val="12"/>
        </w:rPr>
        <w:t xml:space="preserve">However, </w:t>
      </w:r>
      <w:r w:rsidRPr="006660FE">
        <w:rPr>
          <w:rStyle w:val="StyleUnderline"/>
        </w:rPr>
        <w:t xml:space="preserve">subsequent resolutions of the World Health Assembly have strengthened </w:t>
      </w:r>
      <w:r w:rsidRPr="006660FE">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6660FE">
        <w:rPr>
          <w:rStyle w:val="Emphasis"/>
          <w:highlight w:val="green"/>
        </w:rPr>
        <w:t>adopted two resolutions</w:t>
      </w:r>
      <w:r w:rsidRPr="006660FE">
        <w:rPr>
          <w:rStyle w:val="StyleUnderline"/>
        </w:rPr>
        <w:t xml:space="preserve"> </w:t>
      </w:r>
      <w:proofErr w:type="gramStart"/>
      <w:r w:rsidRPr="006660FE">
        <w:rPr>
          <w:rStyle w:val="StyleUnderline"/>
        </w:rPr>
        <w:t>in particular that</w:t>
      </w:r>
      <w:proofErr w:type="gramEnd"/>
      <w:r w:rsidRPr="006660FE">
        <w:rPr>
          <w:rStyle w:val="StyleUnderline"/>
        </w:rPr>
        <w:t xml:space="preserve"> had a bearing on the debate over TRIPS</w:t>
      </w:r>
      <w:r w:rsidRPr="006660FE">
        <w:rPr>
          <w:sz w:val="12"/>
        </w:rPr>
        <w:t xml:space="preserve"> [30]. </w:t>
      </w:r>
      <w:r w:rsidRPr="006660FE">
        <w:rPr>
          <w:rStyle w:val="StyleUnderline"/>
        </w:rPr>
        <w:t>The resolutions addressed</w:t>
      </w:r>
      <w:r w:rsidRPr="006660FE">
        <w:rPr>
          <w:sz w:val="12"/>
        </w:rPr>
        <w:t>:</w:t>
      </w:r>
    </w:p>
    <w:p w14:paraId="38EF23B2" w14:textId="77777777" w:rsidR="00825666" w:rsidRPr="006660FE" w:rsidRDefault="00825666" w:rsidP="00825666">
      <w:pPr>
        <w:rPr>
          <w:rStyle w:val="StyleUnderline"/>
        </w:rPr>
      </w:pPr>
      <w:r w:rsidRPr="006660FE">
        <w:rPr>
          <w:sz w:val="12"/>
        </w:rPr>
        <w:t xml:space="preserve">– </w:t>
      </w:r>
      <w:r w:rsidRPr="006660FE">
        <w:rPr>
          <w:rStyle w:val="StyleUnderline"/>
          <w:highlight w:val="green"/>
        </w:rPr>
        <w:t>the need</w:t>
      </w:r>
      <w:r w:rsidRPr="006660FE">
        <w:rPr>
          <w:rStyle w:val="StyleUnderline"/>
        </w:rPr>
        <w:t xml:space="preserve"> </w:t>
      </w:r>
      <w:r w:rsidRPr="006660FE">
        <w:rPr>
          <w:rStyle w:val="Emphasis"/>
        </w:rPr>
        <w:t xml:space="preserve">to strengthen policies </w:t>
      </w:r>
      <w:r w:rsidRPr="006660FE">
        <w:rPr>
          <w:rStyle w:val="Emphasis"/>
          <w:highlight w:val="green"/>
        </w:rPr>
        <w:t xml:space="preserve">to increase the availability of generic </w:t>
      </w:r>
      <w:proofErr w:type="gramStart"/>
      <w:r w:rsidRPr="006660FE">
        <w:rPr>
          <w:rStyle w:val="Emphasis"/>
          <w:highlight w:val="green"/>
        </w:rPr>
        <w:t>drugs</w:t>
      </w:r>
      <w:r w:rsidRPr="006660FE">
        <w:rPr>
          <w:sz w:val="12"/>
        </w:rPr>
        <w:t>;</w:t>
      </w:r>
      <w:proofErr w:type="gramEnd"/>
    </w:p>
    <w:p w14:paraId="49392AD9" w14:textId="77777777" w:rsidR="00825666" w:rsidRPr="006660FE" w:rsidRDefault="00825666" w:rsidP="00825666">
      <w:pPr>
        <w:rPr>
          <w:rStyle w:val="Emphasis"/>
        </w:rPr>
      </w:pPr>
      <w:r w:rsidRPr="006660FE">
        <w:rPr>
          <w:sz w:val="12"/>
        </w:rPr>
        <w:t xml:space="preserve">– </w:t>
      </w:r>
      <w:r w:rsidRPr="006660FE">
        <w:rPr>
          <w:rStyle w:val="StyleUnderline"/>
          <w:highlight w:val="green"/>
        </w:rPr>
        <w:t>and</w:t>
      </w:r>
      <w:r w:rsidRPr="006660FE">
        <w:rPr>
          <w:rStyle w:val="StyleUnderline"/>
        </w:rPr>
        <w:t xml:space="preserve"> the need to </w:t>
      </w:r>
      <w:r w:rsidRPr="006660FE">
        <w:rPr>
          <w:rStyle w:val="Emphasis"/>
          <w:highlight w:val="green"/>
        </w:rPr>
        <w:t>evaluate</w:t>
      </w:r>
      <w:r w:rsidRPr="006660FE">
        <w:rPr>
          <w:rStyle w:val="Emphasis"/>
        </w:rPr>
        <w:t xml:space="preserve"> the impact of </w:t>
      </w:r>
      <w:r w:rsidRPr="006660FE">
        <w:rPr>
          <w:rStyle w:val="Emphasis"/>
          <w:highlight w:val="green"/>
        </w:rPr>
        <w:t>TRIPS on access to drugs</w:t>
      </w:r>
      <w:r w:rsidRPr="006660FE">
        <w:rPr>
          <w:rStyle w:val="Emphasis"/>
        </w:rPr>
        <w:t>, local manufacturing capacity, and the development of new drugs</w:t>
      </w:r>
    </w:p>
    <w:p w14:paraId="312D8FBD" w14:textId="77777777" w:rsidR="00825666" w:rsidRPr="006660FE" w:rsidRDefault="00825666" w:rsidP="00825666"/>
    <w:p w14:paraId="3BF01562" w14:textId="77777777" w:rsidR="00825666" w:rsidRPr="006660FE" w:rsidRDefault="00825666" w:rsidP="00825666">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047134A3" w14:textId="77777777" w:rsidR="00825666" w:rsidRPr="006660FE" w:rsidRDefault="00825666" w:rsidP="00825666">
      <w:pPr>
        <w:rPr>
          <w:rStyle w:val="Style13ptBold"/>
          <w:b w:val="0"/>
          <w:bCs w:val="0"/>
        </w:rPr>
      </w:pPr>
      <w:proofErr w:type="spellStart"/>
      <w:r w:rsidRPr="006660FE">
        <w:rPr>
          <w:rStyle w:val="Style13ptBold"/>
        </w:rPr>
        <w:t>Gostin</w:t>
      </w:r>
      <w:proofErr w:type="spellEnd"/>
      <w:r w:rsidRPr="006660FE">
        <w:rPr>
          <w:rStyle w:val="Style13ptBold"/>
        </w:rPr>
        <w:t xml:space="preserve"> et al 15 </w:t>
      </w:r>
      <w:r w:rsidRPr="006660FE">
        <w:rPr>
          <w:rStyle w:val="Style13ptBold"/>
          <w:b w:val="0"/>
          <w:bCs w:val="0"/>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b w:val="0"/>
          <w:bCs w:val="0"/>
          <w:sz w:val="16"/>
          <w:szCs w:val="16"/>
        </w:rPr>
        <w:t>) “</w:t>
      </w:r>
      <w:r w:rsidRPr="006660FE">
        <w:rPr>
          <w:bCs/>
          <w:szCs w:val="16"/>
        </w:rPr>
        <w:t>The Normative Authority of the World Health Organization,” Georgetown University Law Center, 5/2/2015] JL</w:t>
      </w:r>
    </w:p>
    <w:p w14:paraId="05FCF123" w14:textId="77777777" w:rsidR="00825666" w:rsidRPr="006660FE" w:rsidRDefault="00825666" w:rsidP="00825666">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w:t>
      </w:r>
      <w:proofErr w:type="gramStart"/>
      <w:r w:rsidRPr="006660FE">
        <w:rPr>
          <w:szCs w:val="26"/>
        </w:rPr>
        <w:t>sovereignty, and</w:t>
      </w:r>
      <w:proofErr w:type="gramEnd"/>
      <w:r w:rsidRPr="006660FE">
        <w:rPr>
          <w:szCs w:val="26"/>
        </w:rPr>
        <w:t xml:space="preserve">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An inherent tension exists between richer ‘net contributor’ states and poorer ‘net recipient’ states</w:t>
      </w:r>
      <w:r w:rsidRPr="006660FE">
        <w:rPr>
          <w:szCs w:val="26"/>
        </w:rPr>
        <w:t>, with the former seeking smaller WHO budgets and the latter larger budgets.</w:t>
      </w:r>
    </w:p>
    <w:p w14:paraId="53BB8DBA" w14:textId="77777777" w:rsidR="00825666" w:rsidRPr="006660FE" w:rsidRDefault="00825666" w:rsidP="00825666">
      <w:pPr>
        <w:rPr>
          <w:szCs w:val="26"/>
        </w:rPr>
      </w:pPr>
      <w:r w:rsidRPr="006660FE">
        <w:rPr>
          <w:szCs w:val="26"/>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6660FE">
        <w:rPr>
          <w:szCs w:val="26"/>
        </w:rPr>
        <w:t>Liberia</w:t>
      </w:r>
      <w:proofErr w:type="gramEnd"/>
      <w:r w:rsidRPr="006660FE">
        <w:rPr>
          <w:szCs w:val="26"/>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5D38F362" w14:textId="77777777" w:rsidR="00825666" w:rsidRPr="006660FE" w:rsidRDefault="00825666" w:rsidP="00825666">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6CDDD622" w14:textId="77777777" w:rsidR="00825666" w:rsidRPr="006660FE" w:rsidRDefault="00825666" w:rsidP="00825666"/>
    <w:p w14:paraId="156CC6E6" w14:textId="77777777" w:rsidR="00825666" w:rsidRPr="006660FE" w:rsidRDefault="00825666" w:rsidP="00825666">
      <w:pPr>
        <w:pStyle w:val="Heading4"/>
        <w:rPr>
          <w:rFonts w:cs="Calibri"/>
        </w:rPr>
      </w:pPr>
      <w:r w:rsidRPr="006660FE">
        <w:rPr>
          <w:rFonts w:cs="Calibri"/>
        </w:rPr>
        <w:t xml:space="preserve">WHO is critical to disease prevention – it is the only international institution that can disperse information, standardize global public health, and facilitate public-private </w:t>
      </w:r>
      <w:proofErr w:type="gramStart"/>
      <w:r w:rsidRPr="006660FE">
        <w:rPr>
          <w:rFonts w:cs="Calibri"/>
        </w:rPr>
        <w:t>cooperation</w:t>
      </w:r>
      <w:proofErr w:type="gramEnd"/>
    </w:p>
    <w:p w14:paraId="09171271" w14:textId="77777777" w:rsidR="00825666" w:rsidRPr="006660FE" w:rsidRDefault="00825666" w:rsidP="00825666">
      <w:pPr>
        <w:rPr>
          <w:rStyle w:val="Style13ptBold"/>
          <w:bCs w:val="0"/>
        </w:rPr>
      </w:pPr>
      <w:proofErr w:type="spellStart"/>
      <w:r w:rsidRPr="006660FE">
        <w:rPr>
          <w:rStyle w:val="Style13ptBold"/>
        </w:rPr>
        <w:t>Murtugudde</w:t>
      </w:r>
      <w:proofErr w:type="spellEnd"/>
      <w:r w:rsidRPr="006660FE">
        <w:rPr>
          <w:rStyle w:val="Style13ptBold"/>
        </w:rPr>
        <w:t xml:space="preserve"> 20 </w:t>
      </w:r>
      <w:r w:rsidRPr="006660FE">
        <w:rPr>
          <w:rStyle w:val="Style13ptBold"/>
          <w:b w:val="0"/>
          <w:bCs w:val="0"/>
          <w:sz w:val="16"/>
          <w:szCs w:val="16"/>
        </w:rPr>
        <w:t>[(Raghu, professor of atmospheric and oceanic science at the University of Maryland, PhD in mechanical engineering from Columbia University) “</w:t>
      </w:r>
      <w:r w:rsidRPr="006660FE">
        <w:rPr>
          <w:szCs w:val="16"/>
        </w:rPr>
        <w:t>Why We Need the World Health Organization Now More Than Ever,” Science, 4/19/2020] JL</w:t>
      </w:r>
    </w:p>
    <w:p w14:paraId="552B24F5" w14:textId="77777777" w:rsidR="00825666" w:rsidRPr="006660FE" w:rsidRDefault="00825666" w:rsidP="00825666">
      <w:pPr>
        <w:rPr>
          <w:szCs w:val="26"/>
        </w:rPr>
      </w:pPr>
      <w:r w:rsidRPr="006660FE">
        <w:rPr>
          <w:rStyle w:val="StyleUnderline"/>
          <w:szCs w:val="26"/>
          <w:highlight w:val="green"/>
        </w:rPr>
        <w:t>WHO</w:t>
      </w:r>
      <w:r w:rsidRPr="006660FE">
        <w:rPr>
          <w:rStyle w:val="StyleUnderline"/>
          <w:szCs w:val="26"/>
        </w:rPr>
        <w:t xml:space="preserve"> continues to </w:t>
      </w:r>
      <w:r w:rsidRPr="006660FE">
        <w:rPr>
          <w:rStyle w:val="StyleUnderline"/>
          <w:szCs w:val="26"/>
          <w:highlight w:val="green"/>
        </w:rPr>
        <w:t xml:space="preserve">play an </w:t>
      </w:r>
      <w:r w:rsidRPr="006660FE">
        <w:rPr>
          <w:rStyle w:val="Emphasis"/>
          <w:szCs w:val="26"/>
          <w:highlight w:val="green"/>
        </w:rPr>
        <w:t>indispensable role</w:t>
      </w:r>
      <w:r w:rsidRPr="006660FE">
        <w:rPr>
          <w:rStyle w:val="StyleUnderline"/>
          <w:szCs w:val="26"/>
        </w:rPr>
        <w:t xml:space="preserve"> during the current COVID-19 outbreak</w:t>
      </w:r>
      <w:r w:rsidRPr="006660FE">
        <w:rPr>
          <w:szCs w:val="26"/>
        </w:rPr>
        <w:t xml:space="preserve"> </w:t>
      </w:r>
      <w:proofErr w:type="gramStart"/>
      <w:r w:rsidRPr="006660FE">
        <w:rPr>
          <w:szCs w:val="26"/>
        </w:rPr>
        <w:t>itself.</w:t>
      </w:r>
      <w:proofErr w:type="gramEnd"/>
      <w:r w:rsidRPr="006660FE">
        <w:rPr>
          <w:szCs w:val="26"/>
        </w:rPr>
        <w:t xml:space="preserve"> In November 2018, </w:t>
      </w:r>
      <w:r w:rsidRPr="006660FE">
        <w:rPr>
          <w:rStyle w:val="StyleUnderline"/>
          <w:szCs w:val="26"/>
        </w:rPr>
        <w:t xml:space="preserve">the US National Academies of Sciences, Engineering and Medicine </w:t>
      </w:r>
      <w:proofErr w:type="spellStart"/>
      <w:r w:rsidRPr="006660FE">
        <w:rPr>
          <w:rStyle w:val="StyleUnderline"/>
          <w:szCs w:val="26"/>
        </w:rPr>
        <w:t>organised</w:t>
      </w:r>
      <w:proofErr w:type="spellEnd"/>
      <w:r w:rsidRPr="006660FE">
        <w:rPr>
          <w:rStyle w:val="StyleUnderline"/>
          <w:szCs w:val="26"/>
        </w:rPr>
        <w:t xml:space="preserve"> a workshop to explore lessons from past influenza outbreaks and so develop recommendations for pandemic preparedness for 2030. The salient findings serve well to underscore the </w:t>
      </w:r>
      <w:r w:rsidRPr="006660FE">
        <w:rPr>
          <w:rStyle w:val="Emphasis"/>
          <w:szCs w:val="26"/>
        </w:rPr>
        <w:t>critical role of WHO for humankind</w:t>
      </w:r>
      <w:r w:rsidRPr="006660FE">
        <w:rPr>
          <w:szCs w:val="26"/>
        </w:rPr>
        <w:t>.</w:t>
      </w:r>
    </w:p>
    <w:p w14:paraId="7335B5C6" w14:textId="77777777" w:rsidR="00825666" w:rsidRPr="006660FE" w:rsidRDefault="00825666" w:rsidP="00825666">
      <w:pPr>
        <w:rPr>
          <w:szCs w:val="26"/>
        </w:rPr>
      </w:pPr>
      <w:r w:rsidRPr="006660FE">
        <w:rPr>
          <w:rStyle w:val="StyleUnderline"/>
          <w:szCs w:val="26"/>
        </w:rPr>
        <w:t xml:space="preserve">The world’s </w:t>
      </w:r>
      <w:r w:rsidRPr="006660FE">
        <w:rPr>
          <w:rStyle w:val="Emphasis"/>
          <w:szCs w:val="26"/>
        </w:rPr>
        <w:t>influenza burden has only increased</w:t>
      </w:r>
      <w:r w:rsidRPr="006660FE">
        <w:rPr>
          <w:szCs w:val="26"/>
        </w:rPr>
        <w:t xml:space="preserve"> in the last two decades, a period in which </w:t>
      </w:r>
      <w:r w:rsidRPr="006660FE">
        <w:rPr>
          <w:rStyle w:val="StyleUnderline"/>
          <w:szCs w:val="26"/>
        </w:rPr>
        <w:t xml:space="preserve">there have also been </w:t>
      </w:r>
      <w:r w:rsidRPr="006660FE">
        <w:rPr>
          <w:rStyle w:val="Emphasis"/>
          <w:szCs w:val="26"/>
          <w:highlight w:val="green"/>
        </w:rPr>
        <w:t>30 new zoonotic diseases</w:t>
      </w:r>
      <w:r w:rsidRPr="006660FE">
        <w:rPr>
          <w:szCs w:val="26"/>
          <w:highlight w:val="green"/>
        </w:rPr>
        <w:t xml:space="preserve">. </w:t>
      </w:r>
      <w:r w:rsidRPr="006660FE">
        <w:rPr>
          <w:rStyle w:val="StyleUnderline"/>
          <w:szCs w:val="26"/>
          <w:highlight w:val="green"/>
        </w:rPr>
        <w:t>A warming world</w:t>
      </w:r>
      <w:r w:rsidRPr="006660FE">
        <w:rPr>
          <w:rStyle w:val="StyleUnderline"/>
          <w:szCs w:val="26"/>
        </w:rPr>
        <w:t xml:space="preserve"> with increasing humidity, lost habitats and industrial livestock/poultry farming </w:t>
      </w:r>
      <w:r w:rsidRPr="006660FE">
        <w:rPr>
          <w:rStyle w:val="StyleUnderline"/>
          <w:szCs w:val="26"/>
          <w:highlight w:val="green"/>
        </w:rPr>
        <w:t>has</w:t>
      </w:r>
      <w:r w:rsidRPr="006660FE">
        <w:rPr>
          <w:rStyle w:val="StyleUnderline"/>
          <w:szCs w:val="26"/>
        </w:rPr>
        <w:t xml:space="preserve"> many </w:t>
      </w:r>
      <w:r w:rsidRPr="006660FE">
        <w:rPr>
          <w:rStyle w:val="StyleUnderline"/>
          <w:szCs w:val="26"/>
          <w:highlight w:val="green"/>
        </w:rPr>
        <w:t>opportunities for pathogens to move</w:t>
      </w:r>
      <w:r w:rsidRPr="006660FE">
        <w:rPr>
          <w:rStyle w:val="StyleUnderline"/>
          <w:szCs w:val="26"/>
        </w:rPr>
        <w:t xml:space="preserve"> from animals and birds to humans</w:t>
      </w:r>
      <w:r w:rsidRPr="006660FE">
        <w:rPr>
          <w:szCs w:val="26"/>
        </w:rPr>
        <w:t xml:space="preserve">. Increasing global connectivity simply </w:t>
      </w:r>
      <w:proofErr w:type="spellStart"/>
      <w:r w:rsidRPr="006660FE">
        <w:rPr>
          <w:szCs w:val="26"/>
        </w:rPr>
        <w:t>catalyses</w:t>
      </w:r>
      <w:proofErr w:type="spellEnd"/>
      <w:r w:rsidRPr="006660FE">
        <w:rPr>
          <w:szCs w:val="26"/>
        </w:rPr>
        <w:t xml:space="preserve"> this process, as much as it </w:t>
      </w:r>
      <w:proofErr w:type="spellStart"/>
      <w:r w:rsidRPr="006660FE">
        <w:rPr>
          <w:szCs w:val="26"/>
        </w:rPr>
        <w:t>catalyses</w:t>
      </w:r>
      <w:proofErr w:type="spellEnd"/>
      <w:r w:rsidRPr="006660FE">
        <w:rPr>
          <w:szCs w:val="26"/>
        </w:rPr>
        <w:t xml:space="preserve"> economic growth.</w:t>
      </w:r>
    </w:p>
    <w:p w14:paraId="6E8B66E9" w14:textId="77777777" w:rsidR="00825666" w:rsidRPr="006660FE" w:rsidRDefault="00825666" w:rsidP="00825666">
      <w:pPr>
        <w:rPr>
          <w:szCs w:val="26"/>
        </w:rPr>
      </w:pPr>
      <w:r w:rsidRPr="006660FE">
        <w:rPr>
          <w:rStyle w:val="StyleUnderline"/>
          <w:szCs w:val="26"/>
          <w:highlight w:val="green"/>
        </w:rPr>
        <w:t>WHO coordinates</w:t>
      </w:r>
      <w:r w:rsidRPr="006660FE">
        <w:rPr>
          <w:rStyle w:val="StyleUnderline"/>
          <w:szCs w:val="26"/>
        </w:rPr>
        <w:t xml:space="preserve"> </w:t>
      </w:r>
      <w:r w:rsidRPr="006660FE">
        <w:rPr>
          <w:rStyle w:val="Emphasis"/>
          <w:szCs w:val="26"/>
        </w:rPr>
        <w:t xml:space="preserve">health </w:t>
      </w:r>
      <w:r w:rsidRPr="006660FE">
        <w:rPr>
          <w:rStyle w:val="Emphasis"/>
          <w:szCs w:val="26"/>
          <w:highlight w:val="green"/>
        </w:rPr>
        <w:t>research</w:t>
      </w:r>
      <w:r w:rsidRPr="006660FE">
        <w:rPr>
          <w:rStyle w:val="Emphasis"/>
          <w:szCs w:val="26"/>
        </w:rPr>
        <w:t xml:space="preserve">, clinical </w:t>
      </w:r>
      <w:r w:rsidRPr="006660FE">
        <w:rPr>
          <w:rStyle w:val="Emphasis"/>
          <w:szCs w:val="26"/>
          <w:highlight w:val="green"/>
        </w:rPr>
        <w:t>trials, drug safety, vaccine development, surveillance, virus sharing</w:t>
      </w:r>
      <w:r w:rsidRPr="006660FE">
        <w:rPr>
          <w:rStyle w:val="StyleUnderline"/>
          <w:szCs w:val="26"/>
        </w:rPr>
        <w:t xml:space="preserve">, </w:t>
      </w:r>
      <w:proofErr w:type="gramStart"/>
      <w:r w:rsidRPr="006660FE">
        <w:rPr>
          <w:rStyle w:val="StyleUnderline"/>
          <w:szCs w:val="26"/>
        </w:rPr>
        <w:t>etc.</w:t>
      </w:r>
      <w:proofErr w:type="gramEnd"/>
      <w:r w:rsidRPr="006660FE">
        <w:rPr>
          <w:rStyle w:val="StyleUnderline"/>
          <w:szCs w:val="26"/>
        </w:rPr>
        <w:t xml:space="preserve"> The importance of WHO’s work on </w:t>
      </w:r>
      <w:proofErr w:type="spellStart"/>
      <w:r w:rsidRPr="006660FE">
        <w:rPr>
          <w:rStyle w:val="Emphasis"/>
          <w:szCs w:val="26"/>
        </w:rPr>
        <w:t>immunisation</w:t>
      </w:r>
      <w:proofErr w:type="spellEnd"/>
      <w:r w:rsidRPr="006660FE">
        <w:rPr>
          <w:rStyle w:val="StyleUnderline"/>
          <w:szCs w:val="26"/>
        </w:rPr>
        <w:t xml:space="preserve"> across the globe, especially with HIV, can hardly be overstated. It has a rich track record of </w:t>
      </w:r>
      <w:r w:rsidRPr="006660FE">
        <w:rPr>
          <w:rStyle w:val="Emphasis"/>
          <w:szCs w:val="26"/>
          <w:highlight w:val="green"/>
        </w:rPr>
        <w:t>collaborat</w:t>
      </w:r>
      <w:r w:rsidRPr="006660FE">
        <w:rPr>
          <w:rStyle w:val="Emphasis"/>
          <w:szCs w:val="26"/>
        </w:rPr>
        <w:t xml:space="preserve">ing </w:t>
      </w:r>
      <w:r w:rsidRPr="006660FE">
        <w:rPr>
          <w:rStyle w:val="Emphasis"/>
          <w:szCs w:val="26"/>
          <w:highlight w:val="green"/>
        </w:rPr>
        <w:t>with private</w:t>
      </w:r>
      <w:r w:rsidRPr="006660FE">
        <w:rPr>
          <w:rStyle w:val="Emphasis"/>
          <w:szCs w:val="26"/>
        </w:rPr>
        <w:t xml:space="preserve">-sector </w:t>
      </w:r>
      <w:proofErr w:type="spellStart"/>
      <w:r w:rsidRPr="006660FE">
        <w:rPr>
          <w:rStyle w:val="Emphasis"/>
          <w:szCs w:val="26"/>
          <w:highlight w:val="green"/>
        </w:rPr>
        <w:t>organisations</w:t>
      </w:r>
      <w:proofErr w:type="spellEnd"/>
      <w:r w:rsidRPr="006660FE">
        <w:rPr>
          <w:rStyle w:val="Emphasis"/>
          <w:szCs w:val="26"/>
          <w:highlight w:val="green"/>
        </w:rPr>
        <w:t xml:space="preserve"> to advance r</w:t>
      </w:r>
      <w:r w:rsidRPr="006660FE">
        <w:rPr>
          <w:rStyle w:val="Emphasis"/>
          <w:szCs w:val="26"/>
        </w:rPr>
        <w:t xml:space="preserve">esearch </w:t>
      </w:r>
      <w:r w:rsidRPr="006660FE">
        <w:rPr>
          <w:rStyle w:val="Emphasis"/>
          <w:szCs w:val="26"/>
          <w:highlight w:val="green"/>
        </w:rPr>
        <w:t>and d</w:t>
      </w:r>
      <w:r w:rsidRPr="006660FE">
        <w:rPr>
          <w:rStyle w:val="Emphasis"/>
          <w:szCs w:val="26"/>
        </w:rPr>
        <w:t>evelopment</w:t>
      </w:r>
      <w:r w:rsidRPr="006660FE">
        <w:rPr>
          <w:rStyle w:val="StyleUnderline"/>
          <w:szCs w:val="26"/>
        </w:rPr>
        <w:t xml:space="preserve"> of health solutions </w:t>
      </w:r>
      <w:r w:rsidRPr="006660FE">
        <w:rPr>
          <w:rStyle w:val="StyleUnderline"/>
          <w:szCs w:val="26"/>
          <w:highlight w:val="green"/>
        </w:rPr>
        <w:t>and improving their access</w:t>
      </w:r>
      <w:r w:rsidRPr="006660FE">
        <w:rPr>
          <w:rStyle w:val="StyleUnderline"/>
          <w:szCs w:val="26"/>
        </w:rPr>
        <w:t xml:space="preserve"> in the global south</w:t>
      </w:r>
      <w:r w:rsidRPr="006660FE">
        <w:rPr>
          <w:szCs w:val="26"/>
        </w:rPr>
        <w:t>.</w:t>
      </w:r>
    </w:p>
    <w:p w14:paraId="74F7EDC1" w14:textId="77777777" w:rsidR="00825666" w:rsidRPr="006660FE" w:rsidRDefault="00825666" w:rsidP="00825666">
      <w:pPr>
        <w:rPr>
          <w:szCs w:val="26"/>
        </w:rPr>
      </w:pPr>
      <w:r w:rsidRPr="006660FE">
        <w:rPr>
          <w:rStyle w:val="StyleUnderline"/>
          <w:szCs w:val="26"/>
        </w:rPr>
        <w:t xml:space="preserve">It discharges its duties while maintaining a </w:t>
      </w:r>
      <w:r w:rsidRPr="006660FE">
        <w:rPr>
          <w:rStyle w:val="Emphasis"/>
          <w:szCs w:val="26"/>
        </w:rPr>
        <w:t xml:space="preserve">dynamic equilibrium between such diverse and powerful forces as national securities, economic interests, human </w:t>
      </w:r>
      <w:proofErr w:type="gramStart"/>
      <w:r w:rsidRPr="006660FE">
        <w:rPr>
          <w:rStyle w:val="Emphasis"/>
          <w:szCs w:val="26"/>
        </w:rPr>
        <w:t>rights</w:t>
      </w:r>
      <w:proofErr w:type="gramEnd"/>
      <w:r w:rsidRPr="006660FE">
        <w:rPr>
          <w:rStyle w:val="Emphasis"/>
          <w:szCs w:val="26"/>
        </w:rPr>
        <w:t xml:space="preserve"> and ethics</w:t>
      </w:r>
      <w:r w:rsidRPr="006660FE">
        <w:rPr>
          <w:szCs w:val="26"/>
        </w:rPr>
        <w:t>. COVID-19 has highlighted how political calculations can hamper data-sharing and mitigation efforts within and across national borders, and WHO often simply becomes a convenient political scapegoat in such situations.</w:t>
      </w:r>
    </w:p>
    <w:p w14:paraId="666901B8" w14:textId="77777777" w:rsidR="00825666" w:rsidRPr="006660FE" w:rsidRDefault="00825666" w:rsidP="00825666">
      <w:pPr>
        <w:rPr>
          <w:szCs w:val="26"/>
        </w:rPr>
      </w:pPr>
      <w:r w:rsidRPr="006660FE">
        <w:rPr>
          <w:rStyle w:val="StyleUnderline"/>
          <w:szCs w:val="26"/>
          <w:highlight w:val="green"/>
        </w:rPr>
        <w:t>I</w:t>
      </w:r>
      <w:r w:rsidRPr="006660FE">
        <w:rPr>
          <w:rStyle w:val="StyleUnderline"/>
          <w:szCs w:val="26"/>
        </w:rPr>
        <w:t xml:space="preserve">nternational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R</w:t>
      </w:r>
      <w:r w:rsidRPr="006660FE">
        <w:rPr>
          <w:rStyle w:val="StyleUnderline"/>
          <w:szCs w:val="26"/>
        </w:rPr>
        <w:t xml:space="preserve">egulations, a 2005 agreement between 196 countries to work together for global health security, </w:t>
      </w:r>
      <w:r w:rsidRPr="006660FE">
        <w:rPr>
          <w:rStyle w:val="StyleUnderline"/>
          <w:szCs w:val="26"/>
          <w:highlight w:val="green"/>
        </w:rPr>
        <w:t>focuses on detection, assessment and reporting</w:t>
      </w:r>
      <w:r w:rsidRPr="006660FE">
        <w:rPr>
          <w:rStyle w:val="StyleUnderline"/>
          <w:szCs w:val="26"/>
        </w:rPr>
        <w:t xml:space="preserve"> of public health events</w:t>
      </w:r>
      <w:r w:rsidRPr="006660FE">
        <w:rPr>
          <w:szCs w:val="26"/>
        </w:rPr>
        <w:t xml:space="preserve">, </w:t>
      </w:r>
      <w:proofErr w:type="gramStart"/>
      <w:r w:rsidRPr="006660FE">
        <w:rPr>
          <w:szCs w:val="26"/>
        </w:rPr>
        <w:t>and also</w:t>
      </w:r>
      <w:proofErr w:type="gramEnd"/>
      <w:r w:rsidRPr="006660FE">
        <w:rPr>
          <w:szCs w:val="26"/>
        </w:rPr>
        <w:t xml:space="preserve"> includes non-pharmaceutical interventions such as travel and trade restrictions. </w:t>
      </w:r>
      <w:r w:rsidRPr="006660FE">
        <w:rPr>
          <w:rStyle w:val="Emphasis"/>
          <w:szCs w:val="26"/>
          <w:highlight w:val="green"/>
        </w:rPr>
        <w:t>WHO coordinates</w:t>
      </w:r>
      <w:r w:rsidRPr="006660FE">
        <w:rPr>
          <w:rStyle w:val="Emphasis"/>
          <w:szCs w:val="26"/>
        </w:rPr>
        <w:t xml:space="preserve"> and helps build capacity to implement </w:t>
      </w:r>
      <w:proofErr w:type="gramStart"/>
      <w:r w:rsidRPr="006660FE">
        <w:rPr>
          <w:rStyle w:val="Emphasis"/>
          <w:szCs w:val="26"/>
          <w:highlight w:val="green"/>
        </w:rPr>
        <w:t>IHR</w:t>
      </w:r>
      <w:r w:rsidRPr="006660FE">
        <w:rPr>
          <w:szCs w:val="26"/>
        </w:rPr>
        <w:t>.</w:t>
      </w:r>
      <w:proofErr w:type="gramEnd"/>
    </w:p>
    <w:p w14:paraId="6573CC61" w14:textId="77777777" w:rsidR="00825666" w:rsidRPr="006660FE" w:rsidRDefault="00825666" w:rsidP="00825666"/>
    <w:p w14:paraId="26748B98" w14:textId="77777777" w:rsidR="00825666" w:rsidRPr="006660FE" w:rsidRDefault="00825666" w:rsidP="00825666">
      <w:pPr>
        <w:pStyle w:val="Heading4"/>
        <w:rPr>
          <w:rFonts w:cs="Calibri"/>
        </w:rPr>
      </w:pPr>
      <w:r w:rsidRPr="006660FE">
        <w:rPr>
          <w:rFonts w:cs="Calibri"/>
        </w:rPr>
        <w:t>WHO diplomacy solves great power conflict</w:t>
      </w:r>
    </w:p>
    <w:p w14:paraId="601BFE57" w14:textId="77777777" w:rsidR="00825666" w:rsidRPr="006660FE" w:rsidRDefault="00825666" w:rsidP="00825666">
      <w:pPr>
        <w:rPr>
          <w:rStyle w:val="Style13ptBold"/>
          <w:b w:val="0"/>
          <w:bCs w:val="0"/>
        </w:rPr>
      </w:pPr>
      <w:r w:rsidRPr="006660FE">
        <w:rPr>
          <w:rStyle w:val="Style13ptBold"/>
        </w:rPr>
        <w:t xml:space="preserve">Murphy 20 </w:t>
      </w:r>
      <w:r w:rsidRPr="006660FE">
        <w:rPr>
          <w:rStyle w:val="Style13ptBold"/>
          <w:b w:val="0"/>
          <w:bCs w:val="0"/>
          <w:sz w:val="16"/>
          <w:szCs w:val="16"/>
        </w:rPr>
        <w:t xml:space="preserve">[(Chris, </w:t>
      </w:r>
      <w:r w:rsidRPr="006660FE">
        <w:rPr>
          <w:bCs/>
          <w:szCs w:val="16"/>
        </w:rPr>
        <w:t>U.S. senator from Connecticut serving on the U.S. Senate Foreign Relations Committee</w:t>
      </w:r>
      <w:r w:rsidRPr="006660FE">
        <w:rPr>
          <w:rStyle w:val="Style13ptBold"/>
          <w:b w:val="0"/>
          <w:bCs w:val="0"/>
          <w:sz w:val="16"/>
          <w:szCs w:val="16"/>
        </w:rPr>
        <w:t>) “</w:t>
      </w:r>
      <w:r w:rsidRPr="006660FE">
        <w:rPr>
          <w:szCs w:val="16"/>
        </w:rPr>
        <w:t>The Answer is to Empower, Not Attack, the World Health Organization,” War on the Rocks, 4/21/2020] JL</w:t>
      </w:r>
    </w:p>
    <w:p w14:paraId="2CF92B52" w14:textId="77777777" w:rsidR="00825666" w:rsidRPr="006660FE" w:rsidRDefault="00825666" w:rsidP="00825666">
      <w:pPr>
        <w:rPr>
          <w:szCs w:val="26"/>
        </w:rPr>
      </w:pP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 xml:space="preserve">rganization </w:t>
      </w:r>
      <w:r w:rsidRPr="006660FE">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6DFFA8DA" w14:textId="77777777" w:rsidR="00825666" w:rsidRPr="006660FE" w:rsidRDefault="00825666" w:rsidP="00825666">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03FD98A7" w14:textId="77777777" w:rsidR="00825666" w:rsidRPr="006660FE" w:rsidRDefault="00825666" w:rsidP="00825666">
      <w:pPr>
        <w:rPr>
          <w:szCs w:val="26"/>
        </w:rPr>
      </w:pPr>
      <w:r w:rsidRPr="006660FE">
        <w:rPr>
          <w:szCs w:val="26"/>
        </w:rPr>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w:t>
      </w:r>
    </w:p>
    <w:p w14:paraId="32D5F00C" w14:textId="77777777" w:rsidR="00825666" w:rsidRPr="006660FE" w:rsidRDefault="00825666" w:rsidP="00825666">
      <w:pPr>
        <w:rPr>
          <w:szCs w:val="26"/>
        </w:rPr>
      </w:pPr>
      <w:r w:rsidRPr="006660FE">
        <w:rPr>
          <w:rStyle w:val="StyleUnderline"/>
          <w:szCs w:val="26"/>
        </w:rPr>
        <w:t xml:space="preserve">As the United States looks to develop a new global system of pandemic prevention, there is absolutely no way to do that job without </w:t>
      </w: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rganization</w:t>
      </w:r>
      <w:r w:rsidRPr="006660FE">
        <w:rPr>
          <w:szCs w:val="26"/>
        </w:rPr>
        <w:t xml:space="preserve">. Uniquely, </w:t>
      </w:r>
      <w:r w:rsidRPr="006660FE">
        <w:rPr>
          <w:rStyle w:val="Emphasis"/>
          <w:szCs w:val="26"/>
        </w:rPr>
        <w:t xml:space="preserve">it </w:t>
      </w:r>
      <w:r w:rsidRPr="006660FE">
        <w:rPr>
          <w:rStyle w:val="Emphasis"/>
          <w:szCs w:val="26"/>
          <w:highlight w:val="green"/>
        </w:rPr>
        <w:t xml:space="preserve">puts </w:t>
      </w:r>
      <w:r w:rsidRPr="006660FE">
        <w:rPr>
          <w:rStyle w:val="Emphasis"/>
          <w:szCs w:val="26"/>
        </w:rPr>
        <w:t xml:space="preserve">traditional </w:t>
      </w:r>
      <w:r w:rsidRPr="006660FE">
        <w:rPr>
          <w:rStyle w:val="Emphasis"/>
          <w:szCs w:val="26"/>
          <w:highlight w:val="green"/>
        </w:rPr>
        <w:t>adversaries</w:t>
      </w:r>
      <w:r w:rsidRPr="006660FE">
        <w:rPr>
          <w:rStyle w:val="StyleUnderline"/>
          <w:szCs w:val="26"/>
        </w:rPr>
        <w:t xml:space="preserve"> – like </w:t>
      </w:r>
      <w:r w:rsidRPr="006660FE">
        <w:rPr>
          <w:rStyle w:val="StyleUnderline"/>
          <w:szCs w:val="26"/>
          <w:highlight w:val="green"/>
        </w:rPr>
        <w:t>Russia and the U</w:t>
      </w:r>
      <w:r w:rsidRPr="006660FE">
        <w:rPr>
          <w:rStyle w:val="StyleUnderline"/>
          <w:szCs w:val="26"/>
        </w:rPr>
        <w:t xml:space="preserve">nited </w:t>
      </w:r>
      <w:r w:rsidRPr="006660FE">
        <w:rPr>
          <w:rStyle w:val="StyleUnderline"/>
          <w:szCs w:val="26"/>
          <w:highlight w:val="green"/>
        </w:rPr>
        <w:t>S</w:t>
      </w:r>
      <w:r w:rsidRPr="006660FE">
        <w:rPr>
          <w:rStyle w:val="StyleUnderline"/>
          <w:szCs w:val="26"/>
        </w:rPr>
        <w:t xml:space="preserve">tates, </w:t>
      </w:r>
      <w:r w:rsidRPr="006660FE">
        <w:rPr>
          <w:rStyle w:val="StyleUnderline"/>
          <w:szCs w:val="26"/>
          <w:highlight w:val="green"/>
        </w:rPr>
        <w:t>India and Pakistan</w:t>
      </w:r>
      <w:r w:rsidRPr="006660FE">
        <w:rPr>
          <w:rStyle w:val="StyleUnderline"/>
          <w:szCs w:val="26"/>
        </w:rPr>
        <w:t xml:space="preserve">, or </w:t>
      </w:r>
      <w:r w:rsidRPr="006660FE">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6660FE">
        <w:rPr>
          <w:rStyle w:val="Emphasis"/>
          <w:szCs w:val="26"/>
          <w:highlight w:val="green"/>
        </w:rPr>
        <w:t>around the same</w:t>
      </w:r>
      <w:r w:rsidRPr="006660FE">
        <w:rPr>
          <w:rStyle w:val="Emphasis"/>
          <w:szCs w:val="26"/>
        </w:rPr>
        <w:t xml:space="preserve"> big </w:t>
      </w:r>
      <w:r w:rsidRPr="006660FE">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6660FE">
        <w:rPr>
          <w:rStyle w:val="Emphasis"/>
          <w:szCs w:val="26"/>
          <w:highlight w:val="green"/>
        </w:rPr>
        <w:t>This ability to bridge divides and work across borders cannot be torn down and recreated</w:t>
      </w:r>
      <w:r w:rsidRPr="006660FE">
        <w:rPr>
          <w:rStyle w:val="Emphasis"/>
          <w:szCs w:val="26"/>
        </w:rPr>
        <w:t xml:space="preserve"> – not </w:t>
      </w:r>
      <w:r w:rsidRPr="006660FE">
        <w:rPr>
          <w:rStyle w:val="Emphasis"/>
          <w:szCs w:val="26"/>
          <w:highlight w:val="green"/>
        </w:rPr>
        <w:t>in today’s</w:t>
      </w:r>
      <w:r w:rsidRPr="006660FE">
        <w:rPr>
          <w:rStyle w:val="Emphasis"/>
          <w:szCs w:val="26"/>
        </w:rPr>
        <w:t xml:space="preserve"> environment </w:t>
      </w:r>
      <w:r w:rsidRPr="006660FE">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5466CABC" w14:textId="77777777" w:rsidR="00825666" w:rsidRPr="006660FE" w:rsidRDefault="00825666" w:rsidP="00825666"/>
    <w:p w14:paraId="067C67FD" w14:textId="77777777" w:rsidR="00825666" w:rsidRPr="006660FE" w:rsidRDefault="00825666" w:rsidP="00825666">
      <w:pPr>
        <w:pStyle w:val="Heading4"/>
        <w:rPr>
          <w:rFonts w:cs="Calibri"/>
        </w:rPr>
      </w:pPr>
      <w:r w:rsidRPr="006660FE">
        <w:rPr>
          <w:rFonts w:cs="Calibri"/>
        </w:rPr>
        <w:t xml:space="preserve">Ought </w:t>
      </w:r>
      <w:proofErr w:type="gramStart"/>
      <w:r w:rsidRPr="006660FE">
        <w:rPr>
          <w:rFonts w:cs="Calibri"/>
        </w:rPr>
        <w:t>means</w:t>
      </w:r>
      <w:proofErr w:type="gramEnd"/>
      <w:r w:rsidRPr="006660FE">
        <w:rPr>
          <w:rFonts w:cs="Calibri"/>
        </w:rPr>
        <w:t xml:space="preserve"> should </w:t>
      </w:r>
    </w:p>
    <w:p w14:paraId="6DAE18A5" w14:textId="77777777" w:rsidR="00825666" w:rsidRPr="006660FE" w:rsidRDefault="00825666" w:rsidP="00825666">
      <w:r w:rsidRPr="006660FE">
        <w:rPr>
          <w:rStyle w:val="Style13ptBold"/>
        </w:rPr>
        <w:t>Merriam Webster n.d.</w:t>
      </w:r>
      <w:r w:rsidRPr="006660FE">
        <w:t xml:space="preserve"> – Merriam Webster’s Learner’s Dictionary, “ought”, </w:t>
      </w:r>
      <w:hyperlink r:id="rId24" w:history="1">
        <w:r w:rsidRPr="006660FE">
          <w:rPr>
            <w:rStyle w:val="Hyperlink"/>
          </w:rPr>
          <w:t>http://www.learnersdictionary.com/definition/ought</w:t>
        </w:r>
      </w:hyperlink>
      <w:r w:rsidRPr="006660FE">
        <w:br/>
        <w:t>ought /ˈ</w:t>
      </w:r>
      <w:proofErr w:type="spellStart"/>
      <w:r w:rsidRPr="006660FE">
        <w:t>ɑːt</w:t>
      </w:r>
      <w:proofErr w:type="spellEnd"/>
      <w:r w:rsidRPr="006660FE">
        <w:t>/ verb</w:t>
      </w:r>
      <w:r w:rsidRPr="006660FE">
        <w:br/>
        <w:t xml:space="preserve">Learner's definition of OUGHT [modal verb] 1 ◊ Ought is almost always followed by to and the infinitive form of a verb. </w:t>
      </w:r>
      <w:r w:rsidRPr="006660FE">
        <w:rPr>
          <w:rStyle w:val="StyleUnderline"/>
        </w:rPr>
        <w:t xml:space="preserve">The phrase </w:t>
      </w:r>
      <w:r w:rsidRPr="006660FE">
        <w:rPr>
          <w:rStyle w:val="StyleUnderline"/>
          <w:highlight w:val="green"/>
        </w:rPr>
        <w:t>ought</w:t>
      </w:r>
      <w:r w:rsidRPr="006660FE">
        <w:rPr>
          <w:rStyle w:val="StyleUnderline"/>
        </w:rPr>
        <w:t xml:space="preserve"> to </w:t>
      </w:r>
      <w:r w:rsidRPr="006660FE">
        <w:rPr>
          <w:rStyle w:val="StyleUnderline"/>
          <w:highlight w:val="green"/>
        </w:rPr>
        <w:t>has the same meaning as should</w:t>
      </w:r>
      <w:r w:rsidRPr="006660FE">
        <w:rPr>
          <w:rStyle w:val="StyleUnderline"/>
        </w:rPr>
        <w:t xml:space="preserve"> and is used in the same ways</w:t>
      </w:r>
      <w:r w:rsidRPr="006660FE">
        <w:t xml:space="preserve">, </w:t>
      </w:r>
      <w:r w:rsidRPr="006660FE">
        <w:rPr>
          <w:rStyle w:val="StyleUnderline"/>
        </w:rPr>
        <w:t>but it is less common and somewhat more formal.</w:t>
      </w:r>
      <w:r w:rsidRPr="006660FE">
        <w:t xml:space="preserve"> The negative forms ought not and oughtn't are often used without a following to. — used to indicate what is expected They ought to be here by now. You ought to be able to read this book. There ought to be a gas station on the way. 2 — </w:t>
      </w:r>
      <w:r w:rsidRPr="006660FE">
        <w:rPr>
          <w:rStyle w:val="StyleUnderline"/>
          <w:highlight w:val="green"/>
        </w:rPr>
        <w:t>used to say or suggest what should be done</w:t>
      </w:r>
      <w:r w:rsidRPr="006660FE">
        <w:t xml:space="preserve"> You ought to get some rest. That leak ought to be fixed. You ought to do your homework.</w:t>
      </w:r>
    </w:p>
    <w:p w14:paraId="4AF45393" w14:textId="77777777" w:rsidR="00825666" w:rsidRPr="006660FE" w:rsidRDefault="00825666" w:rsidP="00825666"/>
    <w:p w14:paraId="1A36FBF5" w14:textId="77777777" w:rsidR="00825666" w:rsidRPr="006660FE" w:rsidRDefault="00825666" w:rsidP="00825666">
      <w:pPr>
        <w:pStyle w:val="Heading4"/>
        <w:rPr>
          <w:rFonts w:cs="Calibri"/>
        </w:rPr>
      </w:pPr>
      <w:r w:rsidRPr="006660FE">
        <w:rPr>
          <w:rFonts w:cs="Calibri"/>
        </w:rPr>
        <w:t xml:space="preserve">Should means </w:t>
      </w:r>
      <w:r w:rsidRPr="006660FE">
        <w:rPr>
          <w:rFonts w:cs="Calibri"/>
          <w:u w:val="single"/>
        </w:rPr>
        <w:t>must</w:t>
      </w:r>
      <w:r w:rsidRPr="006660FE">
        <w:rPr>
          <w:rFonts w:cs="Calibri"/>
        </w:rPr>
        <w:t xml:space="preserve"> and is </w:t>
      </w:r>
      <w:r w:rsidRPr="006660FE">
        <w:rPr>
          <w:rFonts w:cs="Calibri"/>
          <w:u w:val="single"/>
        </w:rPr>
        <w:t>immediate</w:t>
      </w:r>
    </w:p>
    <w:p w14:paraId="4A6C9968" w14:textId="77777777" w:rsidR="00825666" w:rsidRPr="006660FE" w:rsidRDefault="00825666" w:rsidP="00825666">
      <w:r w:rsidRPr="006660FE">
        <w:rPr>
          <w:rStyle w:val="Style13ptBold"/>
        </w:rPr>
        <w:t>Summers 94</w:t>
      </w:r>
      <w:r w:rsidRPr="006660FE">
        <w:t xml:space="preserve"> (Justice – Oklahoma Supreme Court, “Kelsey v. </w:t>
      </w:r>
      <w:proofErr w:type="spellStart"/>
      <w:r w:rsidRPr="006660FE">
        <w:t>Dollarsaver</w:t>
      </w:r>
      <w:proofErr w:type="spellEnd"/>
      <w:r w:rsidRPr="006660FE">
        <w:t xml:space="preserve"> Food Warehouse of Durant”, 1994 OK 123, 11-8, http://www.oscn.net/applications/oscn/DeliverDocument.asp?CiteID=20287#marker3fn13)</w:t>
      </w:r>
    </w:p>
    <w:p w14:paraId="4345F57C" w14:textId="77777777" w:rsidR="00825666" w:rsidRPr="006660FE" w:rsidRDefault="00825666" w:rsidP="00825666">
      <w:r w:rsidRPr="006660FE">
        <w:t xml:space="preserve">¶4 </w:t>
      </w:r>
      <w:r w:rsidRPr="006660FE">
        <w:rPr>
          <w:rStyle w:val="StyleUnderline"/>
        </w:rPr>
        <w:t xml:space="preserve">The legal question to be resolved by the court is whether the word </w:t>
      </w:r>
      <w:r w:rsidRPr="006660FE">
        <w:rPr>
          <w:rStyle w:val="StyleUnderline"/>
          <w:highlight w:val="green"/>
        </w:rPr>
        <w:t>"should</w:t>
      </w:r>
      <w:r w:rsidRPr="006660FE">
        <w:t>"</w:t>
      </w:r>
      <w:hyperlink r:id="rId25" w:anchor="marker3fn13" w:history="1">
        <w:r w:rsidRPr="006660FE">
          <w:rPr>
            <w:rStyle w:val="Hyperlink"/>
          </w:rPr>
          <w:t>13</w:t>
        </w:r>
      </w:hyperlink>
      <w:r w:rsidRPr="006660FE">
        <w:t xml:space="preserve"> in the May 18 order connotes futurity or </w:t>
      </w:r>
      <w:r w:rsidRPr="006660FE">
        <w:rPr>
          <w:rStyle w:val="StyleUnderline"/>
          <w:highlight w:val="green"/>
        </w:rPr>
        <w:t>may be deemed</w:t>
      </w:r>
      <w:r w:rsidRPr="006660FE">
        <w:rPr>
          <w:rStyle w:val="StyleUnderline"/>
        </w:rPr>
        <w:t xml:space="preserve"> a ruling </w:t>
      </w:r>
      <w:r w:rsidRPr="006660FE">
        <w:rPr>
          <w:rStyle w:val="StyleUnderline"/>
          <w:highlight w:val="green"/>
        </w:rPr>
        <w:t>in praesenti</w:t>
      </w:r>
      <w:r w:rsidRPr="006660FE">
        <w:t>.</w:t>
      </w:r>
      <w:hyperlink r:id="rId26" w:anchor="marker3fn14" w:history="1">
        <w:r w:rsidRPr="006660FE">
          <w:rPr>
            <w:rStyle w:val="Hyperlink"/>
          </w:rPr>
          <w:t>14</w:t>
        </w:r>
      </w:hyperlink>
      <w:r w:rsidRPr="006660FE">
        <w:t xml:space="preserve"> The answer to this query is not to be divined from rules of grammar;</w:t>
      </w:r>
      <w:hyperlink r:id="rId27" w:anchor="marker3fn15" w:history="1">
        <w:r w:rsidRPr="006660FE">
          <w:rPr>
            <w:rStyle w:val="Hyperlink"/>
          </w:rPr>
          <w:t>15</w:t>
        </w:r>
      </w:hyperlink>
      <w:r w:rsidRPr="006660F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6660FE">
        <w:t>futuro</w:t>
      </w:r>
      <w:proofErr w:type="spellEnd"/>
      <w:r w:rsidRPr="006660FE">
        <w:t xml:space="preserve"> ruling - i.e., an expression of what the judge will or would do at a later stage - or (2) constitutes an in in praesenti resolution of a disputed law issue, the trial judge's intent must be garnered from the four corners of the entire record.</w:t>
      </w:r>
      <w:hyperlink r:id="rId28" w:anchor="marker3fn16" w:history="1">
        <w:r w:rsidRPr="006660FE">
          <w:rPr>
            <w:rStyle w:val="Hyperlink"/>
          </w:rPr>
          <w:t xml:space="preserve">16 </w:t>
        </w:r>
      </w:hyperlink>
      <w:r w:rsidRPr="006660FE">
        <w:t xml:space="preserve">[CONTINUES – TO FOOTNOTE] </w:t>
      </w:r>
      <w:hyperlink r:id="rId29" w:anchor="marker2fn13" w:history="1">
        <w:r w:rsidRPr="006660FE">
          <w:rPr>
            <w:rStyle w:val="Hyperlink"/>
          </w:rPr>
          <w:t>13</w:t>
        </w:r>
      </w:hyperlink>
      <w:r w:rsidRPr="006660FE">
        <w:t xml:space="preserve"> "</w:t>
      </w:r>
      <w:r w:rsidRPr="006660FE">
        <w:rPr>
          <w:i/>
          <w:iCs/>
        </w:rPr>
        <w:t>Should</w:t>
      </w:r>
      <w:r w:rsidRPr="006660FE">
        <w:t xml:space="preserve">" not only is used as a "present indicative" synonymous with </w:t>
      </w:r>
      <w:r w:rsidRPr="006660FE">
        <w:rPr>
          <w:i/>
          <w:iCs/>
        </w:rPr>
        <w:t>ought</w:t>
      </w:r>
      <w:r w:rsidRPr="006660F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6660FE">
        <w:t>Okl</w:t>
      </w:r>
      <w:proofErr w:type="spellEnd"/>
      <w:r w:rsidRPr="006660FE">
        <w:t xml:space="preserve">. 143, 144 P. 1075, 1080-81 (1914). For a more detailed explanation, see the Partridge quotation infra note 15. </w:t>
      </w:r>
      <w:r w:rsidRPr="006660FE">
        <w:rPr>
          <w:rStyle w:val="StyleUnderline"/>
        </w:rPr>
        <w:t xml:space="preserve">Certain </w:t>
      </w:r>
      <w:r w:rsidRPr="006660FE">
        <w:rPr>
          <w:rStyle w:val="StyleUnderline"/>
          <w:highlight w:val="green"/>
        </w:rPr>
        <w:t>contexts mandate a construction of</w:t>
      </w:r>
      <w:r w:rsidRPr="006660FE">
        <w:rPr>
          <w:rStyle w:val="StyleUnderline"/>
        </w:rPr>
        <w:t xml:space="preserve"> the term "</w:t>
      </w:r>
      <w:r w:rsidRPr="006660FE">
        <w:rPr>
          <w:rStyle w:val="StyleUnderline"/>
          <w:highlight w:val="green"/>
        </w:rPr>
        <w:t xml:space="preserve">should" as </w:t>
      </w:r>
      <w:r w:rsidRPr="006660FE">
        <w:rPr>
          <w:rStyle w:val="Emphasis"/>
          <w:highlight w:val="green"/>
        </w:rPr>
        <w:t>more than</w:t>
      </w:r>
      <w:r w:rsidRPr="006660FE">
        <w:rPr>
          <w:rStyle w:val="StyleUnderline"/>
        </w:rPr>
        <w:t xml:space="preserve"> merely indicating preference or </w:t>
      </w:r>
      <w:r w:rsidRPr="006660FE">
        <w:rPr>
          <w:rStyle w:val="Emphasis"/>
          <w:highlight w:val="green"/>
        </w:rPr>
        <w:t>desirability</w:t>
      </w:r>
      <w:r w:rsidRPr="006660FE">
        <w:rPr>
          <w:rStyle w:val="StyleUnderline"/>
        </w:rPr>
        <w:t>.</w:t>
      </w:r>
      <w:r w:rsidRPr="006660FE">
        <w:t xml:space="preserve"> Brown, supra at 1080-81 (jury instructions stating that jurors "should" reduce the amount of damages in proportion to the amount of contributory negligence of the plaintiff was held to imply an </w:t>
      </w:r>
      <w:r w:rsidRPr="006660FE">
        <w:rPr>
          <w:i/>
          <w:iCs/>
        </w:rPr>
        <w:t>obligation</w:t>
      </w:r>
      <w:r w:rsidRPr="006660FE">
        <w:t xml:space="preserve"> </w:t>
      </w:r>
      <w:r w:rsidRPr="006660FE">
        <w:rPr>
          <w:i/>
          <w:iCs/>
        </w:rPr>
        <w:t>and to be more than advisory</w:t>
      </w:r>
      <w:r w:rsidRPr="006660FE">
        <w:t xml:space="preserve">); Carrigan v. California Horse Racing Board, 60 Wash. App. 79, </w:t>
      </w:r>
      <w:hyperlink r:id="rId30" w:history="1">
        <w:r w:rsidRPr="006660FE">
          <w:rPr>
            <w:rStyle w:val="Hyperlink"/>
          </w:rPr>
          <w:t>802 P.2d 813</w:t>
        </w:r>
      </w:hyperlink>
      <w:r w:rsidRPr="006660FE">
        <w:t xml:space="preserve"> (1990) (one of the Rules of Appellate Procedure requiring that a party "should devote a section of the brief to the request for the fee or expenses" was interpreted to mean that a party is under an </w:t>
      </w:r>
      <w:r w:rsidRPr="006660FE">
        <w:rPr>
          <w:i/>
          <w:iCs/>
        </w:rPr>
        <w:t>obligation</w:t>
      </w:r>
      <w:r w:rsidRPr="006660FE">
        <w:t xml:space="preserve"> to include the requested segment); State v. Rack, 318 S.W.2d 211, 215 (Mo. 1958) </w:t>
      </w:r>
      <w:r w:rsidRPr="006660FE">
        <w:rPr>
          <w:u w:val="single"/>
        </w:rPr>
        <w:t>("should" would mean the same as</w:t>
      </w:r>
      <w:r w:rsidRPr="006660FE">
        <w:t xml:space="preserve"> "shall" or </w:t>
      </w:r>
      <w:r w:rsidRPr="006660FE">
        <w:rPr>
          <w:u w:val="single"/>
        </w:rPr>
        <w:t xml:space="preserve">"must" </w:t>
      </w:r>
      <w:r w:rsidRPr="006660FE">
        <w:t xml:space="preserve">when used in an instruction to the jury which tells the triers they "should disregard false testimony"). </w:t>
      </w:r>
      <w:hyperlink r:id="rId31" w:anchor="marker2fn14" w:history="1">
        <w:r w:rsidRPr="006660FE">
          <w:rPr>
            <w:rStyle w:val="Hyperlink"/>
          </w:rPr>
          <w:t>14</w:t>
        </w:r>
      </w:hyperlink>
      <w:r w:rsidRPr="006660FE">
        <w:t xml:space="preserve"> </w:t>
      </w:r>
      <w:r w:rsidRPr="006660FE">
        <w:rPr>
          <w:rStyle w:val="StyleUnderline"/>
        </w:rPr>
        <w:t>In praesenti means literally "at the present time."</w:t>
      </w:r>
      <w:r w:rsidRPr="006660FE">
        <w:t xml:space="preserve"> BLACK'S LAW DICTIONARY 792 (6th Ed. 1990). In legal </w:t>
      </w:r>
      <w:r w:rsidRPr="006660FE">
        <w:rPr>
          <w:rStyle w:val="StyleUnderline"/>
        </w:rPr>
        <w:t xml:space="preserve">parlance </w:t>
      </w:r>
      <w:r w:rsidRPr="006660FE">
        <w:rPr>
          <w:rStyle w:val="StyleUnderline"/>
          <w:highlight w:val="green"/>
        </w:rPr>
        <w:t>the phrase denotes that</w:t>
      </w:r>
      <w:r w:rsidRPr="006660FE">
        <w:rPr>
          <w:rStyle w:val="StyleUnderline"/>
        </w:rPr>
        <w:t xml:space="preserve"> which in </w:t>
      </w:r>
      <w:r w:rsidRPr="006660FE">
        <w:rPr>
          <w:rStyle w:val="StyleUnderline"/>
          <w:highlight w:val="green"/>
        </w:rPr>
        <w:t>law is</w:t>
      </w:r>
      <w:r w:rsidRPr="006660FE">
        <w:rPr>
          <w:rStyle w:val="StyleUnderline"/>
        </w:rPr>
        <w:t xml:space="preserve"> presently or </w:t>
      </w:r>
      <w:r w:rsidRPr="006660FE">
        <w:rPr>
          <w:rStyle w:val="Emphasis"/>
          <w:highlight w:val="green"/>
        </w:rPr>
        <w:t>immediately effective</w:t>
      </w:r>
      <w:r w:rsidRPr="006660FE">
        <w:rPr>
          <w:rStyle w:val="StyleUnderline"/>
          <w:highlight w:val="green"/>
        </w:rPr>
        <w:t>, as opposed to</w:t>
      </w:r>
      <w:r w:rsidRPr="006660FE">
        <w:rPr>
          <w:rStyle w:val="StyleUnderline"/>
        </w:rPr>
        <w:t xml:space="preserve"> something that will or would become effective </w:t>
      </w:r>
      <w:r w:rsidRPr="006660FE">
        <w:rPr>
          <w:rStyle w:val="StyleUnderline"/>
          <w:highlight w:val="green"/>
        </w:rPr>
        <w:t>in the future</w:t>
      </w:r>
      <w:r w:rsidRPr="006660FE">
        <w:rPr>
          <w:i/>
          <w:iCs/>
        </w:rPr>
        <w:t xml:space="preserve"> [in </w:t>
      </w:r>
      <w:proofErr w:type="spellStart"/>
      <w:r w:rsidRPr="006660FE">
        <w:rPr>
          <w:i/>
          <w:iCs/>
        </w:rPr>
        <w:t>futurol</w:t>
      </w:r>
      <w:proofErr w:type="spellEnd"/>
      <w:r w:rsidRPr="006660FE">
        <w:t xml:space="preserve">]. See Van Wyck v. </w:t>
      </w:r>
      <w:proofErr w:type="spellStart"/>
      <w:r w:rsidRPr="006660FE">
        <w:t>Knevals</w:t>
      </w:r>
      <w:proofErr w:type="spellEnd"/>
      <w:r w:rsidRPr="006660FE">
        <w:t xml:space="preserve">, </w:t>
      </w:r>
      <w:hyperlink r:id="rId32" w:history="1">
        <w:r w:rsidRPr="006660FE">
          <w:rPr>
            <w:rStyle w:val="Hyperlink"/>
          </w:rPr>
          <w:t>106 U.S. 360</w:t>
        </w:r>
      </w:hyperlink>
      <w:r w:rsidRPr="006660FE">
        <w:t xml:space="preserve">, 365, 1 </w:t>
      </w:r>
      <w:proofErr w:type="spellStart"/>
      <w:r w:rsidRPr="006660FE">
        <w:t>S.Ct</w:t>
      </w:r>
      <w:proofErr w:type="spellEnd"/>
      <w:r w:rsidRPr="006660FE">
        <w:t xml:space="preserve">. 336, 337, 27 </w:t>
      </w:r>
      <w:proofErr w:type="spellStart"/>
      <w:r w:rsidRPr="006660FE">
        <w:t>L.Ed</w:t>
      </w:r>
      <w:proofErr w:type="spellEnd"/>
      <w:r w:rsidRPr="006660FE">
        <w:t>. 201 (1882).</w:t>
      </w:r>
    </w:p>
    <w:p w14:paraId="6DE7738E" w14:textId="77777777" w:rsidR="00825666" w:rsidRDefault="00825666" w:rsidP="00825666">
      <w:pPr>
        <w:pStyle w:val="Heading3"/>
      </w:pPr>
      <w:r>
        <w:t>Case</w:t>
      </w:r>
    </w:p>
    <w:p w14:paraId="634902CC" w14:textId="77777777" w:rsidR="00825666" w:rsidRPr="00CE5D2F" w:rsidRDefault="00825666" w:rsidP="00825666">
      <w:pPr>
        <w:pStyle w:val="Heading4"/>
        <w:rPr>
          <w:rFonts w:cs="Calibri"/>
        </w:rPr>
      </w:pPr>
      <w:r>
        <w:rPr>
          <w:rFonts w:cs="Calibri"/>
        </w:rPr>
        <w:t xml:space="preserve">1] </w:t>
      </w:r>
      <w:r w:rsidRPr="0092026C">
        <w:rPr>
          <w:rFonts w:cs="Calibri"/>
        </w:rPr>
        <w:t>Framework – the role of the ballot is to determine whether the plan is a good idea through evaluation of consequences</w:t>
      </w:r>
      <w:r>
        <w:rPr>
          <w:rFonts w:cs="Calibri"/>
        </w:rPr>
        <w:t xml:space="preserve">. Anything </w:t>
      </w:r>
      <w:r w:rsidRPr="00CE5D2F">
        <w:rPr>
          <w:rFonts w:cs="Calibri"/>
        </w:rPr>
        <w:t>else is self-serving, arbitrary and begs the question of the rest of the debate.</w:t>
      </w:r>
    </w:p>
    <w:p w14:paraId="02FD41D3" w14:textId="77777777" w:rsidR="00825666" w:rsidRPr="00CE5D2F" w:rsidRDefault="00825666" w:rsidP="00825666">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48D2FCD7" w14:textId="77777777" w:rsidR="00825666" w:rsidRDefault="00825666" w:rsidP="00825666">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33">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613A9EFE" w14:textId="77777777" w:rsidR="00825666" w:rsidRDefault="00825666" w:rsidP="00825666">
      <w:pPr>
        <w:rPr>
          <w:rStyle w:val="Emphasis"/>
        </w:rPr>
      </w:pPr>
    </w:p>
    <w:p w14:paraId="20F273C8" w14:textId="77777777" w:rsidR="00825666" w:rsidRDefault="00825666" w:rsidP="00825666">
      <w:pPr>
        <w:pStyle w:val="Heading4"/>
      </w:pPr>
      <w:r w:rsidRPr="0066160F">
        <w:t xml:space="preserve">Double bind </w:t>
      </w:r>
      <w:r>
        <w:t>–</w:t>
      </w:r>
      <w:r w:rsidRPr="0066160F">
        <w:t xml:space="preserve"> </w:t>
      </w:r>
      <w:r>
        <w:t xml:space="preserve">either only member states </w:t>
      </w:r>
      <w:proofErr w:type="gramStart"/>
      <w:r>
        <w:t>cant</w:t>
      </w:r>
      <w:proofErr w:type="gramEnd"/>
      <w:r>
        <w:t xml:space="preserve"> patent in which case they definitely </w:t>
      </w:r>
      <w:proofErr w:type="spellStart"/>
      <w:r>
        <w:t>cant</w:t>
      </w:r>
      <w:proofErr w:type="spellEnd"/>
      <w:r>
        <w:t xml:space="preserve"> solve – actors within states cant – OR we get competition because </w:t>
      </w:r>
      <w:proofErr w:type="spellStart"/>
      <w:r>
        <w:t>indigenmosu</w:t>
      </w:r>
      <w:proofErr w:type="spellEnd"/>
      <w:r>
        <w:t xml:space="preserve"> peoples groups geographically within nations – US doesn’t categorize </w:t>
      </w:r>
      <w:proofErr w:type="spellStart"/>
      <w:r>
        <w:t>grousp</w:t>
      </w:r>
      <w:proofErr w:type="spellEnd"/>
      <w:r>
        <w:t xml:space="preserve"> as </w:t>
      </w:r>
      <w:proofErr w:type="spellStart"/>
      <w:r>
        <w:t>saovering</w:t>
      </w:r>
      <w:proofErr w:type="spellEnd"/>
      <w:r>
        <w:t xml:space="preserve"> subject to law – even if they should be </w:t>
      </w:r>
    </w:p>
    <w:p w14:paraId="10507CA7" w14:textId="77777777" w:rsidR="00825666" w:rsidRPr="009C50BA" w:rsidRDefault="00825666" w:rsidP="00825666">
      <w:pPr>
        <w:pStyle w:val="ListParagraph"/>
        <w:numPr>
          <w:ilvl w:val="0"/>
          <w:numId w:val="11"/>
        </w:numPr>
      </w:pPr>
      <w:r>
        <w:t xml:space="preserve">Say actors </w:t>
      </w:r>
      <w:proofErr w:type="gramStart"/>
      <w:r>
        <w:t>cant</w:t>
      </w:r>
      <w:proofErr w:type="gramEnd"/>
      <w:r>
        <w:t xml:space="preserve"> patent</w:t>
      </w:r>
    </w:p>
    <w:p w14:paraId="7ACAC099" w14:textId="77777777" w:rsidR="00825666" w:rsidRDefault="00825666" w:rsidP="00825666">
      <w:pPr>
        <w:pStyle w:val="Heading4"/>
      </w:pPr>
      <w:r>
        <w:t xml:space="preserve">Their </w:t>
      </w:r>
      <w:proofErr w:type="spellStart"/>
      <w:r>
        <w:t>rotb</w:t>
      </w:r>
      <w:proofErr w:type="spellEnd"/>
      <w:r>
        <w:t xml:space="preserve"> just indicates there’s an imperative to take legal action to resolve appropriation but that 1. Doesn’t preclude the importance of other impacts 2. Relies on a consequential calculus to prove why the obligation exists 3. Is arbitrary and impact justified</w:t>
      </w:r>
    </w:p>
    <w:p w14:paraId="4F4B94AF" w14:textId="77777777" w:rsidR="00825666" w:rsidRPr="0066160F" w:rsidRDefault="00825666" w:rsidP="00825666">
      <w:pPr>
        <w:pStyle w:val="Heading4"/>
      </w:pPr>
      <w:r>
        <w:t>Reps don’t shape reality – justifying a policy in 2 ways is still the same policy – leads to endless abstraction</w:t>
      </w:r>
    </w:p>
    <w:p w14:paraId="2193D505" w14:textId="77777777" w:rsidR="00825666" w:rsidRPr="0092026C" w:rsidRDefault="00825666" w:rsidP="00825666">
      <w:pPr>
        <w:pStyle w:val="Heading4"/>
        <w:rPr>
          <w:rFonts w:cs="Calibri"/>
        </w:rPr>
      </w:pPr>
      <w:r>
        <w:rPr>
          <w:rFonts w:cs="Calibri"/>
        </w:rPr>
        <w:t>2</w:t>
      </w:r>
      <w:r w:rsidRPr="0092026C">
        <w:rPr>
          <w:rFonts w:cs="Calibri"/>
        </w:rPr>
        <w:t xml:space="preserve">] Don’t let them weigh the </w:t>
      </w:r>
      <w:proofErr w:type="gramStart"/>
      <w:r w:rsidRPr="0092026C">
        <w:rPr>
          <w:rFonts w:cs="Calibri"/>
        </w:rPr>
        <w:t>sum total</w:t>
      </w:r>
      <w:proofErr w:type="gramEnd"/>
      <w:r w:rsidRPr="0092026C">
        <w:rPr>
          <w:rFonts w:cs="Calibri"/>
        </w:rPr>
        <w:t xml:space="preserve"> of their impact—they only get to weigh the unique amount solved by the affirmative. Filter the debate through scope of solvency—there’s no impact to root cause if they don’t solve it</w:t>
      </w:r>
    </w:p>
    <w:p w14:paraId="3F5FD352" w14:textId="77777777" w:rsidR="00825666" w:rsidRPr="0092026C" w:rsidRDefault="00825666" w:rsidP="00825666">
      <w:pPr>
        <w:pStyle w:val="Heading4"/>
        <w:rPr>
          <w:rFonts w:cs="Calibri"/>
        </w:rPr>
      </w:pPr>
      <w:bookmarkStart w:id="2" w:name="_Hlk28943398"/>
      <w:r>
        <w:rPr>
          <w:rFonts w:cs="Calibri"/>
        </w:rPr>
        <w:t>3</w:t>
      </w:r>
      <w:r w:rsidRPr="0092026C">
        <w:rPr>
          <w:rFonts w:cs="Calibri"/>
        </w:rPr>
        <w:t xml:space="preserve">] No performative or methodological offense, only offense from the plan—reject it </w:t>
      </w:r>
      <w:proofErr w:type="spellStart"/>
      <w:r w:rsidRPr="0092026C">
        <w:rPr>
          <w:rFonts w:cs="Calibri"/>
        </w:rPr>
        <w:t>cuz</w:t>
      </w:r>
      <w:proofErr w:type="spellEnd"/>
      <w:r w:rsidRPr="0092026C">
        <w:rPr>
          <w:rFonts w:cs="Calibri"/>
        </w:rPr>
        <w:t xml:space="preserve"> it explodes predictable limits, spiking out of neg ground making any discussion qualitatively worse</w:t>
      </w:r>
    </w:p>
    <w:bookmarkEnd w:id="2"/>
    <w:p w14:paraId="5A3AB499" w14:textId="77777777" w:rsidR="00825666" w:rsidRDefault="00825666" w:rsidP="00825666">
      <w:pPr>
        <w:pStyle w:val="Heading4"/>
        <w:spacing w:line="276" w:lineRule="auto"/>
        <w:rPr>
          <w:rFonts w:cs="Calibri"/>
        </w:rPr>
      </w:pPr>
      <w:r>
        <w:rPr>
          <w:rFonts w:cs="Calibri"/>
        </w:rPr>
        <w:t>4</w:t>
      </w:r>
      <w:r w:rsidRPr="0092026C">
        <w:rPr>
          <w:rFonts w:cs="Calibri"/>
        </w:rPr>
        <w:t>] Our impacts matter</w:t>
      </w:r>
    </w:p>
    <w:p w14:paraId="192F3A2F" w14:textId="77777777" w:rsidR="00825666" w:rsidRPr="001736B8" w:rsidRDefault="00825666" w:rsidP="00825666">
      <w:pPr>
        <w:pStyle w:val="Heading4"/>
        <w:rPr>
          <w:rFonts w:cs="Calibri"/>
        </w:rPr>
      </w:pPr>
      <w:r>
        <w:rPr>
          <w:rFonts w:cs="Calibri"/>
        </w:rPr>
        <w:t xml:space="preserve">A] </w:t>
      </w: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43D7E66E" w14:textId="77777777" w:rsidR="00825666" w:rsidRPr="001736B8" w:rsidRDefault="00825666" w:rsidP="00825666">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34" w:history="1">
        <w:r w:rsidRPr="001736B8">
          <w:rPr>
            <w:rStyle w:val="Hyperlink"/>
          </w:rPr>
          <w:t>https://www.foreignaffairs.com/articles/2020-10-13/heads-sand</w:t>
        </w:r>
      </w:hyperlink>
      <w:r w:rsidRPr="001736B8">
        <w:t xml:space="preserve"> </w:t>
      </w:r>
      <w:proofErr w:type="spellStart"/>
      <w:r w:rsidRPr="001736B8">
        <w:t>mvp</w:t>
      </w:r>
      <w:proofErr w:type="spellEnd"/>
    </w:p>
    <w:p w14:paraId="4CAFDD22" w14:textId="77777777" w:rsidR="00825666" w:rsidRPr="001736B8" w:rsidRDefault="00825666" w:rsidP="00825666">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11C32CA8" w14:textId="77777777" w:rsidR="00825666" w:rsidRPr="001736B8" w:rsidRDefault="00825666" w:rsidP="00825666">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14:paraId="0794F191" w14:textId="77777777" w:rsidR="00825666" w:rsidRPr="001736B8" w:rsidRDefault="00825666" w:rsidP="00825666">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7803F48E" w14:textId="77777777" w:rsidR="00825666" w:rsidRPr="001736B8" w:rsidRDefault="00825666" w:rsidP="00825666">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4AC9E438" w14:textId="77777777" w:rsidR="00825666" w:rsidRPr="001736B8" w:rsidRDefault="00825666" w:rsidP="00825666">
      <w:r w:rsidRPr="001736B8">
        <w:t>AVOIDING THE UNCOMFORTABLE</w:t>
      </w:r>
    </w:p>
    <w:p w14:paraId="3E452344" w14:textId="77777777" w:rsidR="00825666" w:rsidRPr="001736B8" w:rsidRDefault="00825666" w:rsidP="00825666">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7D66C942" w14:textId="77777777" w:rsidR="00825666" w:rsidRPr="001736B8" w:rsidRDefault="00825666" w:rsidP="00825666">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cognitive capacity. Add in the stress generated by crises, and their performance gets even worse.</w:t>
      </w:r>
    </w:p>
    <w:p w14:paraId="6B43D5D8" w14:textId="77777777" w:rsidR="00825666" w:rsidRPr="001736B8" w:rsidRDefault="00825666" w:rsidP="00825666">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246FBCD3" w14:textId="77777777" w:rsidR="00825666" w:rsidRPr="001736B8" w:rsidRDefault="00825666" w:rsidP="00825666">
      <w:r w:rsidRPr="001736B8">
        <w:t>Not only do humans fail to anticipate crises; they also fail to respond rationally to them.</w:t>
      </w:r>
    </w:p>
    <w:p w14:paraId="6DABC025" w14:textId="77777777" w:rsidR="00825666" w:rsidRPr="001736B8" w:rsidRDefault="00825666" w:rsidP="00825666">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1736B8">
        <w:t>The vast majority of</w:t>
      </w:r>
      <w:proofErr w:type="gramEnd"/>
      <w:r w:rsidRPr="001736B8">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70F72EF2" w14:textId="77777777" w:rsidR="00825666" w:rsidRPr="001736B8" w:rsidRDefault="00825666" w:rsidP="00825666">
      <w:pPr>
        <w:rPr>
          <w:sz w:val="12"/>
        </w:rPr>
      </w:pPr>
    </w:p>
    <w:p w14:paraId="55D0DC25" w14:textId="77777777" w:rsidR="00825666" w:rsidRPr="00F478BE" w:rsidRDefault="00825666" w:rsidP="00825666">
      <w:pPr>
        <w:pStyle w:val="Heading4"/>
      </w:pPr>
      <w:r>
        <w:t>Can’t solve – removing patents just makes all applications of IK functionally generics – that GREENLIGHTS corporations to appropriate them and doesn’t do anything to protect knowledge beyond slightly decreasing profit incentives – the plan does nothing to detach IK from capital</w:t>
      </w:r>
    </w:p>
    <w:p w14:paraId="489A5660" w14:textId="77777777" w:rsidR="00825666" w:rsidRDefault="00825666" w:rsidP="00825666"/>
    <w:p w14:paraId="63F08008" w14:textId="77777777" w:rsidR="00825666" w:rsidRPr="00C001AA" w:rsidRDefault="00825666" w:rsidP="00825666">
      <w:pPr>
        <w:pStyle w:val="Heading4"/>
      </w:pPr>
      <w:r>
        <w:t xml:space="preserve">Blood quantum DA – settler states are the actors of the </w:t>
      </w:r>
      <w:proofErr w:type="gramStart"/>
      <w:r>
        <w:t>plan</w:t>
      </w:r>
      <w:proofErr w:type="gramEnd"/>
      <w:r>
        <w:t xml:space="preserve"> so they have jurisdiction over what is and isn’t Indigenous Knowledge – </w:t>
      </w:r>
      <w:proofErr w:type="spellStart"/>
      <w:r>
        <w:t>its</w:t>
      </w:r>
      <w:proofErr w:type="spellEnd"/>
      <w:r>
        <w:t xml:space="preserve"> really to trace back medicines to any possible Indigenous roots which incentivizes nations to say substances and knowledge “aren’t native enough” which decks </w:t>
      </w:r>
      <w:proofErr w:type="spellStart"/>
      <w:r>
        <w:t>aff</w:t>
      </w:r>
      <w:proofErr w:type="spellEnd"/>
      <w:r>
        <w:t xml:space="preserve"> solvency AND perpetuates a form of cultural genocide</w:t>
      </w:r>
    </w:p>
    <w:p w14:paraId="1C6CA6F9" w14:textId="77777777" w:rsidR="00825666" w:rsidRDefault="00825666" w:rsidP="00825666"/>
    <w:p w14:paraId="0F4E5FCC" w14:textId="77777777" w:rsidR="00825666" w:rsidRDefault="00825666" w:rsidP="00825666">
      <w:pPr>
        <w:pStyle w:val="Heading4"/>
      </w:pPr>
      <w:r>
        <w:t xml:space="preserve">No developing country competition – even if they aren’t barred from </w:t>
      </w:r>
      <w:proofErr w:type="gramStart"/>
      <w:r>
        <w:t>plant based</w:t>
      </w:r>
      <w:proofErr w:type="gramEnd"/>
      <w:r>
        <w:t xml:space="preserve"> generics through patents, there are massive disparities in R&amp;D capabilities and pharmaceutical industry size that allow the global north to dominate</w:t>
      </w:r>
    </w:p>
    <w:p w14:paraId="4CBDD792" w14:textId="77777777" w:rsidR="00825666" w:rsidRDefault="00825666" w:rsidP="00825666"/>
    <w:p w14:paraId="2A03DA4D" w14:textId="77777777" w:rsidR="00825666" w:rsidRDefault="00825666" w:rsidP="00825666">
      <w:pPr>
        <w:pStyle w:val="Heading4"/>
      </w:pPr>
      <w:r>
        <w:t xml:space="preserve">Joint statement is 1. Answered by our CP which cites Indigenous groups utilizing patents to protect their knowledge 2. Relies on Indigenous legal systems to protect knowledge which can only deter settler appropriation if </w:t>
      </w:r>
      <w:proofErr w:type="gramStart"/>
      <w:r>
        <w:t>its</w:t>
      </w:r>
      <w:proofErr w:type="gramEnd"/>
      <w:r>
        <w:t xml:space="preserve"> codified in settler law</w:t>
      </w:r>
    </w:p>
    <w:p w14:paraId="70DA82C7" w14:textId="77777777" w:rsidR="00825666" w:rsidRDefault="00825666" w:rsidP="00825666"/>
    <w:p w14:paraId="09D7FF16" w14:textId="77777777" w:rsidR="00825666" w:rsidRPr="0066160F" w:rsidRDefault="00825666" w:rsidP="00825666">
      <w:pPr>
        <w:pStyle w:val="Heading4"/>
      </w:pPr>
      <w:r>
        <w:t xml:space="preserve">Spillover from the held </w:t>
      </w:r>
      <w:proofErr w:type="spellStart"/>
      <w:r>
        <w:t>ev</w:t>
      </w:r>
      <w:proofErr w:type="spellEnd"/>
      <w:r>
        <w:t xml:space="preserve"> is nonsense – explain how the plan or its reps – also don’t largely change legal forums and if they do both cps do as well</w:t>
      </w:r>
    </w:p>
    <w:p w14:paraId="1D6ACE1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775699"/>
    <w:multiLevelType w:val="hybridMultilevel"/>
    <w:tmpl w:val="8EC498A6"/>
    <w:lvl w:ilvl="0" w:tplc="5ECA03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1F3AFE"/>
    <w:multiLevelType w:val="hybridMultilevel"/>
    <w:tmpl w:val="8F1C9DD2"/>
    <w:lvl w:ilvl="0" w:tplc="6D6EB3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11"/>
  </w:num>
  <w:num w:numId="13">
    <w:abstractNumId w:val="14"/>
  </w:num>
  <w:num w:numId="14">
    <w:abstractNumId w:val="0"/>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56893"/>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25666"/>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56893"/>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15932"/>
  <w15:chartTrackingRefBased/>
  <w15:docId w15:val="{DBD292A3-801B-4548-A150-B42453C53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5666"/>
    <w:rPr>
      <w:rFonts w:ascii="Calibri" w:hAnsi="Calibri" w:cs="Calibri"/>
    </w:rPr>
  </w:style>
  <w:style w:type="paragraph" w:styleId="Heading1">
    <w:name w:val="heading 1"/>
    <w:aliases w:val="Pocket"/>
    <w:basedOn w:val="Normal"/>
    <w:next w:val="Normal"/>
    <w:link w:val="Heading1Char"/>
    <w:qFormat/>
    <w:rsid w:val="00B568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68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B568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 Ch,Heading 2 Char2 Char,no read,Ch,No Spacing211,No Spacing12,No Spacing2111,No Spacing4,No Spacing11111,No Spacing21,ta,Ta,CD - Cite,small space,Heading 41,T,t,TAG,No Spacing5,Car"/>
    <w:basedOn w:val="Normal"/>
    <w:next w:val="Normal"/>
    <w:link w:val="Heading4Char"/>
    <w:uiPriority w:val="3"/>
    <w:unhideWhenUsed/>
    <w:qFormat/>
    <w:rsid w:val="00B568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68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6893"/>
  </w:style>
  <w:style w:type="character" w:customStyle="1" w:styleId="Heading1Char">
    <w:name w:val="Heading 1 Char"/>
    <w:aliases w:val="Pocket Char"/>
    <w:basedOn w:val="DefaultParagraphFont"/>
    <w:link w:val="Heading1"/>
    <w:rsid w:val="00B5689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56893"/>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B5689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 Ch Char,Heading 2 Char2 Char Char,no read Char,Ch Char,No Spacing211 Char,No Spacing12 Char,No Spacing2111 Char,No Spacing4 Char,No Spacing11111 Char,ta Char"/>
    <w:basedOn w:val="DefaultParagraphFont"/>
    <w:link w:val="Heading4"/>
    <w:uiPriority w:val="3"/>
    <w:rsid w:val="00B5689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B56893"/>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B56893"/>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B56893"/>
    <w:rPr>
      <w:b/>
      <w:sz w:val="26"/>
      <w:u w:val="singl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C"/>
    <w:basedOn w:val="DefaultParagraphFont"/>
    <w:link w:val="Card"/>
    <w:uiPriority w:val="99"/>
    <w:unhideWhenUsed/>
    <w:rsid w:val="00B56893"/>
    <w:rPr>
      <w:color w:val="auto"/>
      <w:u w:val="none"/>
    </w:rPr>
  </w:style>
  <w:style w:type="character" w:styleId="FollowedHyperlink">
    <w:name w:val="FollowedHyperlink"/>
    <w:basedOn w:val="DefaultParagraphFont"/>
    <w:uiPriority w:val="99"/>
    <w:semiHidden/>
    <w:unhideWhenUsed/>
    <w:rsid w:val="00B56893"/>
    <w:rPr>
      <w:color w:val="auto"/>
      <w:u w:val="none"/>
    </w:rPr>
  </w:style>
  <w:style w:type="paragraph" w:styleId="ListParagraph">
    <w:name w:val="List Paragraph"/>
    <w:aliases w:val="6 font"/>
    <w:basedOn w:val="Normal"/>
    <w:uiPriority w:val="34"/>
    <w:unhideWhenUsed/>
    <w:qFormat/>
    <w:rsid w:val="00825666"/>
    <w:pPr>
      <w:ind w:left="720"/>
      <w:contextualSpacing/>
    </w:pPr>
  </w:style>
  <w:style w:type="character" w:styleId="UnresolvedMention">
    <w:name w:val="Unresolved Mention"/>
    <w:basedOn w:val="DefaultParagraphFont"/>
    <w:uiPriority w:val="99"/>
    <w:semiHidden/>
    <w:unhideWhenUsed/>
    <w:rsid w:val="00825666"/>
    <w:rPr>
      <w:color w:val="605E5C"/>
      <w:shd w:val="clear" w:color="auto" w:fill="E1DFDD"/>
    </w:rPr>
  </w:style>
  <w:style w:type="paragraph" w:styleId="NormalWeb">
    <w:name w:val="Normal (Web)"/>
    <w:basedOn w:val="Normal"/>
    <w:uiPriority w:val="99"/>
    <w:semiHidden/>
    <w:unhideWhenUsed/>
    <w:rsid w:val="00825666"/>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825666"/>
    <w:rPr>
      <w:b/>
      <w:bCs/>
    </w:rPr>
  </w:style>
  <w:style w:type="paragraph" w:customStyle="1" w:styleId="p4">
    <w:name w:val="p4"/>
    <w:basedOn w:val="Normal"/>
    <w:rsid w:val="00825666"/>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825666"/>
  </w:style>
  <w:style w:type="paragraph" w:customStyle="1" w:styleId="p6">
    <w:name w:val="p6"/>
    <w:basedOn w:val="Normal"/>
    <w:rsid w:val="00825666"/>
    <w:pPr>
      <w:spacing w:before="100" w:beforeAutospacing="1" w:after="100" w:afterAutospacing="1" w:line="240" w:lineRule="auto"/>
    </w:pPr>
    <w:rPr>
      <w:rFonts w:ascii="Times New Roman" w:eastAsia="Times New Roman" w:hAnsi="Times New Roman" w:cs="Times New Roman"/>
      <w:sz w:val="24"/>
    </w:rPr>
  </w:style>
  <w:style w:type="paragraph" w:styleId="DocumentMap">
    <w:name w:val="Document Map"/>
    <w:basedOn w:val="Normal"/>
    <w:link w:val="DocumentMapChar"/>
    <w:uiPriority w:val="99"/>
    <w:semiHidden/>
    <w:unhideWhenUsed/>
    <w:rsid w:val="008256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5666"/>
    <w:rPr>
      <w:rFonts w:ascii="Lucida Grande" w:hAnsi="Lucida Grande" w:cs="Lucida Grande"/>
      <w:sz w:val="24"/>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82566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autoRedefine/>
    <w:uiPriority w:val="99"/>
    <w:qFormat/>
    <w:rsid w:val="0082566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customStyle="1" w:styleId="paragraph-sc-1tqpf5s-0">
    <w:name w:val="paragraph-sc-1tqpf5s-0"/>
    <w:basedOn w:val="Normal"/>
    <w:rsid w:val="00825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ed-3sfazf">
    <w:name w:val="edited-3sfazf"/>
    <w:basedOn w:val="DefaultParagraphFont"/>
    <w:rsid w:val="00825666"/>
  </w:style>
  <w:style w:type="character" w:customStyle="1" w:styleId="content-1o0f9g">
    <w:name w:val="content-1o0f9g"/>
    <w:basedOn w:val="DefaultParagraphFont"/>
    <w:rsid w:val="00825666"/>
  </w:style>
  <w:style w:type="paragraph" w:customStyle="1" w:styleId="textbold">
    <w:name w:val="text bold"/>
    <w:basedOn w:val="Normal"/>
    <w:link w:val="Emphasis"/>
    <w:uiPriority w:val="7"/>
    <w:qFormat/>
    <w:rsid w:val="00825666"/>
    <w:pPr>
      <w:pBdr>
        <w:top w:val="single" w:sz="12" w:space="0" w:color="auto"/>
        <w:left w:val="single" w:sz="12" w:space="0" w:color="auto"/>
        <w:bottom w:val="single" w:sz="12" w:space="0" w:color="auto"/>
        <w:right w:val="single" w:sz="12" w:space="0"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www.wipo.int/edocs/mdocs/tk/en/wipo_grtkf_ic_17/wipo_grtkf_ic_17_inf_5_a.pdf" TargetMode="External"/><Relationship Id="rId26" Type="http://schemas.openxmlformats.org/officeDocument/2006/relationships/hyperlink" Target="http://www.oscn.net/applications/oscn/DeliverDocument.asp?CiteID=20287" TargetMode="External"/><Relationship Id="rId3" Type="http://schemas.openxmlformats.org/officeDocument/2006/relationships/styles" Target="styles.xml"/><Relationship Id="rId21" Type="http://schemas.openxmlformats.org/officeDocument/2006/relationships/hyperlink" Target="https://www.mckinsey.com/business-functions/m-and-a/our-insights/a-new-prescription-for-m-and-a-in-pharma" TargetMode="External"/><Relationship Id="rId34" Type="http://schemas.openxmlformats.org/officeDocument/2006/relationships/hyperlink" Target="https://www.foreignaffairs.com/articles/2020-10-13/heads-sand" TargetMode="Externa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hyperlink" Target="https://www.cigionline.org/static/documents/documents/vezina-paper_1.pdf"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web.lexis-nexis.com/universe/document?_m=cd9713b340d60abd42c2b34c36d8ef95&amp;_docnum=9&amp;wchp=dGLbVzz-zSkVA&amp;_md5=9645fa92f5740655bdc1c9ae7c82b328" TargetMode="Externa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hyperlink" Target="https://www.mckinsey.com/industries/pharmaceuticals-and-medical-products/our-insights/on-pins-and-needles-will-covid-19-vaccines-save-the-world" TargetMode="External"/><Relationship Id="rId29" Type="http://schemas.openxmlformats.org/officeDocument/2006/relationships/hyperlink" Target="http://www.oscn.net/applications/oscn/DeliverDocument.asp?CiteID=20287" TargetMode="External"/><Relationship Id="rId1" Type="http://schemas.openxmlformats.org/officeDocument/2006/relationships/customXml" Target="../customXml/item1.xml"/><Relationship Id="rId6" Type="http://schemas.openxmlformats.org/officeDocument/2006/relationships/hyperlink" Target="http://psnlab.princeton.edu/" TargetMode="External"/><Relationship Id="rId11" Type="http://schemas.openxmlformats.org/officeDocument/2006/relationships/hyperlink" Target="https://plato.stanford.edu/entries/generics/" TargetMode="External"/><Relationship Id="rId24" Type="http://schemas.openxmlformats.org/officeDocument/2006/relationships/hyperlink" Target="http://www.learnersdictionary.com/definition/ought" TargetMode="External"/><Relationship Id="rId32" Type="http://schemas.openxmlformats.org/officeDocument/2006/relationships/hyperlink" Target="http://www.oscn.net/applications/oscn/deliverdocument.asp?box1=106&amp;box2=U.S.&amp;box3=360" TargetMode="Externa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23" Type="http://schemas.openxmlformats.org/officeDocument/2006/relationships/hyperlink" Target="https://itif.org/publications/2019/04/25/way-forward-intellectual-property-internationally" TargetMode="External"/><Relationship Id="rId28" Type="http://schemas.openxmlformats.org/officeDocument/2006/relationships/hyperlink" Target="http://www.oscn.net/applications/oscn/DeliverDocument.asp?CiteID=20287" TargetMode="External"/><Relationship Id="rId36" Type="http://schemas.openxmlformats.org/officeDocument/2006/relationships/theme" Target="theme/theme1.xml"/><Relationship Id="rId10" Type="http://schemas.openxmlformats.org/officeDocument/2006/relationships/hyperlink" Target="https://plato.stanford.edu/entries/generics/" TargetMode="External"/><Relationship Id="rId19" Type="http://schemas.openxmlformats.org/officeDocument/2006/relationships/hyperlink" Target="https://www.mckinsey.com/industries/pharmaceuticals-and-medical-products/our-insights/whats-ahead-for-biotech-another-wave-or-low-tide" TargetMode="External"/><Relationship Id="rId31" Type="http://schemas.openxmlformats.org/officeDocument/2006/relationships/hyperlink" Target="http://www.oscn.net/applications/oscn/DeliverDocument.asp?CiteID=20287"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mckinsey.com/industries/pharmaceuticals-and-medical-products/our-insights/the-bio-revolution-innovations-transforming-economies-societies-and-our-lives"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www.oscn.net/applications/oscn/deliverdocument.asp?box1=802&amp;box2=P.2D&amp;box3=813" TargetMode="External"/><Relationship Id="rId35" Type="http://schemas.openxmlformats.org/officeDocument/2006/relationships/fontTable" Target="fontTable.xml"/><Relationship Id="rId8"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11121</Words>
  <Characters>63391</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2</cp:revision>
  <dcterms:created xsi:type="dcterms:W3CDTF">2021-09-16T16:44:00Z</dcterms:created>
  <dcterms:modified xsi:type="dcterms:W3CDTF">2021-09-16T16:49:00Z</dcterms:modified>
</cp:coreProperties>
</file>