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54182" w14:textId="77777777" w:rsidR="006163DC" w:rsidRDefault="006163DC" w:rsidP="006163DC">
      <w:pPr>
        <w:pStyle w:val="Heading2"/>
      </w:pPr>
      <w:r>
        <w:t>AC</w:t>
      </w:r>
    </w:p>
    <w:p w14:paraId="182EEDF3" w14:textId="77777777" w:rsidR="006163DC" w:rsidRPr="00222B08" w:rsidRDefault="006163DC" w:rsidP="006163DC">
      <w:pPr>
        <w:pStyle w:val="Heading3"/>
      </w:pPr>
      <w:r>
        <w:lastRenderedPageBreak/>
        <w:t>Framework</w:t>
      </w:r>
    </w:p>
    <w:p w14:paraId="5B6B2EF6" w14:textId="77777777" w:rsidR="006163DC" w:rsidRPr="00222B08" w:rsidRDefault="006163DC" w:rsidP="006163DC">
      <w:pPr>
        <w:pStyle w:val="Heading4"/>
      </w:pPr>
      <w:r w:rsidRPr="00222B08">
        <w:t>The value is justice- defined by Aristotle as giving each his due</w:t>
      </w:r>
    </w:p>
    <w:p w14:paraId="39F5693C" w14:textId="77777777" w:rsidR="006163DC" w:rsidRPr="00222B08" w:rsidRDefault="006163DC" w:rsidP="006163DC">
      <w:pPr>
        <w:rPr>
          <w:sz w:val="24"/>
          <w:szCs w:val="24"/>
        </w:rPr>
      </w:pPr>
    </w:p>
    <w:p w14:paraId="16D302C8" w14:textId="77777777" w:rsidR="006163DC" w:rsidRDefault="006163DC" w:rsidP="006163DC">
      <w:pPr>
        <w:pStyle w:val="Heading4"/>
        <w:rPr>
          <w:rFonts w:eastAsia="Calibri"/>
        </w:rPr>
      </w:pPr>
      <w:r w:rsidRPr="00222B08">
        <w:rPr>
          <w:rFonts w:eastAsia="Calibri"/>
        </w:rPr>
        <w:t xml:space="preserve">Thus, the standard and role of the ballot is to promote social inclusion. Social inclusion </w:t>
      </w:r>
      <w:r>
        <w:rPr>
          <w:rFonts w:eastAsia="Calibri"/>
        </w:rPr>
        <w:t xml:space="preserve">undoes social exclusion, the method by which power structures disadvantage people today. </w:t>
      </w:r>
    </w:p>
    <w:p w14:paraId="381E8048" w14:textId="77777777" w:rsidR="006163DC" w:rsidRDefault="006163DC" w:rsidP="006163DC">
      <w:r w:rsidRPr="0008267E">
        <w:rPr>
          <w:b/>
          <w:bCs/>
          <w:sz w:val="26"/>
          <w:szCs w:val="26"/>
        </w:rPr>
        <w:t>UN 16</w:t>
      </w:r>
      <w:r>
        <w:t xml:space="preserve"> [United Nations, “Leaving no one behind: the imperative of inclusive development- Report on the World Social Situation 2016,” Department of Economic and Social Affairs, </w:t>
      </w:r>
      <w:hyperlink r:id="rId6" w:history="1">
        <w:r w:rsidRPr="00BD7A51">
          <w:rPr>
            <w:rStyle w:val="Hyperlink"/>
          </w:rPr>
          <w:t>https://www.un.org/esa/socdev/rwss/2016/chapter1.pdf</w:t>
        </w:r>
      </w:hyperlink>
      <w:r>
        <w:t xml:space="preserve">, </w:t>
      </w:r>
      <w:proofErr w:type="spellStart"/>
      <w:r>
        <w:t>rpHS</w:t>
      </w:r>
      <w:proofErr w:type="spellEnd"/>
      <w:r>
        <w:t>-VM]</w:t>
      </w:r>
    </w:p>
    <w:p w14:paraId="0A76336A" w14:textId="77777777" w:rsidR="006163DC" w:rsidRPr="00222B08" w:rsidRDefault="006163DC" w:rsidP="006163DC">
      <w:pPr>
        <w:shd w:val="clear" w:color="auto" w:fill="FFFFFF"/>
        <w:rPr>
          <w:sz w:val="24"/>
          <w:szCs w:val="24"/>
        </w:rPr>
      </w:pPr>
    </w:p>
    <w:p w14:paraId="739F2107" w14:textId="77777777" w:rsidR="006163DC" w:rsidRPr="00222B08" w:rsidRDefault="006163DC" w:rsidP="006163DC">
      <w:pPr>
        <w:pStyle w:val="Heading4"/>
      </w:pPr>
      <w:r w:rsidRPr="00222B08">
        <w:rPr>
          <w:rFonts w:eastAsia="Calibri"/>
        </w:rPr>
        <w:t xml:space="preserve">Social inclusion is necessary for justice </w:t>
      </w:r>
    </w:p>
    <w:p w14:paraId="3AC2FA3C" w14:textId="77777777" w:rsidR="006163DC" w:rsidRPr="00222B08" w:rsidRDefault="006163DC" w:rsidP="006163DC">
      <w:pPr>
        <w:shd w:val="clear" w:color="auto" w:fill="FFFFFF"/>
        <w:rPr>
          <w:sz w:val="24"/>
          <w:szCs w:val="24"/>
        </w:rPr>
      </w:pPr>
      <w:r w:rsidRPr="0008267E">
        <w:rPr>
          <w:b/>
          <w:color w:val="222222"/>
          <w:sz w:val="26"/>
          <w:szCs w:val="26"/>
        </w:rPr>
        <w:t>Collins 01</w:t>
      </w:r>
      <w:r w:rsidRPr="00222B08">
        <w:rPr>
          <w:b/>
          <w:color w:val="222222"/>
          <w:sz w:val="24"/>
          <w:szCs w:val="24"/>
        </w:rPr>
        <w:t> </w:t>
      </w:r>
      <w:r>
        <w:rPr>
          <w:color w:val="000000"/>
          <w:sz w:val="24"/>
          <w:szCs w:val="24"/>
        </w:rPr>
        <w:t>[H</w:t>
      </w:r>
      <w:r w:rsidRPr="00222B08">
        <w:rPr>
          <w:color w:val="000000"/>
          <w:sz w:val="24"/>
          <w:szCs w:val="24"/>
        </w:rPr>
        <w:t>ugh Collins, Discrimination, Equality and Social Inclusion, The Modern Law Review, Vol. 66, No. 1 (Jan., 2003), pp. 16-43</w:t>
      </w:r>
      <w:r>
        <w:rPr>
          <w:color w:val="000000"/>
          <w:sz w:val="24"/>
          <w:szCs w:val="24"/>
        </w:rPr>
        <w:t>]</w:t>
      </w:r>
    </w:p>
    <w:p w14:paraId="4CBA9779" w14:textId="77777777" w:rsidR="006163DC" w:rsidRPr="00222B08" w:rsidRDefault="006163DC" w:rsidP="006163DC">
      <w:pPr>
        <w:pBdr>
          <w:top w:val="nil"/>
          <w:left w:val="nil"/>
          <w:bottom w:val="nil"/>
          <w:right w:val="nil"/>
          <w:between w:val="nil"/>
        </w:pBdr>
        <w:spacing w:after="0" w:line="240" w:lineRule="auto"/>
        <w:rPr>
          <w:color w:val="000000"/>
          <w:sz w:val="24"/>
          <w:szCs w:val="24"/>
        </w:rPr>
      </w:pPr>
    </w:p>
    <w:p w14:paraId="2D51CA5C" w14:textId="77777777" w:rsidR="006163DC" w:rsidRPr="00222B08" w:rsidRDefault="006163DC" w:rsidP="006163DC">
      <w:pPr>
        <w:pStyle w:val="Heading4"/>
        <w:rPr>
          <w:color w:val="222222"/>
        </w:rPr>
      </w:pPr>
      <w:r w:rsidRPr="00222B08">
        <w:rPr>
          <w:rFonts w:eastAsia="Calibri"/>
        </w:rPr>
        <w:t>Thus, social groups are distinguished from the individuals that form the groups, but they are defined by the combination of separate identities. This means I preclude other moral theories because social groups are constitutive of the fundamental identity of humans and the understanding of social groups as distinctly relational concepts is a necessary justification for any framework.</w:t>
      </w:r>
      <w:r>
        <w:rPr>
          <w:rFonts w:eastAsia="Calibri"/>
        </w:rPr>
        <w:t xml:space="preserve"> </w:t>
      </w:r>
      <w:r w:rsidRPr="00222B08">
        <w:rPr>
          <w:rFonts w:eastAsia="Calibri"/>
          <w:color w:val="222222"/>
        </w:rPr>
        <w:t>Social inclusion is key to address real world policymaking</w:t>
      </w:r>
    </w:p>
    <w:p w14:paraId="35CCF740" w14:textId="77777777" w:rsidR="006163DC" w:rsidRPr="00222B08" w:rsidRDefault="006163DC" w:rsidP="006163DC">
      <w:pPr>
        <w:shd w:val="clear" w:color="auto" w:fill="FFFFFF"/>
        <w:rPr>
          <w:sz w:val="24"/>
          <w:szCs w:val="24"/>
        </w:rPr>
      </w:pPr>
      <w:proofErr w:type="spellStart"/>
      <w:r w:rsidRPr="0008267E">
        <w:rPr>
          <w:b/>
          <w:color w:val="222222"/>
          <w:sz w:val="26"/>
          <w:szCs w:val="26"/>
        </w:rPr>
        <w:t>Labonte</w:t>
      </w:r>
      <w:proofErr w:type="spellEnd"/>
      <w:r w:rsidRPr="0008267E">
        <w:rPr>
          <w:b/>
          <w:color w:val="222222"/>
          <w:sz w:val="26"/>
          <w:szCs w:val="26"/>
        </w:rPr>
        <w:t xml:space="preserve"> 02</w:t>
      </w:r>
      <w:r w:rsidRPr="00222B08">
        <w:rPr>
          <w:b/>
          <w:color w:val="222222"/>
          <w:sz w:val="24"/>
          <w:szCs w:val="24"/>
        </w:rPr>
        <w:t> </w:t>
      </w:r>
      <w:r>
        <w:rPr>
          <w:color w:val="000000"/>
          <w:sz w:val="24"/>
          <w:szCs w:val="24"/>
        </w:rPr>
        <w:t>[</w:t>
      </w:r>
      <w:proofErr w:type="spellStart"/>
      <w:r>
        <w:rPr>
          <w:color w:val="000000"/>
          <w:sz w:val="24"/>
          <w:szCs w:val="24"/>
        </w:rPr>
        <w:t>L</w:t>
      </w:r>
      <w:r w:rsidRPr="00222B08">
        <w:rPr>
          <w:color w:val="000000"/>
          <w:sz w:val="24"/>
          <w:szCs w:val="24"/>
        </w:rPr>
        <w:t>abonte</w:t>
      </w:r>
      <w:proofErr w:type="spellEnd"/>
      <w:r w:rsidRPr="00222B08">
        <w:rPr>
          <w:color w:val="000000"/>
          <w:sz w:val="24"/>
          <w:szCs w:val="24"/>
        </w:rPr>
        <w:t>, Ronald. "Social inclusion/exclusion: dancing the dialectic." Health Promotion International 19.1 (2004): 115-121</w:t>
      </w:r>
      <w:r>
        <w:rPr>
          <w:color w:val="000000"/>
          <w:sz w:val="24"/>
          <w:szCs w:val="24"/>
        </w:rPr>
        <w:t>]</w:t>
      </w:r>
    </w:p>
    <w:p w14:paraId="1F3DCBED" w14:textId="77777777" w:rsidR="006163DC" w:rsidRPr="00222B08" w:rsidRDefault="006163DC" w:rsidP="006163DC">
      <w:pPr>
        <w:pBdr>
          <w:top w:val="nil"/>
          <w:left w:val="nil"/>
          <w:bottom w:val="nil"/>
          <w:right w:val="nil"/>
          <w:between w:val="nil"/>
        </w:pBdr>
        <w:spacing w:after="0" w:line="240" w:lineRule="auto"/>
        <w:rPr>
          <w:color w:val="000000"/>
          <w:sz w:val="24"/>
          <w:szCs w:val="24"/>
        </w:rPr>
      </w:pPr>
    </w:p>
    <w:p w14:paraId="20C517FE" w14:textId="77777777" w:rsidR="006163DC" w:rsidRPr="00222B08" w:rsidRDefault="006163DC" w:rsidP="006163DC">
      <w:pPr>
        <w:pStyle w:val="Heading4"/>
      </w:pPr>
      <w:r w:rsidRPr="00222B08">
        <w:t>Politics devoid of moral obligations collapses into wide scale atrocity</w:t>
      </w:r>
    </w:p>
    <w:p w14:paraId="44363D65" w14:textId="77777777" w:rsidR="006163DC" w:rsidRPr="00222B08" w:rsidRDefault="006163DC" w:rsidP="006163DC">
      <w:pPr>
        <w:rPr>
          <w:sz w:val="24"/>
          <w:szCs w:val="24"/>
        </w:rPr>
      </w:pPr>
      <w:r w:rsidRPr="0008267E">
        <w:rPr>
          <w:b/>
          <w:sz w:val="26"/>
          <w:szCs w:val="26"/>
        </w:rPr>
        <w:t>Parsons ‘9</w:t>
      </w:r>
      <w:r w:rsidRPr="00222B08">
        <w:rPr>
          <w:sz w:val="24"/>
          <w:szCs w:val="24"/>
        </w:rPr>
        <w:t xml:space="preserve"> </w:t>
      </w:r>
      <w:r>
        <w:rPr>
          <w:sz w:val="24"/>
          <w:szCs w:val="24"/>
        </w:rPr>
        <w:t>[</w:t>
      </w:r>
      <w:r w:rsidRPr="00222B08">
        <w:rPr>
          <w:sz w:val="24"/>
          <w:szCs w:val="24"/>
        </w:rPr>
        <w:t>John-, Accessed  9/14/2009 (the basis for the date), Deconstructing Mr. Farah: The Fallacy of a Utilitarian Ethic</w:t>
      </w:r>
      <w:r>
        <w:rPr>
          <w:sz w:val="24"/>
          <w:szCs w:val="24"/>
        </w:rPr>
        <w:t>]</w:t>
      </w:r>
    </w:p>
    <w:p w14:paraId="106DF86F" w14:textId="77777777" w:rsidR="006163DC" w:rsidRDefault="006163DC" w:rsidP="006163DC">
      <w:pPr>
        <w:pStyle w:val="Heading3"/>
      </w:pPr>
      <w:r>
        <w:lastRenderedPageBreak/>
        <w:t>Definition</w:t>
      </w:r>
    </w:p>
    <w:p w14:paraId="65E07F1B" w14:textId="77777777" w:rsidR="006163DC" w:rsidRDefault="006163DC" w:rsidP="006163DC">
      <w:r>
        <w:t>I affirm the resolution Resolved: The member nations of the World Trade Organization ought to reduce intellectual property protections for medicines.</w:t>
      </w:r>
    </w:p>
    <w:p w14:paraId="70792545" w14:textId="77777777" w:rsidR="006163DC" w:rsidRDefault="006163DC" w:rsidP="006163DC">
      <w:pPr>
        <w:pStyle w:val="Heading4"/>
      </w:pPr>
      <w:r>
        <w:t xml:space="preserve">The affirmative defines reduce as “to diminish in size, amount, extent, or number” from Merriam-Webster </w:t>
      </w:r>
    </w:p>
    <w:p w14:paraId="7297A892" w14:textId="77777777" w:rsidR="006163DC" w:rsidRDefault="006163DC" w:rsidP="006163DC">
      <w:r>
        <w:t xml:space="preserve">This means that intellectual property protections will be substantially diminished in their </w:t>
      </w:r>
      <w:r w:rsidRPr="00557604">
        <w:rPr>
          <w:u w:val="single"/>
        </w:rPr>
        <w:t>extent</w:t>
      </w:r>
      <w:r>
        <w:t xml:space="preserve"> of protection on corporations and in the </w:t>
      </w:r>
      <w:r w:rsidRPr="00557604">
        <w:rPr>
          <w:u w:val="single"/>
        </w:rPr>
        <w:t>number</w:t>
      </w:r>
      <w:r>
        <w:t xml:space="preserve"> of protections there are.</w:t>
      </w:r>
    </w:p>
    <w:p w14:paraId="3F2AE772" w14:textId="77777777" w:rsidR="006163DC" w:rsidRPr="00FD78EE" w:rsidRDefault="006163DC" w:rsidP="006163DC"/>
    <w:p w14:paraId="6BFDC45F" w14:textId="77777777" w:rsidR="006163DC" w:rsidRDefault="006163DC" w:rsidP="006163DC">
      <w:pPr>
        <w:pStyle w:val="Heading3"/>
      </w:pPr>
      <w:r>
        <w:lastRenderedPageBreak/>
        <w:t>Adv 1: Access</w:t>
      </w:r>
    </w:p>
    <w:p w14:paraId="0163670D" w14:textId="77777777" w:rsidR="006163DC" w:rsidRDefault="006163DC" w:rsidP="006163DC">
      <w:pPr>
        <w:pStyle w:val="Heading4"/>
      </w:pPr>
      <w:r>
        <w:t xml:space="preserve">TRIPS (Trade-Related Aspects of Intellectual Property Rights) substantially limit access to medications, proved in a thorough first of its kind empirical study </w:t>
      </w:r>
    </w:p>
    <w:p w14:paraId="5D751EFC" w14:textId="77777777" w:rsidR="006163DC" w:rsidRPr="006A2D6C" w:rsidRDefault="006163DC" w:rsidP="006163DC">
      <w:pPr>
        <w:rPr>
          <w:b/>
          <w:bCs/>
          <w:sz w:val="26"/>
          <w:szCs w:val="26"/>
        </w:rPr>
      </w:pPr>
      <w:r>
        <w:rPr>
          <w:b/>
          <w:bCs/>
          <w:sz w:val="26"/>
          <w:szCs w:val="26"/>
        </w:rPr>
        <w:t xml:space="preserve">Jung and Kwon 15 </w:t>
      </w:r>
      <w:r w:rsidRPr="004308EA">
        <w:t>[</w:t>
      </w:r>
      <w:proofErr w:type="spellStart"/>
      <w:r>
        <w:t>Youn</w:t>
      </w:r>
      <w:proofErr w:type="spellEnd"/>
      <w:r>
        <w:t xml:space="preserve"> Jung, Institute of Health and Environment, Seoul National University, Seoul, Republic of Korea and </w:t>
      </w:r>
      <w:proofErr w:type="spellStart"/>
      <w:r>
        <w:t>Soonman</w:t>
      </w:r>
      <w:proofErr w:type="spellEnd"/>
      <w:r>
        <w:t xml:space="preserve"> Kwon School of Public Health, Seoul National University, Seoul, Republic of Korea, “The Effects of Intellectual Property Rights on Access to Medicines and Catastrophic Expenditure,” </w:t>
      </w:r>
      <w:hyperlink r:id="rId7" w:history="1">
        <w:r w:rsidRPr="00DE0F07">
          <w:rPr>
            <w:rStyle w:val="Hyperlink"/>
          </w:rPr>
          <w:t>https://pubmed.ncbi.nlm.nih.gov/26077858/</w:t>
        </w:r>
      </w:hyperlink>
      <w:r>
        <w:t xml:space="preserve">, Vol. 45, 2015, Accessed on 9/25/21, </w:t>
      </w:r>
      <w:proofErr w:type="spellStart"/>
      <w:r>
        <w:t>rpHS</w:t>
      </w:r>
      <w:proofErr w:type="spellEnd"/>
      <w:r>
        <w:t>-VM</w:t>
      </w:r>
      <w:r w:rsidRPr="004308EA">
        <w:t>]</w:t>
      </w:r>
    </w:p>
    <w:p w14:paraId="3B1ADC43" w14:textId="77777777" w:rsidR="006163DC" w:rsidRDefault="006163DC" w:rsidP="006163DC"/>
    <w:p w14:paraId="1080DB45" w14:textId="77777777" w:rsidR="006163DC" w:rsidRDefault="006163DC" w:rsidP="006163DC">
      <w:pPr>
        <w:pStyle w:val="Heading4"/>
      </w:pPr>
      <w:r>
        <w:t xml:space="preserve">Intellectual property protections amplify the effects of the racialized capitalist system. While reducing intellectual property protections will not solve everything, it can reduce the instances of medical imperialism which hurt the most vulnerable globally. </w:t>
      </w:r>
    </w:p>
    <w:p w14:paraId="3A68B33E" w14:textId="77777777" w:rsidR="006163DC" w:rsidRDefault="006163DC" w:rsidP="006163DC">
      <w:proofErr w:type="spellStart"/>
      <w:r>
        <w:rPr>
          <w:b/>
          <w:bCs/>
          <w:sz w:val="26"/>
          <w:szCs w:val="26"/>
        </w:rPr>
        <w:t>Vanni</w:t>
      </w:r>
      <w:proofErr w:type="spellEnd"/>
      <w:r>
        <w:rPr>
          <w:b/>
          <w:bCs/>
          <w:sz w:val="26"/>
          <w:szCs w:val="26"/>
        </w:rPr>
        <w:t xml:space="preserve"> 21 </w:t>
      </w:r>
      <w:r w:rsidRPr="00B24CEC">
        <w:t>[</w:t>
      </w:r>
      <w:r>
        <w:t xml:space="preserve">Dr. Amaka </w:t>
      </w:r>
      <w:proofErr w:type="spellStart"/>
      <w:r>
        <w:t>Vanni</w:t>
      </w:r>
      <w:proofErr w:type="spellEnd"/>
      <w:r>
        <w:t xml:space="preserve">, Professor of Law at University of Leeds and an expert in International Economic Law, Intellectual Property Law, and Global Governance, “On Intellectual Property Rights, Access to Medicines and Vaccine Imperialism,” </w:t>
      </w:r>
      <w:hyperlink r:id="rId8" w:history="1">
        <w:r w:rsidRPr="00DE0F07">
          <w:rPr>
            <w:rStyle w:val="Hyperlink"/>
          </w:rPr>
          <w:t>https://twailr.com/on-intellectual-property-rights-access-to-medicines-and-vaccine-imperialism/</w:t>
        </w:r>
      </w:hyperlink>
      <w:r>
        <w:t xml:space="preserve">, March 23, 2021, Third World Approaches to International Law, Accessed on 9/27/21, </w:t>
      </w:r>
      <w:proofErr w:type="spellStart"/>
      <w:r>
        <w:t>rpHS</w:t>
      </w:r>
      <w:proofErr w:type="spellEnd"/>
      <w:r>
        <w:t>-VM</w:t>
      </w:r>
      <w:r w:rsidRPr="00B24CEC">
        <w:t>]</w:t>
      </w:r>
    </w:p>
    <w:p w14:paraId="715D9A81" w14:textId="77777777" w:rsidR="006163DC" w:rsidRPr="00B24CEC" w:rsidRDefault="006163DC" w:rsidP="006163DC"/>
    <w:p w14:paraId="2EFD48DE" w14:textId="77777777" w:rsidR="006163DC" w:rsidRDefault="006163DC" w:rsidP="006163DC">
      <w:pPr>
        <w:pStyle w:val="Heading4"/>
      </w:pPr>
      <w:r>
        <w:t xml:space="preserve">Unmitigated, the impacts of IPR and capitalism devastate </w:t>
      </w:r>
    </w:p>
    <w:p w14:paraId="45E125D2" w14:textId="77777777" w:rsidR="006163DC" w:rsidRDefault="006163DC" w:rsidP="006163DC">
      <w:proofErr w:type="spellStart"/>
      <w:r>
        <w:rPr>
          <w:b/>
          <w:bCs/>
          <w:sz w:val="26"/>
          <w:szCs w:val="26"/>
        </w:rPr>
        <w:t>Vanni</w:t>
      </w:r>
      <w:proofErr w:type="spellEnd"/>
      <w:r>
        <w:rPr>
          <w:b/>
          <w:bCs/>
          <w:sz w:val="26"/>
          <w:szCs w:val="26"/>
        </w:rPr>
        <w:t xml:space="preserve"> 21 </w:t>
      </w:r>
      <w:r w:rsidRPr="00B24CEC">
        <w:t>[</w:t>
      </w:r>
      <w:r>
        <w:t xml:space="preserve">Dr. Amaka </w:t>
      </w:r>
      <w:proofErr w:type="spellStart"/>
      <w:r>
        <w:t>Vanni</w:t>
      </w:r>
      <w:proofErr w:type="spellEnd"/>
      <w:r>
        <w:t xml:space="preserve">, Professor of Law at University of Leeds and an expert in International Economic Law, Intellectual Property Law, and Global Governance, “On Intellectual Property Rights, Access to Medicines and Vaccine Imperialism,” </w:t>
      </w:r>
      <w:hyperlink r:id="rId9" w:history="1">
        <w:r w:rsidRPr="00DE0F07">
          <w:rPr>
            <w:rStyle w:val="Hyperlink"/>
          </w:rPr>
          <w:t>https://twailr.com/on-intellectual-property-rights-access-to-medicines-and-vaccine-imperialism/</w:t>
        </w:r>
      </w:hyperlink>
      <w:r>
        <w:t xml:space="preserve">, March 23, 2021, Third World Approaches to International Law, Accessed on 9/27/21, </w:t>
      </w:r>
      <w:proofErr w:type="spellStart"/>
      <w:r>
        <w:t>rpHS</w:t>
      </w:r>
      <w:proofErr w:type="spellEnd"/>
      <w:r>
        <w:t>-VM</w:t>
      </w:r>
      <w:r w:rsidRPr="00B24CEC">
        <w:t>]</w:t>
      </w:r>
    </w:p>
    <w:p w14:paraId="09B3ABA4" w14:textId="77777777" w:rsidR="006163DC" w:rsidRDefault="006163DC" w:rsidP="006163DC">
      <w:pPr>
        <w:pStyle w:val="Heading3"/>
      </w:pPr>
      <w:r>
        <w:lastRenderedPageBreak/>
        <w:t>Adv 2: Biopiracy</w:t>
      </w:r>
    </w:p>
    <w:p w14:paraId="4CCC58DE" w14:textId="039E0B1C" w:rsidR="006163DC" w:rsidRDefault="006163DC" w:rsidP="006163DC">
      <w:pPr>
        <w:pStyle w:val="Heading4"/>
      </w:pPr>
      <w:r>
        <w:t>Biopiracy is a costly and impactful ongoing issue: the theft of traditional Indigenous medicine</w:t>
      </w:r>
    </w:p>
    <w:p w14:paraId="567A0F85" w14:textId="77777777" w:rsidR="006163DC" w:rsidRPr="00AE1421" w:rsidRDefault="006163DC" w:rsidP="006163DC">
      <w:r>
        <w:rPr>
          <w:b/>
          <w:bCs/>
          <w:sz w:val="26"/>
          <w:szCs w:val="26"/>
        </w:rPr>
        <w:t xml:space="preserve">Silva 20 </w:t>
      </w:r>
      <w:r w:rsidRPr="00AE1421">
        <w:t>[</w:t>
      </w:r>
      <w:r>
        <w:t xml:space="preserve">Daniella Silva, reporter and economic specialist with an understanding of Indigenous issues, “Biopiracy: the largely lawless plundering of Earth’s genetic wealth,” </w:t>
      </w:r>
      <w:hyperlink r:id="rId10" w:history="1">
        <w:r w:rsidRPr="00DE0F07">
          <w:rPr>
            <w:rStyle w:val="Hyperlink"/>
          </w:rPr>
          <w:t>https://news.globallandscapesforum.org/48905/biopiracy-the-largely-lawless-plundering-of-earths-genetic-wealth/</w:t>
        </w:r>
      </w:hyperlink>
      <w:r>
        <w:t xml:space="preserve">, December 15, 2020, Accessed on 9/25/21, </w:t>
      </w:r>
      <w:proofErr w:type="spellStart"/>
      <w:r>
        <w:t>rpHS</w:t>
      </w:r>
      <w:proofErr w:type="spellEnd"/>
      <w:r>
        <w:t>-VM</w:t>
      </w:r>
      <w:r w:rsidRPr="00AE1421">
        <w:t>]</w:t>
      </w:r>
    </w:p>
    <w:p w14:paraId="06F90631" w14:textId="77777777" w:rsidR="006163DC" w:rsidRDefault="006163DC" w:rsidP="006163DC">
      <w:pPr>
        <w:rPr>
          <w:b/>
          <w:bCs/>
          <w:sz w:val="26"/>
          <w:szCs w:val="26"/>
        </w:rPr>
      </w:pPr>
    </w:p>
    <w:p w14:paraId="1A6F3130" w14:textId="77777777" w:rsidR="006163DC" w:rsidRDefault="006163DC" w:rsidP="006163DC">
      <w:pPr>
        <w:pStyle w:val="Heading4"/>
      </w:pPr>
      <w:r>
        <w:t>It is aided by intellectual property protections</w:t>
      </w:r>
    </w:p>
    <w:p w14:paraId="36BEB86F" w14:textId="77777777" w:rsidR="006163DC" w:rsidRDefault="006163DC" w:rsidP="006163DC">
      <w:r>
        <w:rPr>
          <w:b/>
          <w:bCs/>
          <w:sz w:val="26"/>
          <w:szCs w:val="26"/>
        </w:rPr>
        <w:t xml:space="preserve">Timmermans 03 </w:t>
      </w:r>
      <w:r w:rsidRPr="006C32BB">
        <w:t>[</w:t>
      </w:r>
      <w:r>
        <w:t xml:space="preserve">Karin Timmermans, WHO researcher in Jakarta, “Intellectual property rights and traditional medicine: policy dilemmas at the interface,” </w:t>
      </w:r>
      <w:hyperlink r:id="rId11" w:history="1">
        <w:r w:rsidRPr="00DE0F07">
          <w:rPr>
            <w:rStyle w:val="Hyperlink"/>
          </w:rPr>
          <w:t>https://pubmed.ncbi.nlm.nih.gov/12821021/</w:t>
        </w:r>
      </w:hyperlink>
      <w:r>
        <w:t xml:space="preserve">, World Health Organization, August 2003, Accessed on 9/25/21, </w:t>
      </w:r>
      <w:proofErr w:type="spellStart"/>
      <w:r>
        <w:t>rpHS</w:t>
      </w:r>
      <w:proofErr w:type="spellEnd"/>
      <w:r>
        <w:t>-VM]</w:t>
      </w:r>
    </w:p>
    <w:p w14:paraId="646BFC16" w14:textId="77777777" w:rsidR="006163DC" w:rsidRDefault="006163DC" w:rsidP="006163DC"/>
    <w:p w14:paraId="1DB2C6D0" w14:textId="77777777" w:rsidR="006163DC" w:rsidRDefault="006163DC" w:rsidP="006163DC">
      <w:pPr>
        <w:pStyle w:val="Heading4"/>
      </w:pPr>
      <w:r>
        <w:t>Without reducing intellectual property protections to curb biopiracy; Indigenous heritage and economic sovereignty will be lost</w:t>
      </w:r>
    </w:p>
    <w:p w14:paraId="6E81E5D6" w14:textId="77777777" w:rsidR="006163DC" w:rsidRPr="00F762A9" w:rsidRDefault="006163DC" w:rsidP="006163DC">
      <w:pPr>
        <w:rPr>
          <w:b/>
          <w:bCs/>
          <w:sz w:val="26"/>
          <w:szCs w:val="26"/>
        </w:rPr>
      </w:pPr>
      <w:r>
        <w:rPr>
          <w:b/>
          <w:bCs/>
          <w:sz w:val="26"/>
          <w:szCs w:val="26"/>
        </w:rPr>
        <w:t xml:space="preserve">Shiva 07 </w:t>
      </w:r>
      <w:r w:rsidRPr="00F762A9">
        <w:t>[</w:t>
      </w:r>
      <w:r>
        <w:t xml:space="preserve">Vandana Shiva, Indian scholar, environmental activist, food sovereignty advocate, ecofeminist and anti-globalization advocate, “Controversy over Biopiracy in India &amp; Developing World,” </w:t>
      </w:r>
      <w:hyperlink r:id="rId12" w:history="1">
        <w:r w:rsidRPr="00DE0F07">
          <w:rPr>
            <w:rStyle w:val="Hyperlink"/>
          </w:rPr>
          <w:t>https://www.organicconsumers.org/news/vandana-shiva-controversy-over-biopiracy-india-developing-worldm</w:t>
        </w:r>
      </w:hyperlink>
      <w:r>
        <w:t xml:space="preserve">, November 16, 2007, Organic Consumers Association, Accessed on 9/25/21, </w:t>
      </w:r>
      <w:proofErr w:type="spellStart"/>
      <w:r>
        <w:t>rpHS</w:t>
      </w:r>
      <w:proofErr w:type="spellEnd"/>
      <w:r>
        <w:t>-VM</w:t>
      </w:r>
      <w:r w:rsidRPr="00F762A9">
        <w:t>]</w:t>
      </w:r>
    </w:p>
    <w:p w14:paraId="2F9FD59C" w14:textId="77777777" w:rsidR="006163DC" w:rsidRDefault="006163DC" w:rsidP="006163DC"/>
    <w:p w14:paraId="1514D33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409E9"/>
    <w:rsid w:val="000139A3"/>
    <w:rsid w:val="00086889"/>
    <w:rsid w:val="000D655F"/>
    <w:rsid w:val="00100833"/>
    <w:rsid w:val="00104529"/>
    <w:rsid w:val="00105942"/>
    <w:rsid w:val="00107396"/>
    <w:rsid w:val="00144A4C"/>
    <w:rsid w:val="00176AB0"/>
    <w:rsid w:val="00177B7D"/>
    <w:rsid w:val="0018322D"/>
    <w:rsid w:val="001B03CF"/>
    <w:rsid w:val="001B5776"/>
    <w:rsid w:val="001E527A"/>
    <w:rsid w:val="001F78CE"/>
    <w:rsid w:val="00251FC7"/>
    <w:rsid w:val="002855A7"/>
    <w:rsid w:val="002B146A"/>
    <w:rsid w:val="002B5E17"/>
    <w:rsid w:val="002C78CB"/>
    <w:rsid w:val="00315690"/>
    <w:rsid w:val="00316B75"/>
    <w:rsid w:val="00325646"/>
    <w:rsid w:val="003460F2"/>
    <w:rsid w:val="0038158C"/>
    <w:rsid w:val="003902BA"/>
    <w:rsid w:val="003A09E2"/>
    <w:rsid w:val="003B6E73"/>
    <w:rsid w:val="00407037"/>
    <w:rsid w:val="004106C4"/>
    <w:rsid w:val="004605D6"/>
    <w:rsid w:val="004C60E8"/>
    <w:rsid w:val="004E2061"/>
    <w:rsid w:val="004E3579"/>
    <w:rsid w:val="004E728B"/>
    <w:rsid w:val="004F39E0"/>
    <w:rsid w:val="00510D0C"/>
    <w:rsid w:val="00537BD5"/>
    <w:rsid w:val="0057268A"/>
    <w:rsid w:val="005D2912"/>
    <w:rsid w:val="006065BD"/>
    <w:rsid w:val="006163DC"/>
    <w:rsid w:val="00645FA9"/>
    <w:rsid w:val="00647866"/>
    <w:rsid w:val="00665003"/>
    <w:rsid w:val="006A15BF"/>
    <w:rsid w:val="006A2AD0"/>
    <w:rsid w:val="006C1134"/>
    <w:rsid w:val="006C2375"/>
    <w:rsid w:val="006D4ECC"/>
    <w:rsid w:val="00716D13"/>
    <w:rsid w:val="00722258"/>
    <w:rsid w:val="007243E5"/>
    <w:rsid w:val="00766EA0"/>
    <w:rsid w:val="007A2226"/>
    <w:rsid w:val="007F5B66"/>
    <w:rsid w:val="00823A1C"/>
    <w:rsid w:val="00845B9D"/>
    <w:rsid w:val="00860984"/>
    <w:rsid w:val="008B3ECB"/>
    <w:rsid w:val="008B4E85"/>
    <w:rsid w:val="008C0981"/>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776E"/>
    <w:rsid w:val="00D12455"/>
    <w:rsid w:val="00D325A9"/>
    <w:rsid w:val="00D36A8A"/>
    <w:rsid w:val="00D61409"/>
    <w:rsid w:val="00D6691E"/>
    <w:rsid w:val="00D71170"/>
    <w:rsid w:val="00DA1C92"/>
    <w:rsid w:val="00DA25D4"/>
    <w:rsid w:val="00DA6538"/>
    <w:rsid w:val="00E15E75"/>
    <w:rsid w:val="00E409E9"/>
    <w:rsid w:val="00E5262C"/>
    <w:rsid w:val="00EB2F3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17068"/>
  <w15:chartTrackingRefBased/>
  <w15:docId w15:val="{01A550FD-F8D1-49AC-9F8E-922883850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0D0C"/>
    <w:rPr>
      <w:rFonts w:ascii="Calibri" w:hAnsi="Calibri"/>
    </w:rPr>
  </w:style>
  <w:style w:type="paragraph" w:styleId="Heading1">
    <w:name w:val="heading 1"/>
    <w:aliases w:val="Pocket"/>
    <w:basedOn w:val="Normal"/>
    <w:next w:val="Normal"/>
    <w:link w:val="Heading1Char"/>
    <w:qFormat/>
    <w:rsid w:val="00510D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0D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10D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
    <w:basedOn w:val="Normal"/>
    <w:next w:val="Normal"/>
    <w:link w:val="Heading4Char"/>
    <w:uiPriority w:val="3"/>
    <w:unhideWhenUsed/>
    <w:qFormat/>
    <w:rsid w:val="00510D0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0D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0D0C"/>
  </w:style>
  <w:style w:type="character" w:customStyle="1" w:styleId="Heading1Char">
    <w:name w:val="Heading 1 Char"/>
    <w:aliases w:val="Pocket Char"/>
    <w:basedOn w:val="DefaultParagraphFont"/>
    <w:link w:val="Heading1"/>
    <w:rsid w:val="00510D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0D0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10D0C"/>
    <w:rPr>
      <w:rFonts w:ascii="Calibri" w:eastAsiaTheme="majorEastAsia" w:hAnsi="Calibri" w:cstheme="majorBidi"/>
      <w:b/>
      <w:sz w:val="32"/>
      <w:szCs w:val="24"/>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
    <w:basedOn w:val="DefaultParagraphFont"/>
    <w:link w:val="Heading4"/>
    <w:uiPriority w:val="3"/>
    <w:rsid w:val="00510D0C"/>
    <w:rPr>
      <w:rFonts w:ascii="Calibri" w:eastAsiaTheme="majorEastAsia" w:hAnsi="Calibri" w:cstheme="majorBidi"/>
      <w:b/>
      <w:iCs/>
      <w:sz w:val="26"/>
    </w:rPr>
  </w:style>
  <w:style w:type="character" w:styleId="Emphasis">
    <w:name w:val="Emphasis"/>
    <w:basedOn w:val="DefaultParagraphFont"/>
    <w:uiPriority w:val="7"/>
    <w:qFormat/>
    <w:rsid w:val="00510D0C"/>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510D0C"/>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uiPriority w:val="6"/>
    <w:qFormat/>
    <w:rsid w:val="00510D0C"/>
    <w:rPr>
      <w:b w:val="0"/>
      <w:sz w:val="22"/>
      <w:u w:val="single"/>
    </w:rPr>
  </w:style>
  <w:style w:type="character" w:styleId="Hyperlink">
    <w:name w:val="Hyperlink"/>
    <w:basedOn w:val="DefaultParagraphFont"/>
    <w:uiPriority w:val="99"/>
    <w:unhideWhenUsed/>
    <w:rsid w:val="00510D0C"/>
    <w:rPr>
      <w:color w:val="auto"/>
      <w:u w:val="none"/>
    </w:rPr>
  </w:style>
  <w:style w:type="character" w:styleId="FollowedHyperlink">
    <w:name w:val="FollowedHyperlink"/>
    <w:basedOn w:val="DefaultParagraphFont"/>
    <w:uiPriority w:val="99"/>
    <w:semiHidden/>
    <w:unhideWhenUsed/>
    <w:rsid w:val="00510D0C"/>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ailr.com/on-intellectual-property-rights-access-to-medicines-and-vaccine-imperialis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ubmed.ncbi.nlm.nih.gov/26077858/" TargetMode="External"/><Relationship Id="rId12" Type="http://schemas.openxmlformats.org/officeDocument/2006/relationships/hyperlink" Target="https://www.organicconsumers.org/news/vandana-shiva-controversy-over-biopiracy-india-developing-world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n.org/esa/socdev/rwss/2016/chapter1.pdf" TargetMode="External"/><Relationship Id="rId11" Type="http://schemas.openxmlformats.org/officeDocument/2006/relationships/hyperlink" Target="https://pubmed.ncbi.nlm.nih.gov/12821021/" TargetMode="External"/><Relationship Id="rId5" Type="http://schemas.openxmlformats.org/officeDocument/2006/relationships/webSettings" Target="webSettings.xml"/><Relationship Id="rId10" Type="http://schemas.openxmlformats.org/officeDocument/2006/relationships/hyperlink" Target="https://news.globallandscapesforum.org/48905/biopiracy-the-largely-lawless-plundering-of-earths-genetic-wealth/" TargetMode="External"/><Relationship Id="rId4" Type="http://schemas.openxmlformats.org/officeDocument/2006/relationships/settings" Target="settings.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5</Pages>
  <Words>833</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Veeru Misra</dc:creator>
  <cp:keywords>5.1.1</cp:keywords>
  <dc:description/>
  <cp:lastModifiedBy>Veeru Misra</cp:lastModifiedBy>
  <cp:revision>13</cp:revision>
  <dcterms:created xsi:type="dcterms:W3CDTF">2021-10-02T16:40:00Z</dcterms:created>
  <dcterms:modified xsi:type="dcterms:W3CDTF">2021-10-05T18:42:00Z</dcterms:modified>
</cp:coreProperties>
</file>