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545B2" w14:textId="0414F888" w:rsidR="00E42E4C" w:rsidRDefault="00D22D61" w:rsidP="00D22D61">
      <w:pPr>
        <w:pStyle w:val="Heading1"/>
      </w:pPr>
      <w:r>
        <w:t>TOC R2</w:t>
      </w:r>
    </w:p>
    <w:p w14:paraId="338F1FD8" w14:textId="14C58247" w:rsidR="00D22D61" w:rsidRDefault="00D22D61" w:rsidP="00D22D61"/>
    <w:p w14:paraId="18BA5EFA" w14:textId="4BED1D8D" w:rsidR="00166A3F" w:rsidRDefault="00166A3F" w:rsidP="00166A3F">
      <w:pPr>
        <w:pStyle w:val="Heading2"/>
      </w:pPr>
      <w:r>
        <w:lastRenderedPageBreak/>
        <w:t>1NC – OFF</w:t>
      </w:r>
    </w:p>
    <w:p w14:paraId="55D468FC" w14:textId="77777777" w:rsidR="00166A3F" w:rsidRDefault="00166A3F" w:rsidP="00166A3F"/>
    <w:p w14:paraId="7DFDF17F" w14:textId="77777777" w:rsidR="00166A3F" w:rsidRDefault="00166A3F" w:rsidP="00166A3F">
      <w:pPr>
        <w:pStyle w:val="Heading4"/>
      </w:pPr>
      <w:r>
        <w:t>Interp: The affirmative must disclose the plan text if they break new when pairings are released or at coin flip. If the debate occurs during flight 2 disclosure should occur at least 30 minutes before the round.</w:t>
      </w:r>
    </w:p>
    <w:p w14:paraId="06191C2C" w14:textId="77777777" w:rsidR="00D709D7" w:rsidRDefault="00D709D7" w:rsidP="00D709D7"/>
    <w:p w14:paraId="03FC4EAF" w14:textId="57EED994" w:rsidR="00D709D7" w:rsidRPr="00D709D7" w:rsidRDefault="00BE3732" w:rsidP="00D709D7">
      <w:r>
        <w:rPr>
          <w:noProof/>
        </w:rPr>
        <w:drawing>
          <wp:inline distT="0" distB="0" distL="0" distR="0" wp14:anchorId="011DD7E3" wp14:editId="3D762277">
            <wp:extent cx="4051300" cy="50800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4051300" cy="5080000"/>
                    </a:xfrm>
                    <a:prstGeom prst="rect">
                      <a:avLst/>
                    </a:prstGeom>
                  </pic:spPr>
                </pic:pic>
              </a:graphicData>
            </a:graphic>
          </wp:inline>
        </w:drawing>
      </w:r>
    </w:p>
    <w:p w14:paraId="12269737" w14:textId="77777777" w:rsidR="00166A3F" w:rsidRDefault="00166A3F" w:rsidP="00166A3F">
      <w:pPr>
        <w:pStyle w:val="Heading4"/>
      </w:pPr>
      <w:r>
        <w:lastRenderedPageBreak/>
        <w:t xml:space="preserve">Standard – </w:t>
      </w:r>
    </w:p>
    <w:p w14:paraId="6D83D90B" w14:textId="77777777" w:rsidR="00166A3F" w:rsidRDefault="00166A3F" w:rsidP="00166A3F">
      <w:pPr>
        <w:pStyle w:val="Heading4"/>
      </w:pPr>
      <w:r>
        <w:t xml:space="preserve">1. Clash – having no idea what the debate will be about makes being neg significantly harder – the aff gets plan text choice and infinite pre-round prep to craft the most strategic case and frontlines. No disclosure makes this extremely difficult to overcome b/c it means the neg only gets 4 mins of prep to answer a strategy that the AFF had unlimited time to prepare. </w:t>
      </w:r>
    </w:p>
    <w:p w14:paraId="762A6072" w14:textId="77777777" w:rsidR="00166A3F" w:rsidRDefault="00166A3F" w:rsidP="00166A3F">
      <w:pPr>
        <w:pStyle w:val="Heading4"/>
      </w:pPr>
      <w:r>
        <w:t>They’ll say generics check, but their model of debate means the neg has no time to cut an update to their generics specific to the AFF, meaning we’ll always fall behind to the aff’s specificity. This also begs the question of why every debate has to It’s telling that their model only allows for specific debates when the aff’s been disclosed—causes a race to the bottom where the aff never has to engage the neg.</w:t>
      </w:r>
    </w:p>
    <w:p w14:paraId="52C2F384" w14:textId="77777777" w:rsidR="00166A3F" w:rsidRDefault="00166A3F" w:rsidP="00166A3F">
      <w:pPr>
        <w:pStyle w:val="Heading4"/>
      </w:pPr>
      <w:r>
        <w:t>2. Discourages tricks – plan text disclosure discourages cheap shot aff’s. If the aff isn’t inherent or easily defeated by 20 minutes of research, the case should lose. They had months – the neg is entitled to some research time to make sure the AFF is inherent, topical, and controversial. Otherwise bad AFF’s can win on purely surprise factor, which is a bad model b/c it encourages finding the most fringe surprising case possible instead of a well researched and defensible aff. Kills good research skills and destroys good case-writing which are portable skills.</w:t>
      </w:r>
    </w:p>
    <w:p w14:paraId="50A5A6D4" w14:textId="77777777" w:rsidR="00166A3F" w:rsidRDefault="00166A3F" w:rsidP="00166A3F"/>
    <w:p w14:paraId="3FC26E1B" w14:textId="77777777" w:rsidR="007A5873" w:rsidRDefault="007A5873" w:rsidP="007A5873">
      <w:r>
        <w:rPr>
          <w:b/>
          <w:sz w:val="26"/>
          <w:szCs w:val="26"/>
        </w:rPr>
        <w:t xml:space="preserve">Fairness and education are voters – debate’s a game that needs rules to evaluate it and it teaches portable skills that we use lifelong. Drop the debater - severance kills 1NC strat construction—1AR restart favors aff since it’s 7-6 time skew and they get 2 speeches to my one. No rvi - they’ll bait theory and prep it out with aff infinite prep—justifies infinite abuse and chilling us from checking abuse in fear of things like 2ar ethos which lets them recontextualize and always seem right on the issue. Competing interps - reasonability’s arbitrary &amp; forces judge intervention especially with 2ar recontextualizations to always sound like the more reasonable debater </w:t>
      </w:r>
    </w:p>
    <w:p w14:paraId="12C8E33E" w14:textId="2E487DB9" w:rsidR="007A5873" w:rsidRDefault="00980593" w:rsidP="00980593">
      <w:pPr>
        <w:pStyle w:val="Heading2"/>
      </w:pPr>
      <w:r>
        <w:lastRenderedPageBreak/>
        <w:t>1NC – OFF</w:t>
      </w:r>
    </w:p>
    <w:p w14:paraId="4E147607" w14:textId="77777777" w:rsidR="00980593" w:rsidRDefault="00980593" w:rsidP="00980593"/>
    <w:p w14:paraId="0200CC54" w14:textId="77777777" w:rsidR="00980593" w:rsidRDefault="00980593" w:rsidP="00980593">
      <w:pPr>
        <w:pStyle w:val="Heading4"/>
      </w:pPr>
      <w:r>
        <w:t xml:space="preserve">Interpretation: “Appropriation of outer space” by private entities refers to the exercise of exclusive control of space. </w:t>
      </w:r>
    </w:p>
    <w:p w14:paraId="73AB6790" w14:textId="77777777" w:rsidR="00980593" w:rsidRPr="00932A50" w:rsidRDefault="00980593" w:rsidP="00980593">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1B0F03C" w14:textId="77777777" w:rsidR="00980593" w:rsidRDefault="00980593" w:rsidP="00980593">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FF6259">
        <w:rPr>
          <w:rStyle w:val="Emphasis"/>
          <w:highlight w:val="green"/>
        </w:rPr>
        <w:t>Appropriation of outer space</w:t>
      </w:r>
      <w: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FF6259">
        <w:rPr>
          <w:highlight w:val="green"/>
        </w:rPr>
        <w:t>t</w:t>
      </w:r>
      <w: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BFCEE03" w14:textId="157E7B62" w:rsidR="00980593" w:rsidRDefault="00980593" w:rsidP="00980593">
      <w:pPr>
        <w:pStyle w:val="Heading4"/>
      </w:pPr>
      <w:r>
        <w:t xml:space="preserve">Violation: </w:t>
      </w:r>
      <w:r>
        <w:t>cyberntics uses satelites which are not approparitoi – they arne’t permanent</w:t>
      </w:r>
    </w:p>
    <w:p w14:paraId="4143B61E" w14:textId="77777777" w:rsidR="00980593" w:rsidRDefault="00980593" w:rsidP="00980593">
      <w:pPr>
        <w:pStyle w:val="Heading4"/>
      </w:pPr>
      <w:r>
        <w:t>Standards:</w:t>
      </w:r>
    </w:p>
    <w:p w14:paraId="2AFA6794" w14:textId="77777777" w:rsidR="00980593" w:rsidRPr="00932A50" w:rsidRDefault="00980593" w:rsidP="00980593">
      <w:pPr>
        <w:pStyle w:val="Heading4"/>
      </w:pPr>
      <w:r>
        <w:t xml:space="preserve">[3] Precision: </w:t>
      </w:r>
      <w:r w:rsidRPr="00932A50">
        <w:t xml:space="preserve">Proper construction of Article XII OST provides rights </w:t>
      </w:r>
      <w:r w:rsidRPr="00932A50">
        <w:rPr>
          <w:i/>
        </w:rPr>
        <w:t xml:space="preserve">to </w:t>
      </w:r>
      <w:r w:rsidRPr="00932A50">
        <w:t xml:space="preserve">property in outer space, not appropriation </w:t>
      </w:r>
      <w:r w:rsidRPr="00932A50">
        <w:rPr>
          <w:i/>
        </w:rPr>
        <w:t xml:space="preserve">of </w:t>
      </w:r>
      <w:r w:rsidRPr="00932A50">
        <w:t xml:space="preserve">outer space. Construction of A. XII OST to provide in-situ property rights is absurd.    </w:t>
      </w:r>
    </w:p>
    <w:p w14:paraId="636458E7" w14:textId="77777777" w:rsidR="00980593" w:rsidRPr="00932A50" w:rsidRDefault="00980593" w:rsidP="00980593">
      <w:r w:rsidRPr="00932A50">
        <w:t xml:space="preserve">Michelle L.D. </w:t>
      </w:r>
      <w:r w:rsidRPr="00932A50">
        <w:rPr>
          <w:rStyle w:val="Style13ptBold"/>
        </w:rPr>
        <w:t>Hanlon</w:t>
      </w:r>
      <w:r w:rsidRPr="00932A50">
        <w:t>, LLM Air and Space Law @ McGill, JD magna cum laude Georgetown Law Center, BA Political Science @ Yale, ‘</w:t>
      </w:r>
      <w:r w:rsidRPr="00932A50">
        <w:rPr>
          <w:rStyle w:val="Style13ptBold"/>
        </w:rPr>
        <w:t>18</w:t>
      </w:r>
      <w:r w:rsidRPr="00932A50">
        <w:t xml:space="preserve">, "The Space Review: Our fear of “heritage” imperils our future," No Publication, </w:t>
      </w:r>
      <w:hyperlink r:id="rId10" w:history="1">
        <w:r w:rsidRPr="00932A50">
          <w:rPr>
            <w:rStyle w:val="Hyperlink"/>
          </w:rPr>
          <w:t>https://www.thespacereview.com/article/3450/1</w:t>
        </w:r>
      </w:hyperlink>
    </w:p>
    <w:p w14:paraId="1BB38257" w14:textId="77777777" w:rsidR="00980593" w:rsidRPr="00932A50" w:rsidRDefault="00980593" w:rsidP="00980593">
      <w:r w:rsidRPr="00932A50">
        <w:t xml:space="preserve">Nor are the landing sites protected under international law. Current space treaties do not cover historic preservation or cultural heritage. Sure, </w:t>
      </w:r>
      <w:r w:rsidRPr="00FF6259">
        <w:rPr>
          <w:rStyle w:val="StyleUnderline"/>
          <w:highlight w:val="green"/>
        </w:rPr>
        <w:t>Article VIII</w:t>
      </w:r>
      <w:r w:rsidRPr="00932A50">
        <w:rPr>
          <w:rStyle w:val="StyleUnderline"/>
        </w:rPr>
        <w:t xml:space="preserve"> of the Outer Space Treaty and the Return and Rescue Agreement </w:t>
      </w:r>
      <w:r w:rsidRPr="00FF6259">
        <w:rPr>
          <w:rStyle w:val="StyleUnderline"/>
          <w:highlight w:val="green"/>
        </w:rPr>
        <w:t>confirm that all space objects remain the possession of the State</w:t>
      </w:r>
      <w:r w:rsidRPr="00932A50">
        <w:rPr>
          <w:rStyle w:val="StyleUnderline"/>
        </w:rPr>
        <w:t xml:space="preserve"> to whom they belong.</w:t>
      </w:r>
      <w:r w:rsidRPr="00932A50">
        <w:t xml:space="preserve"> If found, they must be returned. </w:t>
      </w:r>
      <w:r w:rsidRPr="00FF6259">
        <w:rPr>
          <w:rStyle w:val="StyleUnderline"/>
          <w:highlight w:val="green"/>
        </w:rPr>
        <w:t>This does not protect the sites themselves</w:t>
      </w:r>
      <w:r w:rsidRPr="00932A50">
        <w:rPr>
          <w:rStyle w:val="StyleUnderline"/>
        </w:rPr>
        <w:t xml:space="preserve">, or the artifacts that scientists, engineers, and archaeologists would like to analyze </w:t>
      </w:r>
      <w:r w:rsidRPr="00932A50">
        <w:rPr>
          <w:rStyle w:val="Emphasis"/>
        </w:rPr>
        <w:t>in situ</w:t>
      </w:r>
      <w:r w:rsidRPr="00932A50">
        <w:rPr>
          <w:rStyle w:val="StyleUnderline"/>
        </w:rPr>
        <w:t>.</w:t>
      </w:r>
      <w:r w:rsidRPr="00932A50">
        <w:t xml:space="preserve"> Article III of the Liability Convention states that entities can be liable “in the event of damage being caused to a space object,” but how is damage defined in respect of an already nonoperational space object?</w:t>
      </w:r>
    </w:p>
    <w:p w14:paraId="509C1713" w14:textId="77777777" w:rsidR="00980593" w:rsidRPr="00932A50" w:rsidRDefault="00980593" w:rsidP="00980593">
      <w:r w:rsidRPr="00932A50">
        <w:t>And what about the sites?</w:t>
      </w:r>
    </w:p>
    <w:p w14:paraId="0F2E1B15" w14:textId="77777777" w:rsidR="00980593" w:rsidRDefault="00980593" w:rsidP="00980593">
      <w:pPr>
        <w:rPr>
          <w:rStyle w:val="Emphasis"/>
        </w:rPr>
      </w:pPr>
      <w:r w:rsidRPr="00932A50">
        <w:rPr>
          <w:rStyle w:val="StyleUnderline"/>
        </w:rPr>
        <w:lastRenderedPageBreak/>
        <w:t>Article XII</w:t>
      </w:r>
      <w:r w:rsidRPr="00932A50">
        <w:t xml:space="preserve"> of the Outer Space Treaty </w:t>
      </w:r>
      <w:r w:rsidRPr="00932A50">
        <w:rPr>
          <w:rStyle w:val="StyleUnderline"/>
        </w:rPr>
        <w:t xml:space="preserve">suggests that states retain some control over their “stations, installations, equipment and space vehicles” </w:t>
      </w:r>
      <w:r w:rsidRPr="00932A50">
        <w:t xml:space="preserve">but that such sites shall be open to others on the basis of “reciprocity.” But </w:t>
      </w:r>
      <w:r w:rsidRPr="00FF6259">
        <w:rPr>
          <w:rStyle w:val="StyleUnderline"/>
          <w:highlight w:val="green"/>
        </w:rPr>
        <w:t>taken</w:t>
      </w:r>
      <w:r w:rsidRPr="00932A50">
        <w:rPr>
          <w:rStyle w:val="StyleUnderline"/>
        </w:rPr>
        <w:t xml:space="preserve"> literally and </w:t>
      </w:r>
      <w:r w:rsidRPr="00FF6259">
        <w:rPr>
          <w:rStyle w:val="StyleUnderline"/>
          <w:highlight w:val="green"/>
        </w:rPr>
        <w:t>to the extreme, this could mean that a state can essentially claim sovereignty over any area in which its equipment is strewn</w:t>
      </w:r>
      <w:r w:rsidRPr="00FF6259">
        <w:rPr>
          <w:highlight w:val="green"/>
        </w:rPr>
        <w:t>.</w:t>
      </w:r>
      <w:r w:rsidRPr="00932A50">
        <w:t xml:space="preserve"> Surely </w:t>
      </w:r>
      <w:r w:rsidRPr="00932A50">
        <w:rPr>
          <w:rStyle w:val="Emphasis"/>
        </w:rPr>
        <w:t>this is not the intent of the law?</w:t>
      </w:r>
    </w:p>
    <w:p w14:paraId="76D1ACAC" w14:textId="77777777" w:rsidR="00980593" w:rsidRDefault="00980593" w:rsidP="00980593">
      <w:pPr>
        <w:pStyle w:val="Heading4"/>
      </w:pPr>
      <w:r>
        <w:t>Precision outweighs—determines what we prepare for which controls the internal link to any pragmatic benefits of the activity</w:t>
      </w:r>
    </w:p>
    <w:p w14:paraId="1D9A60FB" w14:textId="77777777" w:rsidR="00980593" w:rsidRPr="00980593" w:rsidRDefault="00980593" w:rsidP="00980593"/>
    <w:p w14:paraId="0B7128BD" w14:textId="5415A25D" w:rsidR="00D22D61" w:rsidRDefault="00166A3F" w:rsidP="00D22D61">
      <w:pPr>
        <w:pStyle w:val="Heading2"/>
      </w:pPr>
      <w:r>
        <w:lastRenderedPageBreak/>
        <w:t>1NC – OFF</w:t>
      </w:r>
    </w:p>
    <w:p w14:paraId="0F347F27" w14:textId="04B1FB9B" w:rsidR="00D22D61" w:rsidRDefault="00D22D61" w:rsidP="00D22D61"/>
    <w:p w14:paraId="299823FE" w14:textId="77777777" w:rsidR="00641A48" w:rsidRDefault="00641A48" w:rsidP="00641A48">
      <w:pPr>
        <w:pStyle w:val="Heading4"/>
      </w:pPr>
      <w:r>
        <w:t xml:space="preserve">Permissibility Negates – </w:t>
      </w:r>
    </w:p>
    <w:p w14:paraId="4CA98CCE" w14:textId="77777777" w:rsidR="00641A48" w:rsidRDefault="00641A48" w:rsidP="00641A48">
      <w:pPr>
        <w:pStyle w:val="Heading4"/>
      </w:pPr>
      <w:r>
        <w:t xml:space="preserve">[1] Semantics – </w:t>
      </w:r>
      <w:hyperlink r:id="rId11" w:history="1">
        <w:r w:rsidRPr="00CA7CC2">
          <w:rPr>
            <w:rStyle w:val="Hyperlink"/>
          </w:rPr>
          <w:t>Just</w:t>
        </w:r>
      </w:hyperlink>
      <w:r>
        <w:t xml:space="preserve"> implies </w:t>
      </w:r>
      <w:r w:rsidRPr="00E5495E">
        <w:rPr>
          <w:shd w:val="clear" w:color="auto" w:fill="FFFFFF"/>
        </w:rPr>
        <w:t>acting or being in conformity with what is morally upright or good</w:t>
      </w:r>
      <w:r>
        <w:rPr>
          <w:shd w:val="clear" w:color="auto" w:fill="FFFFFF"/>
        </w:rPr>
        <w:t xml:space="preserve">, therefore if the resolution is permissible and therefore not unjust it acts according to what is morally upright and flows negative. That applies to presumption as well because </w:t>
      </w:r>
      <w:hyperlink r:id="rId12" w:history="1">
        <w:r w:rsidRPr="00CA7CC2">
          <w:rPr>
            <w:rStyle w:val="Hyperlink"/>
            <w:shd w:val="clear" w:color="auto" w:fill="FFFFFF"/>
          </w:rPr>
          <w:t>Unjust</w:t>
        </w:r>
      </w:hyperlink>
      <w:r>
        <w:rPr>
          <w:shd w:val="clear" w:color="auto" w:fill="FFFFFF"/>
        </w:rPr>
        <w:t xml:space="preserve"> means lacking in justice so the affirmative must actively prove that there exists a deficit in Justice.</w:t>
      </w:r>
    </w:p>
    <w:p w14:paraId="1F8BAA42" w14:textId="77777777" w:rsidR="00641A48" w:rsidRPr="00F601E6" w:rsidRDefault="00641A48" w:rsidP="00641A48">
      <w:pPr>
        <w:pStyle w:val="Heading4"/>
      </w:pPr>
      <w:r>
        <w:t xml:space="preserve">[2] Logic – </w:t>
      </w:r>
      <w:r w:rsidRPr="005A49FB">
        <w:t>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4C0F5D46" w14:textId="77777777" w:rsidR="00641A48" w:rsidRDefault="00641A48" w:rsidP="00641A48">
      <w:pPr>
        <w:pStyle w:val="Heading4"/>
      </w:pPr>
      <w:r>
        <w:t xml:space="preserve">[3] Shiftiness – Permissibility ground encourages the aff to load up with triggers and the 1ar controls the direction of the round which means they can moot all my offense, I need permissibility in the 2n to compensate. </w:t>
      </w:r>
    </w:p>
    <w:p w14:paraId="3B0E2B19" w14:textId="77777777" w:rsidR="00641A48" w:rsidRPr="00D63BF1" w:rsidRDefault="00641A48" w:rsidP="00D22D61"/>
    <w:p w14:paraId="6BFEC040" w14:textId="77777777" w:rsidR="00D22D61" w:rsidRDefault="00D22D61" w:rsidP="00D22D61">
      <w:pPr>
        <w:pStyle w:val="Heading4"/>
      </w:pPr>
      <w:r>
        <w:t>Agents must be practical reasoners:</w:t>
      </w:r>
    </w:p>
    <w:p w14:paraId="27224339" w14:textId="77777777" w:rsidR="00D22D61" w:rsidRPr="00E17C0A" w:rsidRDefault="00D22D61" w:rsidP="00D22D61"/>
    <w:p w14:paraId="6879B1CE" w14:textId="77777777" w:rsidR="00D22D61" w:rsidRDefault="00D22D61" w:rsidP="00D22D61">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1FA70C59" w14:textId="77777777" w:rsidR="00D22D61" w:rsidRPr="00E17C0A" w:rsidRDefault="00D22D61" w:rsidP="00D22D61">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66916402" w14:textId="77777777" w:rsidR="00D22D61" w:rsidRPr="00BC0B35" w:rsidRDefault="00D22D61" w:rsidP="00D22D61">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w:t>
      </w:r>
      <w:r w:rsidRPr="00BC0B35">
        <w:rPr>
          <w:sz w:val="16"/>
        </w:rPr>
        <w:lastRenderedPageBreak/>
        <w:t xml:space="preserve">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72B68AF9" w14:textId="77777777" w:rsidR="00D22D61" w:rsidRPr="00E17C0A" w:rsidRDefault="00D22D61" w:rsidP="00D22D61"/>
    <w:p w14:paraId="5FFE6206" w14:textId="77777777" w:rsidR="00D22D61" w:rsidRPr="00E17C0A" w:rsidRDefault="00D22D61" w:rsidP="00D22D61">
      <w:pPr>
        <w:pStyle w:val="Heading4"/>
      </w:pPr>
      <w:r w:rsidRPr="00E17C0A">
        <w:t>Second, value theory – the existence of extrinsic goodness requires unconditional human worth.</w:t>
      </w:r>
    </w:p>
    <w:p w14:paraId="3D036BDA" w14:textId="77777777" w:rsidR="00D22D61" w:rsidRPr="00E17C0A" w:rsidRDefault="00D22D61" w:rsidP="00D22D61">
      <w:r w:rsidRPr="00E17C0A">
        <w:rPr>
          <w:rStyle w:val="Style13ptBold"/>
        </w:rPr>
        <w:t>Korsgaard</w:t>
      </w:r>
      <w:r w:rsidRPr="00E17C0A">
        <w:t xml:space="preserve"> (Christine M., “Two Distinctions in Goodness,” The Philosophical Review Vol. 92, No. 2 (Apr., 1983), pp. 169-195, JSTOR) OS</w:t>
      </w:r>
      <w:r>
        <w:t xml:space="preserve"> *bracketed for gen lang* //rct st</w:t>
      </w:r>
    </w:p>
    <w:p w14:paraId="474D64B5" w14:textId="77777777" w:rsidR="00D22D61" w:rsidRPr="00B42722" w:rsidRDefault="00D22D61" w:rsidP="00D22D61">
      <w:pPr>
        <w:rPr>
          <w:sz w:val="16"/>
        </w:rPr>
      </w:pPr>
      <w:r w:rsidRPr="00B42722">
        <w:rPr>
          <w:sz w:val="16"/>
        </w:rPr>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7F1D5DC6" w14:textId="77777777" w:rsidR="00D22D61" w:rsidRPr="00E17C0A" w:rsidRDefault="00D22D61" w:rsidP="00D22D61"/>
    <w:p w14:paraId="24A375F5" w14:textId="77777777" w:rsidR="00D22D61" w:rsidRPr="00E17C0A" w:rsidRDefault="00D22D61" w:rsidP="00D22D61">
      <w:pPr>
        <w:pStyle w:val="Heading4"/>
      </w:pPr>
      <w:r w:rsidRPr="00E17C0A">
        <w:lastRenderedPageBreak/>
        <w:t>Third, practical reason – ethical principles must be derived from the structure of reason:</w:t>
      </w:r>
    </w:p>
    <w:p w14:paraId="2DF109C1" w14:textId="77777777" w:rsidR="00D22D61" w:rsidRPr="00E17C0A" w:rsidRDefault="00D22D61" w:rsidP="00D22D61"/>
    <w:p w14:paraId="130FEB1C" w14:textId="77777777" w:rsidR="00D22D61" w:rsidRPr="00E17C0A" w:rsidRDefault="00D22D61" w:rsidP="00D22D61">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4BB5B46" w14:textId="77777777" w:rsidR="00D22D61" w:rsidRPr="00E17C0A" w:rsidRDefault="00D22D61" w:rsidP="00D22D61"/>
    <w:p w14:paraId="3B76EC31" w14:textId="77777777" w:rsidR="00D22D61" w:rsidRDefault="00D22D61" w:rsidP="00D22D61">
      <w:pPr>
        <w:spacing w:after="0" w:line="240" w:lineRule="auto"/>
        <w:rPr>
          <w:rFonts w:ascii="Times New Roman" w:eastAsia="Times New Roman" w:hAnsi="Times New Roman" w:cs="Times New Roman"/>
          <w:sz w:val="24"/>
        </w:rPr>
      </w:pPr>
    </w:p>
    <w:p w14:paraId="5C4FE014" w14:textId="77777777" w:rsidR="00D22D61" w:rsidRPr="005F04F4" w:rsidRDefault="00D22D61" w:rsidP="00D22D61">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7F544CA8" w14:textId="77777777" w:rsidR="00D22D61" w:rsidRPr="005F04F4" w:rsidRDefault="00D22D61" w:rsidP="00D22D61"/>
    <w:p w14:paraId="600DD0BA" w14:textId="77777777" w:rsidR="00D22D61" w:rsidRPr="005F04F4" w:rsidRDefault="00D22D61" w:rsidP="00D22D61">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D0D479D" w14:textId="77777777" w:rsidR="00D22D61" w:rsidRPr="005F04F4" w:rsidRDefault="00D22D61" w:rsidP="00D22D61"/>
    <w:p w14:paraId="518115EB" w14:textId="77777777" w:rsidR="00D22D61" w:rsidRPr="005F04F4" w:rsidRDefault="00D22D61" w:rsidP="00D22D61">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6032C7F0" w14:textId="77777777" w:rsidR="00D22D61" w:rsidRPr="005F04F4" w:rsidRDefault="00D22D61" w:rsidP="00D22D61"/>
    <w:p w14:paraId="3B424B91" w14:textId="77777777" w:rsidR="00D22D61" w:rsidRDefault="00D22D61" w:rsidP="00D22D61"/>
    <w:p w14:paraId="7959C174" w14:textId="77777777" w:rsidR="00D22D61" w:rsidRPr="00E2718D" w:rsidRDefault="00D22D61" w:rsidP="00D22D61">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035F7FCC" w14:textId="77777777" w:rsidR="00D22D61" w:rsidRDefault="00D22D61" w:rsidP="00D22D61">
      <w:pPr>
        <w:spacing w:after="0" w:line="240" w:lineRule="auto"/>
        <w:rPr>
          <w:rFonts w:ascii="Times New Roman" w:eastAsia="Times New Roman" w:hAnsi="Times New Roman" w:cs="Times New Roman"/>
          <w:sz w:val="24"/>
        </w:rPr>
      </w:pPr>
    </w:p>
    <w:p w14:paraId="01B663F2" w14:textId="77777777" w:rsidR="00D22D61" w:rsidRDefault="00D22D61" w:rsidP="00D22D61">
      <w:pPr>
        <w:pStyle w:val="Heading4"/>
        <w:rPr>
          <w:b w:val="0"/>
          <w:bCs w:val="0"/>
          <w:color w:val="000000" w:themeColor="text1"/>
        </w:rPr>
      </w:pPr>
      <w:r>
        <w:rPr>
          <w:color w:val="000000" w:themeColor="text1"/>
        </w:rPr>
        <w:lastRenderedPageBreak/>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D24DC2F" w14:textId="77777777" w:rsidR="00D22D61" w:rsidRPr="00C80FBA" w:rsidRDefault="00D22D61" w:rsidP="00D22D61"/>
    <w:p w14:paraId="1A1FC36E" w14:textId="77777777" w:rsidR="00D22D61" w:rsidRPr="006C6EFC" w:rsidRDefault="00D22D61" w:rsidP="00D22D61">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4F9920F6" w14:textId="77777777" w:rsidR="00D22D61" w:rsidRPr="00C80FBA" w:rsidRDefault="00D22D61" w:rsidP="00D22D61"/>
    <w:p w14:paraId="49A9B81B" w14:textId="5F7909C3" w:rsidR="00D22D61" w:rsidRPr="00D22D61" w:rsidRDefault="00D22D61" w:rsidP="00D22D61">
      <w:pPr>
        <w:pStyle w:val="Heading4"/>
      </w:pPr>
      <w:r>
        <w:t>Thus, the standard is respecting freedom.</w:t>
      </w:r>
    </w:p>
    <w:p w14:paraId="4FEF03DA" w14:textId="77777777" w:rsidR="00D22D61" w:rsidRDefault="00D22D61" w:rsidP="00D22D61"/>
    <w:p w14:paraId="1F73984A" w14:textId="77777777" w:rsidR="00D22D61" w:rsidRDefault="00D22D61" w:rsidP="00D22D61">
      <w:pPr>
        <w:pStyle w:val="Heading4"/>
      </w:pPr>
      <w:r>
        <w:t>Negate:</w:t>
      </w:r>
    </w:p>
    <w:p w14:paraId="30A61D69" w14:textId="77777777" w:rsidR="00D22D61" w:rsidRPr="00C97CF0" w:rsidRDefault="00D22D61" w:rsidP="00D22D61"/>
    <w:p w14:paraId="6FC30668" w14:textId="77777777" w:rsidR="00D22D61" w:rsidRDefault="00D22D61" w:rsidP="00D22D61">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27D9A5A4" w14:textId="77777777" w:rsidR="00D22D61" w:rsidRPr="009D349B" w:rsidRDefault="00D22D61" w:rsidP="00D22D61">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3B440BE" w14:textId="77777777" w:rsidR="00D22D61" w:rsidRDefault="00D22D61" w:rsidP="00D22D61">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w:t>
      </w:r>
      <w:r w:rsidRPr="009D349B">
        <w:rPr>
          <w:sz w:val="16"/>
        </w:rPr>
        <w:lastRenderedPageBreak/>
        <w:t xml:space="preserve">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524B3C2" w14:textId="77777777" w:rsidR="00D22D61" w:rsidRDefault="00D22D61" w:rsidP="00D22D61">
      <w:pPr>
        <w:rPr>
          <w:sz w:val="16"/>
        </w:rPr>
      </w:pPr>
    </w:p>
    <w:p w14:paraId="3C10E12F" w14:textId="77777777" w:rsidR="00D22D61" w:rsidRDefault="00D22D61" w:rsidP="00D22D61">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6E9B9B64" w14:textId="77777777" w:rsidR="00D22D61" w:rsidRPr="009D349B" w:rsidRDefault="00D22D61" w:rsidP="00D22D61">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4"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2A54AEE" w14:textId="77777777" w:rsidR="00D22D61" w:rsidRPr="009D349B" w:rsidRDefault="00D22D61" w:rsidP="00D22D61">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capac- ities, </w:t>
      </w:r>
      <w:r w:rsidRPr="009D349B">
        <w:rPr>
          <w:rStyle w:val="Emphasis"/>
        </w:rPr>
        <w:lastRenderedPageBreak/>
        <w:t>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w:t>
      </w:r>
      <w:r w:rsidRPr="009D349B">
        <w:rPr>
          <w:rStyle w:val="Emphasis"/>
        </w:rPr>
        <w:lastRenderedPageBreak/>
        <w:t>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71F0509" w14:textId="3E15ED29" w:rsidR="00B658FB" w:rsidRDefault="00B658FB" w:rsidP="00B658FB">
      <w:pPr>
        <w:pStyle w:val="Heading2"/>
      </w:pPr>
      <w:r>
        <w:lastRenderedPageBreak/>
        <w:t>Case</w:t>
      </w:r>
    </w:p>
    <w:p w14:paraId="054F54D6" w14:textId="77777777" w:rsidR="00B658FB" w:rsidRDefault="00B658FB" w:rsidP="00B658FB"/>
    <w:p w14:paraId="33473EFE" w14:textId="77777777" w:rsidR="00B658FB" w:rsidRDefault="00B658FB" w:rsidP="00B658FB">
      <w:pPr>
        <w:pStyle w:val="Heading4"/>
        <w:rPr>
          <w:b w:val="0"/>
          <w:bCs w:val="0"/>
        </w:rPr>
      </w:pPr>
      <w:r>
        <w:rPr>
          <w:b w:val="0"/>
          <w:bCs w:val="0"/>
        </w:rPr>
        <w:t xml:space="preserve">The </w:t>
      </w:r>
      <w:r>
        <w:t>role of the ballot</w:t>
      </w:r>
      <w:r>
        <w:rPr>
          <w:b w:val="0"/>
          <w:bCs w:val="0"/>
        </w:rPr>
        <w:t xml:space="preserve"> is to vote for the debater who proves the truth or falsity of the resolution. </w:t>
      </w:r>
      <w:r>
        <w:t>Prefer:</w:t>
      </w:r>
    </w:p>
    <w:p w14:paraId="4F485B0F" w14:textId="77777777" w:rsidR="00B658FB" w:rsidRDefault="00B658FB" w:rsidP="00B658FB">
      <w:pPr>
        <w:pStyle w:val="Heading4"/>
        <w:rPr>
          <w:b w:val="0"/>
          <w:bCs w:val="0"/>
        </w:rPr>
      </w:pPr>
      <w:r>
        <w:t>[1] Textuality</w:t>
      </w:r>
      <w:r>
        <w:rPr>
          <w:b w:val="0"/>
          <w:bCs w:val="0"/>
        </w:rPr>
        <w:t xml:space="preserve"> </w:t>
      </w:r>
      <w:r>
        <w:t>– “affirm” is defined as</w:t>
      </w:r>
      <w:r>
        <w:rPr>
          <w:b w:val="0"/>
          <w:bCs w:val="0"/>
        </w:rPr>
        <w:t xml:space="preserve"> </w:t>
      </w:r>
      <w:r>
        <w:rPr>
          <w:rStyle w:val="Emphasis"/>
        </w:rPr>
        <w:t xml:space="preserve">: </w:t>
      </w:r>
      <w:r>
        <w:rPr>
          <w:rStyle w:val="Emphasis"/>
          <w:highlight w:val="cyan"/>
        </w:rPr>
        <w:t>to assert</w:t>
      </w:r>
      <w:r>
        <w:rPr>
          <w:b w:val="0"/>
          <w:bCs w:val="0"/>
          <w:sz w:val="16"/>
        </w:rPr>
        <w:t xml:space="preserve"> (something, such as a judgment or decree) </w:t>
      </w:r>
      <w:r>
        <w:rPr>
          <w:rStyle w:val="Emphasis"/>
          <w:highlight w:val="cyan"/>
        </w:rPr>
        <w:t>as valid or confirmed</w:t>
      </w:r>
      <w:r>
        <w:rPr>
          <w:rStyle w:val="Emphasis"/>
        </w:rPr>
        <w:t xml:space="preserve"> </w:t>
      </w:r>
      <w:r>
        <w:rPr>
          <w:rStyle w:val="Emphasis"/>
          <w:bCs w:val="0"/>
        </w:rPr>
        <w:t xml:space="preserve"> </w:t>
      </w:r>
      <w:r>
        <w:t xml:space="preserve">and “negate” is </w:t>
      </w:r>
      <w:r>
        <w:rPr>
          <w:rStyle w:val="Emphasis"/>
          <w:highlight w:val="cyan"/>
        </w:rPr>
        <w:t>: to deny the existence or truth of</w:t>
      </w:r>
      <w:r>
        <w:rPr>
          <w:rStyle w:val="Emphasis"/>
          <w:bCs w:val="0"/>
        </w:rPr>
        <w:t xml:space="preserve"> </w:t>
      </w:r>
      <w:r>
        <w:rPr>
          <w:b w:val="0"/>
          <w:bCs w:val="0"/>
        </w:rPr>
        <w:t xml:space="preserve">which means </w:t>
      </w:r>
      <w:r>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25DA1E8D" w14:textId="77777777" w:rsidR="00B658FB" w:rsidRDefault="00B658FB" w:rsidP="00B658FB">
      <w:pPr>
        <w:rPr>
          <w:sz w:val="16"/>
          <w:szCs w:val="16"/>
        </w:rPr>
      </w:pPr>
    </w:p>
    <w:p w14:paraId="3BD2C15E" w14:textId="77777777" w:rsidR="00B658FB" w:rsidRDefault="00B658FB" w:rsidP="00B658FB">
      <w:pPr>
        <w:pStyle w:val="Heading4"/>
        <w:rPr>
          <w:b w:val="0"/>
          <w:bCs w:val="0"/>
          <w:sz w:val="16"/>
          <w:szCs w:val="16"/>
        </w:rPr>
      </w:pPr>
      <w:r>
        <w:rPr>
          <w:sz w:val="16"/>
          <w:szCs w:val="16"/>
        </w:rPr>
        <w:t>*</w:t>
      </w:r>
      <w:r>
        <w:rPr>
          <w:b w:val="0"/>
          <w:bCs w:val="0"/>
          <w:sz w:val="16"/>
          <w:szCs w:val="16"/>
        </w:rPr>
        <w:t xml:space="preserve"> Merriam Webster, ND (no date, 9-25-2021, No Publication, Definition of AFFIRM, https://www.merriam-webster.com/dictionary/affirm)//st</w:t>
      </w:r>
    </w:p>
    <w:p w14:paraId="1F510B31" w14:textId="77777777" w:rsidR="00B658FB" w:rsidRDefault="00B658FB" w:rsidP="00B658FB">
      <w:pPr>
        <w:pStyle w:val="Heading4"/>
        <w:rPr>
          <w:b w:val="0"/>
          <w:bCs w:val="0"/>
          <w:sz w:val="16"/>
          <w:szCs w:val="16"/>
        </w:rPr>
      </w:pPr>
      <w:r>
        <w:rPr>
          <w:b w:val="0"/>
          <w:bCs w:val="0"/>
          <w:sz w:val="16"/>
          <w:szCs w:val="16"/>
        </w:rPr>
        <w:t>*Merriam Webster, ND (no date, 9-25-2021, No Publication, Definition of NEGATE, https://www.merriam-webster.com/dictionary/negate)//st</w:t>
      </w:r>
    </w:p>
    <w:p w14:paraId="03271AB1" w14:textId="77777777" w:rsidR="00B658FB" w:rsidRDefault="00B658FB" w:rsidP="00B658FB"/>
    <w:p w14:paraId="0E379B25" w14:textId="77777777" w:rsidR="00B658FB" w:rsidRDefault="00B658FB" w:rsidP="00B658FB"/>
    <w:p w14:paraId="06479FAE" w14:textId="77777777" w:rsidR="00B658FB" w:rsidRDefault="00B658FB" w:rsidP="00B658FB">
      <w:pPr>
        <w:pStyle w:val="Heading4"/>
        <w:rPr>
          <w:b w:val="0"/>
          <w:bCs w:val="0"/>
        </w:rPr>
      </w:pPr>
      <w:r>
        <w:t>[3]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2BC0F9C5" w14:textId="77777777" w:rsidR="00B658FB" w:rsidRDefault="00B658FB" w:rsidP="00B658FB">
      <w:pPr>
        <w:pStyle w:val="Heading4"/>
      </w:pPr>
      <w:r>
        <w:t xml:space="preserve">[5] Real world change – </w:t>
      </w:r>
      <w:r>
        <w:rPr>
          <w:b w:val="0"/>
          <w:bCs w:val="0"/>
        </w:rPr>
        <w:t xml:space="preserve">the truth testing paradigm combats material problems by fostering real world education – it teaches debaters how to be successful advocates for real world solutions. </w:t>
      </w:r>
      <w:r>
        <w:t>Branse 15.</w:t>
      </w:r>
    </w:p>
    <w:p w14:paraId="253AD5AE" w14:textId="77777777" w:rsidR="00B658FB" w:rsidRDefault="00B658FB" w:rsidP="00B658FB">
      <w:r>
        <w:t>[David Brasne '15 (), 9-4-2015, "The Role of the Judge By David Branse (Part One)," NSD Update, http://nsdupdate.com/2015/09/04/the-role-of-the-judge-by-david-branse-part-one/ // AHS-DM, 1-9-2017] SHS ZS</w:t>
      </w:r>
    </w:p>
    <w:p w14:paraId="5D244941" w14:textId="77777777" w:rsidR="00B658FB" w:rsidRDefault="00B658FB" w:rsidP="00B658FB">
      <w:pPr>
        <w:rPr>
          <w:sz w:val="12"/>
        </w:rPr>
      </w:pPr>
      <w:r>
        <w:rPr>
          <w:sz w:val="12"/>
        </w:rPr>
        <w:t xml:space="preserve">In debate, those rules are testing the truth of a pre-given and pre-prepared topic. </w:t>
      </w:r>
      <w:r>
        <w:rPr>
          <w:b/>
          <w:bCs/>
          <w:highlight w:val="green"/>
          <w:u w:val="single"/>
        </w:rPr>
        <w:t>Switch-side debate provides a</w:t>
      </w:r>
      <w:r>
        <w:rPr>
          <w:b/>
          <w:bCs/>
          <w:u w:val="single"/>
        </w:rPr>
        <w:t xml:space="preserve"> </w:t>
      </w:r>
      <w:r>
        <w:rPr>
          <w:b/>
          <w:bCs/>
          <w:highlight w:val="green"/>
          <w:u w:val="single"/>
        </w:rPr>
        <w:t>unique forum where we</w:t>
      </w:r>
      <w:r>
        <w:rPr>
          <w:b/>
          <w:bCs/>
          <w:u w:val="single"/>
        </w:rPr>
        <w:t xml:space="preserve"> </w:t>
      </w:r>
      <w:r>
        <w:rPr>
          <w:sz w:val="12"/>
        </w:rPr>
        <w:t xml:space="preserve">A) </w:t>
      </w:r>
      <w:r>
        <w:rPr>
          <w:b/>
          <w:bCs/>
          <w:u w:val="single"/>
        </w:rPr>
        <w:t>don’t</w:t>
      </w:r>
      <w:r>
        <w:rPr>
          <w:sz w:val="12"/>
        </w:rPr>
        <w:t xml:space="preserve"> have to </w:t>
      </w:r>
      <w:r>
        <w:rPr>
          <w:b/>
          <w:bCs/>
          <w:u w:val="single"/>
        </w:rPr>
        <w:t>endorse our arguments as true</w:t>
      </w:r>
      <w:r>
        <w:rPr>
          <w:sz w:val="12"/>
        </w:rPr>
        <w:t xml:space="preserve"> since we contradict ourselves every round </w:t>
      </w:r>
      <w:r>
        <w:rPr>
          <w:b/>
          <w:bCs/>
          <w:u w:val="single"/>
        </w:rPr>
        <w:t>[and]</w:t>
      </w:r>
      <w:r>
        <w:rPr>
          <w:sz w:val="12"/>
        </w:rPr>
        <w:t xml:space="preserve">, B) </w:t>
      </w:r>
      <w:r>
        <w:rPr>
          <w:b/>
          <w:bCs/>
          <w:highlight w:val="green"/>
          <w:u w:val="single"/>
        </w:rPr>
        <w:t>view the process of warranting as supremely valuable, and</w:t>
      </w:r>
      <w:r>
        <w:rPr>
          <w:sz w:val="12"/>
        </w:rPr>
        <w:t xml:space="preserve"> C) can </w:t>
      </w:r>
      <w:r>
        <w:rPr>
          <w:b/>
          <w:bCs/>
          <w:highlight w:val="green"/>
          <w:u w:val="single"/>
        </w:rPr>
        <w:t>challenge all ethical assumptions we hold</w:t>
      </w:r>
      <w:r>
        <w:rPr>
          <w:sz w:val="12"/>
          <w:highlight w:val="green"/>
        </w:rPr>
        <w:t xml:space="preserve">. </w:t>
      </w:r>
      <w:r>
        <w:rPr>
          <w:b/>
          <w:bCs/>
          <w:highlight w:val="green"/>
          <w:u w:val="single"/>
        </w:rPr>
        <w:t>Truth testing allows debaters to</w:t>
      </w:r>
      <w:r>
        <w:rPr>
          <w:b/>
          <w:bCs/>
          <w:u w:val="single"/>
        </w:rPr>
        <w:t xml:space="preserve"> </w:t>
      </w:r>
      <w:r>
        <w:rPr>
          <w:b/>
          <w:bCs/>
          <w:highlight w:val="green"/>
          <w:u w:val="single"/>
        </w:rPr>
        <w:t>analyze arguments from a wide range of viewpoints</w:t>
      </w:r>
      <w:r>
        <w:rPr>
          <w:sz w:val="12"/>
        </w:rPr>
        <w:t xml:space="preserve">, with an emphasis on contesting the warrants of every argument. In my opinion, </w:t>
      </w:r>
      <w:r>
        <w:rPr>
          <w:b/>
          <w:bCs/>
          <w:highlight w:val="green"/>
          <w:u w:val="single"/>
        </w:rPr>
        <w:t>the value</w:t>
      </w:r>
      <w:r>
        <w:rPr>
          <w:b/>
          <w:bCs/>
          <w:u w:val="single"/>
        </w:rPr>
        <w:t xml:space="preserve"> and skills </w:t>
      </w:r>
      <w:r>
        <w:rPr>
          <w:sz w:val="12"/>
        </w:rPr>
        <w:t xml:space="preserve">garnered in debate </w:t>
      </w:r>
      <w:r>
        <w:rPr>
          <w:b/>
          <w:bCs/>
          <w:highlight w:val="green"/>
          <w:u w:val="single"/>
        </w:rPr>
        <w:t>arise from the process of</w:t>
      </w:r>
      <w:r>
        <w:rPr>
          <w:b/>
          <w:bCs/>
          <w:u w:val="single"/>
        </w:rPr>
        <w:t xml:space="preserve"> </w:t>
      </w:r>
      <w:r>
        <w:rPr>
          <w:b/>
          <w:bCs/>
          <w:highlight w:val="green"/>
          <w:u w:val="single"/>
        </w:rPr>
        <w:t>debating</w:t>
      </w:r>
      <w:r>
        <w:rPr>
          <w:sz w:val="12"/>
        </w:rPr>
        <w:t xml:space="preserve">, </w:t>
      </w:r>
      <w:r>
        <w:rPr>
          <w:b/>
          <w:bCs/>
          <w:u w:val="single"/>
        </w:rPr>
        <w:t>not the content of the</w:t>
      </w:r>
      <w:r>
        <w:rPr>
          <w:sz w:val="12"/>
        </w:rPr>
        <w:t xml:space="preserve"> </w:t>
      </w:r>
      <w:r>
        <w:rPr>
          <w:b/>
          <w:bCs/>
          <w:u w:val="single"/>
        </w:rPr>
        <w:t>arguments or a particular pedagogical viewpoint</w:t>
      </w:r>
      <w:r>
        <w:rPr>
          <w:sz w:val="12"/>
        </w:rPr>
        <w:t xml:space="preserve">. </w:t>
      </w:r>
      <w:r>
        <w:rPr>
          <w:b/>
          <w:bCs/>
          <w:u w:val="single"/>
        </w:rPr>
        <w:t>Debaters learn to structure logical syllogisms</w:t>
      </w:r>
      <w:r>
        <w:rPr>
          <w:sz w:val="12"/>
        </w:rPr>
        <w:t xml:space="preserve"> to warrant everything from the outrageous to the intuitive. </w:t>
      </w:r>
      <w:r>
        <w:rPr>
          <w:b/>
          <w:bCs/>
          <w:highlight w:val="green"/>
          <w:u w:val="single"/>
        </w:rPr>
        <w:t>The process of truth testing teaches debaters how to make decisions</w:t>
      </w:r>
      <w:r>
        <w:rPr>
          <w:b/>
          <w:bCs/>
          <w:u w:val="single"/>
        </w:rPr>
        <w:t xml:space="preserve"> </w:t>
      </w:r>
      <w:r>
        <w:rPr>
          <w:b/>
          <w:bCs/>
          <w:highlight w:val="green"/>
          <w:u w:val="single"/>
        </w:rPr>
        <w:t>in the real world</w:t>
      </w:r>
      <w:r>
        <w:rPr>
          <w:sz w:val="12"/>
        </w:rPr>
        <w:t xml:space="preserve">. We learn how to justify our beliefs and become good advocates not by rejecting this paradigm but by embracing it. </w:t>
      </w:r>
      <w:r>
        <w:rPr>
          <w:b/>
          <w:bCs/>
          <w:u w:val="single"/>
        </w:rPr>
        <w:t xml:space="preserve">Competition to determine the truth of a proposition motivates debaters to </w:t>
      </w:r>
      <w:r>
        <w:rPr>
          <w:b/>
          <w:bCs/>
          <w:highlight w:val="green"/>
          <w:u w:val="single"/>
        </w:rPr>
        <w:t>engage in the very practices that provide us education.</w:t>
      </w:r>
      <w:r>
        <w:rPr>
          <w:sz w:val="12"/>
        </w:rPr>
        <w:t xml:space="preserve"> </w:t>
      </w:r>
      <w:r>
        <w:rPr>
          <w:b/>
          <w:bCs/>
          <w:u w:val="single"/>
        </w:rPr>
        <w:t>Debaters</w:t>
      </w:r>
      <w:r>
        <w:rPr>
          <w:sz w:val="12"/>
        </w:rPr>
        <w:t xml:space="preserve"> extensively </w:t>
      </w:r>
      <w:r>
        <w:rPr>
          <w:b/>
          <w:bCs/>
          <w:szCs w:val="22"/>
          <w:u w:val="single"/>
        </w:rPr>
        <w:t>p</w:t>
      </w:r>
      <w:r>
        <w:rPr>
          <w:b/>
          <w:bCs/>
          <w:u w:val="single"/>
        </w:rPr>
        <w:t>rep and research unique topical ideas for the sake of winning</w:t>
      </w:r>
      <w:r>
        <w:rPr>
          <w:sz w:val="12"/>
        </w:rPr>
        <w:t>. Few debaters would have learned as much as they did about the living wage without debate’s competitive incentive.</w:t>
      </w:r>
    </w:p>
    <w:p w14:paraId="054E98C4" w14:textId="77777777" w:rsidR="00B658FB" w:rsidRDefault="00B658FB" w:rsidP="00B658FB"/>
    <w:p w14:paraId="041897B5" w14:textId="77777777" w:rsidR="00771382" w:rsidRPr="005551D7" w:rsidRDefault="00771382" w:rsidP="00771382">
      <w:pPr>
        <w:pStyle w:val="Heading2"/>
        <w:rPr>
          <w:rFonts w:cs="Calibri"/>
        </w:rPr>
      </w:pPr>
      <w:r w:rsidRPr="005551D7">
        <w:rPr>
          <w:rFonts w:cs="Calibri"/>
        </w:rPr>
        <w:lastRenderedPageBreak/>
        <w:t>AT – Spacecol</w:t>
      </w:r>
      <w:r>
        <w:rPr>
          <w:rFonts w:cs="Calibri"/>
        </w:rPr>
        <w:t xml:space="preserve"> (Good)</w:t>
      </w:r>
    </w:p>
    <w:p w14:paraId="3E80AA69" w14:textId="77777777" w:rsidR="00771382" w:rsidRPr="005551D7" w:rsidRDefault="00771382" w:rsidP="00771382"/>
    <w:p w14:paraId="789EEC21" w14:textId="77777777" w:rsidR="00AA658E" w:rsidRPr="005551D7" w:rsidRDefault="00AA658E" w:rsidP="00AA658E">
      <w:pPr>
        <w:pStyle w:val="Heading4"/>
        <w:rPr>
          <w:rFonts w:cs="Calibri"/>
        </w:rPr>
      </w:pPr>
      <w:r w:rsidRPr="005551D7">
        <w:rPr>
          <w:rFonts w:cs="Calibri"/>
        </w:rPr>
        <w:t>We’re impact turning it;</w:t>
      </w:r>
    </w:p>
    <w:p w14:paraId="03D59C5D" w14:textId="77777777" w:rsidR="00AA658E" w:rsidRPr="005551D7" w:rsidRDefault="00AA658E" w:rsidP="00AA658E"/>
    <w:p w14:paraId="34DC3E54" w14:textId="77777777" w:rsidR="00AA658E" w:rsidRPr="005551D7" w:rsidRDefault="00AA658E" w:rsidP="00AA658E">
      <w:pPr>
        <w:pStyle w:val="Heading4"/>
        <w:rPr>
          <w:rFonts w:cs="Calibri"/>
        </w:rPr>
      </w:pPr>
      <w:r w:rsidRPr="005551D7">
        <w:rPr>
          <w:rFonts w:cs="Calibri"/>
        </w:rPr>
        <w:t xml:space="preserve">Space col possible within </w:t>
      </w:r>
      <w:r w:rsidRPr="005551D7">
        <w:rPr>
          <w:rFonts w:cs="Calibri"/>
          <w:u w:val="single"/>
        </w:rPr>
        <w:t>decades</w:t>
      </w:r>
    </w:p>
    <w:p w14:paraId="004FEC3E" w14:textId="77777777" w:rsidR="00AA658E" w:rsidRPr="005551D7" w:rsidRDefault="00AA658E" w:rsidP="00AA658E">
      <w:r w:rsidRPr="005551D7">
        <w:rPr>
          <w:rStyle w:val="Style13ptBold"/>
        </w:rPr>
        <w:t>Armstrong &amp; Sandberg 13</w:t>
      </w:r>
      <w:r w:rsidRPr="005551D7">
        <w:t xml:space="preserve"> [Stuart Armstrong and Anders Sandberg, * James Martin Research Fellow, Future of Humanity Institute, Oxford University, ** PhD in computational neuroscience from Stockholm University, and is currently a Senior Research Fellow at the Future of Humanity Institute at the University of Oxford, “Eternity in six hours: Intergalactic spreading of intelligent life and sharpening the Fermi paradox,” 2013, </w:t>
      </w:r>
      <w:r w:rsidRPr="005551D7">
        <w:rPr>
          <w:i/>
          <w:iCs/>
        </w:rPr>
        <w:t>Acta Astronautica</w:t>
      </w:r>
      <w:r w:rsidRPr="005551D7">
        <w:t>, Vol. 89, pp. 1-13, https://doi.org/10.1016/j.actaastro.2013.04.002, EA]</w:t>
      </w:r>
    </w:p>
    <w:p w14:paraId="1526C431" w14:textId="77777777" w:rsidR="00AA658E" w:rsidRPr="005551D7" w:rsidRDefault="00AA658E" w:rsidP="00AA658E">
      <w:pPr>
        <w:rPr>
          <w:sz w:val="16"/>
        </w:rPr>
      </w:pPr>
      <w:r w:rsidRPr="005551D7">
        <w:rPr>
          <w:sz w:val="16"/>
        </w:rPr>
        <w:t xml:space="preserve">We have shown that, given certain technological assumptions, </w:t>
      </w:r>
      <w:r w:rsidRPr="005551D7">
        <w:rPr>
          <w:rStyle w:val="StyleUnderline"/>
          <w:highlight w:val="green"/>
        </w:rPr>
        <w:t xml:space="preserve">intergalactic colonisation </w:t>
      </w:r>
      <w:r w:rsidRPr="005551D7">
        <w:rPr>
          <w:rStyle w:val="Emphasis"/>
          <w:highlight w:val="green"/>
        </w:rPr>
        <w:t>appears</w:t>
      </w:r>
      <w:r w:rsidRPr="005551D7">
        <w:rPr>
          <w:sz w:val="16"/>
        </w:rPr>
        <w:t xml:space="preserve"> to be </w:t>
      </w:r>
      <w:r w:rsidRPr="005551D7">
        <w:rPr>
          <w:rStyle w:val="Emphasis"/>
          <w:highlight w:val="green"/>
        </w:rPr>
        <w:t>possible</w:t>
      </w:r>
      <w:r w:rsidRPr="005551D7">
        <w:rPr>
          <w:rStyle w:val="StyleUnderline"/>
          <w:highlight w:val="green"/>
        </w:rPr>
        <w:t xml:space="preserve"> given</w:t>
      </w:r>
      <w:r w:rsidRPr="005551D7">
        <w:rPr>
          <w:sz w:val="16"/>
        </w:rPr>
        <w:t xml:space="preserve"> known</w:t>
      </w:r>
      <w:r w:rsidRPr="005551D7">
        <w:rPr>
          <w:rStyle w:val="StyleUnderline"/>
        </w:rPr>
        <w:t xml:space="preserve"> </w:t>
      </w:r>
      <w:r w:rsidRPr="005551D7">
        <w:rPr>
          <w:rStyle w:val="StyleUnderline"/>
          <w:highlight w:val="green"/>
        </w:rPr>
        <w:t>natural laws and</w:t>
      </w:r>
      <w:r w:rsidRPr="005551D7">
        <w:rPr>
          <w:sz w:val="16"/>
        </w:rPr>
        <w:t xml:space="preserve"> the </w:t>
      </w:r>
      <w:r w:rsidRPr="005551D7">
        <w:rPr>
          <w:rStyle w:val="StyleUnderline"/>
          <w:highlight w:val="green"/>
        </w:rPr>
        <w:t>resources</w:t>
      </w:r>
      <w:r w:rsidRPr="005551D7">
        <w:rPr>
          <w:rStyle w:val="StyleUnderline"/>
        </w:rPr>
        <w:t xml:space="preserve"> within a solar system. This</w:t>
      </w:r>
      <w:r w:rsidRPr="005551D7">
        <w:rPr>
          <w:sz w:val="16"/>
        </w:rPr>
        <w:t xml:space="preserve"> process </w:t>
      </w:r>
      <w:r w:rsidRPr="005551D7">
        <w:rPr>
          <w:rStyle w:val="StyleUnderline"/>
        </w:rPr>
        <w:t xml:space="preserve">could be </w:t>
      </w:r>
      <w:r w:rsidRPr="005551D7">
        <w:rPr>
          <w:rStyle w:val="StyleUnderline"/>
          <w:highlight w:val="green"/>
        </w:rPr>
        <w:t>initiated on a</w:t>
      </w:r>
      <w:r w:rsidRPr="005551D7">
        <w:rPr>
          <w:rStyle w:val="StyleUnderline"/>
        </w:rPr>
        <w:t xml:space="preserve"> </w:t>
      </w:r>
      <w:r w:rsidRPr="005551D7">
        <w:rPr>
          <w:rStyle w:val="Emphasis"/>
        </w:rPr>
        <w:t xml:space="preserve">surprisingly </w:t>
      </w:r>
      <w:r w:rsidRPr="005551D7">
        <w:rPr>
          <w:rStyle w:val="Emphasis"/>
          <w:highlight w:val="green"/>
        </w:rPr>
        <w:t>short timescale (decades)</w:t>
      </w:r>
      <w:r w:rsidRPr="005551D7">
        <w:rPr>
          <w:sz w:val="16"/>
        </w:rPr>
        <w:t>—</w:t>
      </w:r>
      <w:r w:rsidRPr="005551D7">
        <w:rPr>
          <w:rStyle w:val="StyleUnderline"/>
        </w:rPr>
        <w:t>well within timescales</w:t>
      </w:r>
      <w:r w:rsidRPr="005551D7">
        <w:rPr>
          <w:sz w:val="16"/>
        </w:rPr>
        <w:t xml:space="preserve"> we know some </w:t>
      </w:r>
      <w:r w:rsidRPr="005551D7">
        <w:rPr>
          <w:rStyle w:val="StyleUnderline"/>
        </w:rPr>
        <w:t>human societies</w:t>
      </w:r>
      <w:r w:rsidRPr="005551D7">
        <w:rPr>
          <w:sz w:val="16"/>
        </w:rPr>
        <w:t xml:space="preserve"> have </w:t>
      </w:r>
      <w:r w:rsidRPr="005551D7">
        <w:rPr>
          <w:rStyle w:val="StyleUnderline"/>
        </w:rPr>
        <w:t xml:space="preserve">planned and executed large projects. A star-spanning </w:t>
      </w:r>
      <w:r w:rsidRPr="005551D7">
        <w:rPr>
          <w:rStyle w:val="StyleUnderline"/>
          <w:highlight w:val="green"/>
        </w:rPr>
        <w:t>civilisation</w:t>
      </w:r>
      <w:r w:rsidRPr="005551D7">
        <w:rPr>
          <w:rStyle w:val="StyleUnderline"/>
        </w:rPr>
        <w:t xml:space="preserve"> would </w:t>
      </w:r>
      <w:r w:rsidRPr="005551D7">
        <w:rPr>
          <w:rStyle w:val="StyleUnderline"/>
          <w:highlight w:val="green"/>
        </w:rPr>
        <w:t>find</w:t>
      </w:r>
      <w:r w:rsidRPr="005551D7">
        <w:rPr>
          <w:rStyle w:val="StyleUnderline"/>
        </w:rPr>
        <w:t xml:space="preserve"> the energy and resources </w:t>
      </w:r>
      <w:r w:rsidRPr="005551D7">
        <w:rPr>
          <w:rStyle w:val="StyleUnderline"/>
          <w:highlight w:val="green"/>
        </w:rPr>
        <w:t>requirement</w:t>
      </w:r>
      <w:r w:rsidRPr="005551D7">
        <w:rPr>
          <w:rStyle w:val="StyleUnderline"/>
        </w:rPr>
        <w:t xml:space="preserve"> to be </w:t>
      </w:r>
      <w:r w:rsidRPr="005551D7">
        <w:rPr>
          <w:rStyle w:val="Emphasis"/>
          <w:highlight w:val="green"/>
        </w:rPr>
        <w:t>so low</w:t>
      </w:r>
      <w:r w:rsidRPr="005551D7">
        <w:rPr>
          <w:rStyle w:val="StyleUnderline"/>
        </w:rPr>
        <w:t xml:space="preserve"> that </w:t>
      </w:r>
      <w:r w:rsidRPr="005551D7">
        <w:rPr>
          <w:rStyle w:val="StyleUnderline"/>
          <w:highlight w:val="green"/>
        </w:rPr>
        <w:t>they could do this</w:t>
      </w:r>
      <w:r w:rsidRPr="005551D7">
        <w:rPr>
          <w:rStyle w:val="StyleUnderline"/>
        </w:rPr>
        <w:t xml:space="preserve"> project </w:t>
      </w:r>
      <w:r w:rsidRPr="005551D7">
        <w:rPr>
          <w:rStyle w:val="Emphasis"/>
          <w:highlight w:val="green"/>
        </w:rPr>
        <w:t>as an aside to</w:t>
      </w:r>
      <w:r w:rsidRPr="005551D7">
        <w:rPr>
          <w:rStyle w:val="Emphasis"/>
        </w:rPr>
        <w:t xml:space="preserve"> their usual </w:t>
      </w:r>
      <w:r w:rsidRPr="005551D7">
        <w:rPr>
          <w:rStyle w:val="Emphasis"/>
          <w:highlight w:val="green"/>
        </w:rPr>
        <w:t>projects</w:t>
      </w:r>
      <w:r w:rsidRPr="005551D7">
        <w:rPr>
          <w:rStyle w:val="Emphasis"/>
        </w:rPr>
        <w:t>.</w:t>
      </w:r>
      <w:r w:rsidRPr="005551D7">
        <w:rPr>
          <w:sz w:val="16"/>
        </w:rPr>
        <w:t xml:space="preserve"> Thus </w:t>
      </w:r>
      <w:r w:rsidRPr="005551D7">
        <w:rPr>
          <w:rStyle w:val="StyleUnderline"/>
          <w:highlight w:val="green"/>
        </w:rPr>
        <w:t>if interstellar expansion can be attempted</w:t>
      </w:r>
      <w:r w:rsidRPr="005551D7">
        <w:rPr>
          <w:sz w:val="16"/>
        </w:rPr>
        <w:t xml:space="preserve">, then </w:t>
      </w:r>
      <w:r w:rsidRPr="005551D7">
        <w:rPr>
          <w:rStyle w:val="Emphasis"/>
          <w:highlight w:val="green"/>
        </w:rPr>
        <w:t>intergalactic expansion should</w:t>
      </w:r>
      <w:r w:rsidRPr="005551D7">
        <w:rPr>
          <w:rStyle w:val="Emphasis"/>
        </w:rPr>
        <w:t xml:space="preserve"> also </w:t>
      </w:r>
      <w:r w:rsidRPr="005551D7">
        <w:rPr>
          <w:rStyle w:val="Emphasis"/>
          <w:highlight w:val="green"/>
        </w:rPr>
        <w:t>be feasible</w:t>
      </w:r>
      <w:r w:rsidRPr="005551D7">
        <w:rPr>
          <w:rStyle w:val="Emphasis"/>
        </w:rPr>
        <w:t>.</w:t>
      </w:r>
      <w:r w:rsidRPr="005551D7">
        <w:rPr>
          <w:sz w:val="16"/>
        </w:rPr>
        <w:t xml:space="preserve"> Indeed, </w:t>
      </w:r>
      <w:r w:rsidRPr="005551D7">
        <w:rPr>
          <w:rStyle w:val="StyleUnderline"/>
          <w:highlight w:val="green"/>
        </w:rPr>
        <w:t>there is</w:t>
      </w:r>
      <w:r w:rsidRPr="005551D7">
        <w:rPr>
          <w:sz w:val="16"/>
        </w:rPr>
        <w:t xml:space="preserve"> likely </w:t>
      </w:r>
      <w:r w:rsidRPr="005551D7">
        <w:rPr>
          <w:rStyle w:val="Emphasis"/>
          <w:highlight w:val="green"/>
        </w:rPr>
        <w:t>no inherent limitation</w:t>
      </w:r>
      <w:r w:rsidRPr="005551D7">
        <w:rPr>
          <w:rStyle w:val="StyleUnderline"/>
        </w:rPr>
        <w:t xml:space="preserve"> on</w:t>
      </w:r>
      <w:r w:rsidRPr="005551D7">
        <w:rPr>
          <w:sz w:val="16"/>
        </w:rPr>
        <w:t xml:space="preserve"> the scales of </w:t>
      </w:r>
      <w:r w:rsidRPr="005551D7">
        <w:rPr>
          <w:rStyle w:val="StyleUnderline"/>
        </w:rPr>
        <w:t>activities of technological civilisations</w:t>
      </w:r>
      <w:r w:rsidRPr="005551D7">
        <w:rPr>
          <w:sz w:val="16"/>
        </w:rPr>
        <w:t xml:space="preserve"> beyond those imposed by the laws of nature and available resources [51].</w:t>
      </w:r>
    </w:p>
    <w:p w14:paraId="0B415217" w14:textId="77777777" w:rsidR="00AA658E" w:rsidRPr="005551D7" w:rsidRDefault="00AA658E" w:rsidP="00AA658E"/>
    <w:p w14:paraId="63F6E65F" w14:textId="77777777" w:rsidR="00AA658E" w:rsidRPr="005551D7" w:rsidRDefault="00AA658E" w:rsidP="00AA658E"/>
    <w:p w14:paraId="11F0A862" w14:textId="77777777" w:rsidR="00AA658E" w:rsidRPr="005551D7" w:rsidRDefault="00AA658E" w:rsidP="00AA658E">
      <w:pPr>
        <w:pStyle w:val="Heading4"/>
        <w:rPr>
          <w:rFonts w:cs="Calibri"/>
        </w:rPr>
      </w:pPr>
      <w:r w:rsidRPr="005551D7">
        <w:rPr>
          <w:rFonts w:cs="Calibri"/>
        </w:rPr>
        <w:t>Massive spillover effects, solves resources and ex risks</w:t>
      </w:r>
    </w:p>
    <w:p w14:paraId="5878636F" w14:textId="77777777" w:rsidR="00AA658E" w:rsidRPr="005551D7" w:rsidRDefault="00AA658E" w:rsidP="00AA658E">
      <w:r w:rsidRPr="005551D7">
        <w:rPr>
          <w:rStyle w:val="Style13ptBold"/>
        </w:rPr>
        <w:t>Green 21</w:t>
      </w:r>
      <w:r w:rsidRPr="005551D7">
        <w:t xml:space="preserve"> [Brian Patrick Green, director of technology ethics at the Markkula Center for Applied Ethics, Santa Clara University, “Space Ethics,” 2021, Rowman, pp. 4-5, EA]</w:t>
      </w:r>
    </w:p>
    <w:p w14:paraId="1D8B7D22" w14:textId="77777777" w:rsidR="00AA658E" w:rsidRPr="005551D7" w:rsidRDefault="00AA658E" w:rsidP="00AA658E">
      <w:r w:rsidRPr="005551D7">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0B4C32BC" w14:textId="77777777" w:rsidR="00AA658E" w:rsidRPr="005551D7" w:rsidRDefault="00AA658E" w:rsidP="00AA658E">
      <w:r w:rsidRPr="005551D7">
        <w:lastRenderedPageBreak/>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0542FE50" w14:textId="77777777" w:rsidR="00AA658E" w:rsidRPr="005551D7" w:rsidRDefault="00AA658E" w:rsidP="00AA658E">
      <w:pPr>
        <w:rPr>
          <w:sz w:val="16"/>
          <w:szCs w:val="16"/>
        </w:rPr>
      </w:pPr>
      <w:r w:rsidRPr="005551D7">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7622F663" w14:textId="77777777" w:rsidR="00AA658E" w:rsidRPr="005551D7" w:rsidRDefault="00AA658E" w:rsidP="00AA658E">
      <w:pPr>
        <w:rPr>
          <w:rStyle w:val="StyleUnderline"/>
        </w:rPr>
      </w:pPr>
      <w:r w:rsidRPr="005551D7">
        <w:rPr>
          <w:rStyle w:val="StyleUnderline"/>
          <w:highlight w:val="green"/>
        </w:rPr>
        <w:t>Space activities</w:t>
      </w:r>
      <w:r w:rsidRPr="005551D7">
        <w:rPr>
          <w:rStyle w:val="StyleUnderline"/>
        </w:rPr>
        <w:t xml:space="preserve"> are</w:t>
      </w:r>
      <w:r w:rsidRPr="005551D7">
        <w:rPr>
          <w:sz w:val="16"/>
        </w:rPr>
        <w:t xml:space="preserve"> also </w:t>
      </w:r>
      <w:r w:rsidRPr="005551D7">
        <w:rPr>
          <w:rStyle w:val="StyleUnderline"/>
        </w:rPr>
        <w:t xml:space="preserve">a key way of </w:t>
      </w:r>
      <w:r w:rsidRPr="005551D7">
        <w:rPr>
          <w:rStyle w:val="Emphasis"/>
          <w:highlight w:val="green"/>
        </w:rPr>
        <w:t>promot</w:t>
      </w:r>
      <w:r w:rsidRPr="005551D7">
        <w:rPr>
          <w:rStyle w:val="Emphasis"/>
        </w:rPr>
        <w:t xml:space="preserve">ing </w:t>
      </w:r>
      <w:r w:rsidRPr="005551D7">
        <w:rPr>
          <w:rStyle w:val="Emphasis"/>
          <w:highlight w:val="green"/>
        </w:rPr>
        <w:t>international coop</w:t>
      </w:r>
      <w:r w:rsidRPr="005551D7">
        <w:rPr>
          <w:rStyle w:val="Emphasis"/>
        </w:rPr>
        <w:t>eration</w:t>
      </w:r>
      <w:r w:rsidRPr="005551D7">
        <w:rPr>
          <w:sz w:val="16"/>
        </w:rPr>
        <w:t xml:space="preserve"> and global awareness. While the international competition of the “space race” fueled one nation all the way to the Moon, shortly afterward, </w:t>
      </w:r>
      <w:r w:rsidRPr="005551D7">
        <w:rPr>
          <w:rStyle w:val="StyleUnderline"/>
        </w:rPr>
        <w:t xml:space="preserve">the </w:t>
      </w:r>
      <w:r w:rsidRPr="005551D7">
        <w:rPr>
          <w:rStyle w:val="StyleUnderline"/>
          <w:highlight w:val="green"/>
        </w:rPr>
        <w:t>Apollo</w:t>
      </w:r>
      <w:r w:rsidRPr="005551D7">
        <w:rPr>
          <w:rStyle w:val="StyleUnderline"/>
        </w:rPr>
        <w:t xml:space="preserve">-Soyuz program </w:t>
      </w:r>
      <w:r w:rsidRPr="005551D7">
        <w:rPr>
          <w:rStyle w:val="StyleUnderline"/>
          <w:highlight w:val="green"/>
        </w:rPr>
        <w:t>announced</w:t>
      </w:r>
      <w:r w:rsidRPr="005551D7">
        <w:rPr>
          <w:sz w:val="16"/>
        </w:rPr>
        <w:t xml:space="preserve"> a </w:t>
      </w:r>
      <w:r w:rsidRPr="005551D7">
        <w:rPr>
          <w:rStyle w:val="StyleUnderline"/>
          <w:highlight w:val="green"/>
        </w:rPr>
        <w:t>thawing</w:t>
      </w:r>
      <w:r w:rsidRPr="005551D7">
        <w:rPr>
          <w:sz w:val="16"/>
        </w:rPr>
        <w:t xml:space="preserve"> of this </w:t>
      </w:r>
      <w:r w:rsidRPr="005551D7">
        <w:rPr>
          <w:rStyle w:val="StyleUnderline"/>
          <w:highlight w:val="green"/>
        </w:rPr>
        <w:t>competition</w:t>
      </w:r>
      <w:r w:rsidRPr="005551D7">
        <w:rPr>
          <w:rStyle w:val="StyleUnderline"/>
        </w:rPr>
        <w:t xml:space="preserve"> and commenced</w:t>
      </w:r>
      <w:r w:rsidRPr="005551D7">
        <w:rPr>
          <w:sz w:val="16"/>
        </w:rPr>
        <w:t xml:space="preserve"> a period of </w:t>
      </w:r>
      <w:r w:rsidRPr="005551D7">
        <w:rPr>
          <w:rStyle w:val="StyleUnderline"/>
        </w:rPr>
        <w:t>cooperation between the United States</w:t>
      </w:r>
      <w:r w:rsidRPr="005551D7">
        <w:rPr>
          <w:sz w:val="16"/>
        </w:rPr>
        <w:t xml:space="preserve"> of America </w:t>
      </w:r>
      <w:r w:rsidRPr="005551D7">
        <w:rPr>
          <w:rStyle w:val="StyleUnderline"/>
        </w:rPr>
        <w:t>and</w:t>
      </w:r>
      <w:r w:rsidRPr="005551D7">
        <w:rPr>
          <w:sz w:val="16"/>
        </w:rPr>
        <w:t xml:space="preserve"> the </w:t>
      </w:r>
      <w:r w:rsidRPr="005551D7">
        <w:rPr>
          <w:rStyle w:val="StyleUnderline"/>
        </w:rPr>
        <w:t>U</w:t>
      </w:r>
      <w:r w:rsidRPr="005551D7">
        <w:rPr>
          <w:sz w:val="16"/>
        </w:rPr>
        <w:t xml:space="preserve">nion of </w:t>
      </w:r>
      <w:r w:rsidRPr="005551D7">
        <w:rPr>
          <w:rStyle w:val="StyleUnderline"/>
        </w:rPr>
        <w:t>S</w:t>
      </w:r>
      <w:r w:rsidRPr="005551D7">
        <w:rPr>
          <w:sz w:val="16"/>
        </w:rPr>
        <w:t xml:space="preserve">oviet </w:t>
      </w:r>
      <w:r w:rsidRPr="005551D7">
        <w:rPr>
          <w:rStyle w:val="StyleUnderline"/>
        </w:rPr>
        <w:t>S</w:t>
      </w:r>
      <w:r w:rsidRPr="005551D7">
        <w:rPr>
          <w:sz w:val="16"/>
        </w:rPr>
        <w:t xml:space="preserve">ocialist </w:t>
      </w:r>
      <w:r w:rsidRPr="005551D7">
        <w:rPr>
          <w:rStyle w:val="StyleUnderline"/>
        </w:rPr>
        <w:t>R</w:t>
      </w:r>
      <w:r w:rsidRPr="005551D7">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5551D7">
        <w:rPr>
          <w:rStyle w:val="StyleUnderline"/>
        </w:rPr>
        <w:t xml:space="preserve">the </w:t>
      </w:r>
      <w:r w:rsidRPr="005551D7">
        <w:rPr>
          <w:rStyle w:val="StyleUnderline"/>
          <w:highlight w:val="green"/>
        </w:rPr>
        <w:t>perspective</w:t>
      </w:r>
      <w:r w:rsidRPr="005551D7">
        <w:rPr>
          <w:rStyle w:val="StyleUnderline"/>
        </w:rPr>
        <w:t xml:space="preserve"> given from space</w:t>
      </w:r>
      <w:r w:rsidRPr="005551D7">
        <w:rPr>
          <w:sz w:val="16"/>
        </w:rPr>
        <w:t xml:space="preserve"> has itself </w:t>
      </w:r>
      <w:r w:rsidRPr="005551D7">
        <w:rPr>
          <w:rStyle w:val="StyleUnderline"/>
        </w:rPr>
        <w:t>helped</w:t>
      </w:r>
      <w:r w:rsidRPr="005551D7">
        <w:rPr>
          <w:sz w:val="16"/>
        </w:rPr>
        <w:t xml:space="preserve"> to </w:t>
      </w:r>
      <w:r w:rsidRPr="005551D7">
        <w:rPr>
          <w:rStyle w:val="StyleUnderline"/>
          <w:highlight w:val="green"/>
        </w:rPr>
        <w:t>produce</w:t>
      </w:r>
      <w:r w:rsidRPr="005551D7">
        <w:rPr>
          <w:sz w:val="16"/>
        </w:rPr>
        <w:t xml:space="preserve"> some feelings of </w:t>
      </w:r>
      <w:r w:rsidRPr="005551D7">
        <w:rPr>
          <w:rStyle w:val="StyleUnderline"/>
          <w:highlight w:val="green"/>
        </w:rPr>
        <w:t>unity on Earth</w:t>
      </w:r>
      <w:r w:rsidRPr="005551D7">
        <w:rPr>
          <w:rStyle w:val="StyleUnderline"/>
        </w:rPr>
        <w:t>, with</w:t>
      </w:r>
      <w:r w:rsidRPr="005551D7">
        <w:rPr>
          <w:sz w:val="16"/>
        </w:rPr>
        <w:t xml:space="preserve"> the </w:t>
      </w:r>
      <w:r w:rsidRPr="005551D7">
        <w:rPr>
          <w:rStyle w:val="StyleUnderline"/>
        </w:rPr>
        <w:t>famous</w:t>
      </w:r>
      <w:r w:rsidRPr="005551D7">
        <w:rPr>
          <w:sz w:val="16"/>
        </w:rPr>
        <w:t xml:space="preserve"> “Blue Marble” and “Earthrise” </w:t>
      </w:r>
      <w:r w:rsidRPr="005551D7">
        <w:rPr>
          <w:rStyle w:val="StyleUnderline"/>
        </w:rPr>
        <w:t>pictures</w:t>
      </w:r>
      <w:r w:rsidRPr="005551D7">
        <w:rPr>
          <w:sz w:val="16"/>
        </w:rPr>
        <w:t xml:space="preserve"> showing Earth’s oneness and scientific discoveries supported by space science, such as those related to climate change, </w:t>
      </w:r>
      <w:r w:rsidRPr="005551D7">
        <w:rPr>
          <w:rStyle w:val="StyleUnderline"/>
        </w:rPr>
        <w:t>helping</w:t>
      </w:r>
      <w:r w:rsidRPr="005551D7">
        <w:rPr>
          <w:sz w:val="16"/>
        </w:rPr>
        <w:t xml:space="preserve"> to </w:t>
      </w:r>
      <w:r w:rsidRPr="005551D7">
        <w:rPr>
          <w:rStyle w:val="StyleUnderline"/>
        </w:rPr>
        <w:t>promote international cooperation to address</w:t>
      </w:r>
      <w:r w:rsidRPr="005551D7">
        <w:rPr>
          <w:sz w:val="16"/>
        </w:rPr>
        <w:t xml:space="preserve"> these </w:t>
      </w:r>
      <w:r w:rsidRPr="005551D7">
        <w:rPr>
          <w:rStyle w:val="StyleUnderline"/>
        </w:rPr>
        <w:t>problems</w:t>
      </w:r>
      <w:r w:rsidRPr="005551D7">
        <w:rPr>
          <w:sz w:val="16"/>
        </w:rPr>
        <w:t>.</w:t>
      </w:r>
    </w:p>
    <w:p w14:paraId="5E702640" w14:textId="28E213A6" w:rsidR="00771382" w:rsidRPr="00B658FB" w:rsidRDefault="00771382" w:rsidP="00771382">
      <w:pPr>
        <w:pStyle w:val="Heading3"/>
      </w:pPr>
    </w:p>
    <w:sectPr w:rsidR="00771382" w:rsidRPr="00B658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6375632">
    <w:abstractNumId w:val="10"/>
  </w:num>
  <w:num w:numId="2" w16cid:durableId="575045578">
    <w:abstractNumId w:val="8"/>
  </w:num>
  <w:num w:numId="3" w16cid:durableId="1121459147">
    <w:abstractNumId w:val="7"/>
  </w:num>
  <w:num w:numId="4" w16cid:durableId="907766258">
    <w:abstractNumId w:val="6"/>
  </w:num>
  <w:num w:numId="5" w16cid:durableId="728841619">
    <w:abstractNumId w:val="5"/>
  </w:num>
  <w:num w:numId="6" w16cid:durableId="1617560589">
    <w:abstractNumId w:val="9"/>
  </w:num>
  <w:num w:numId="7" w16cid:durableId="1183938966">
    <w:abstractNumId w:val="4"/>
  </w:num>
  <w:num w:numId="8" w16cid:durableId="1079139351">
    <w:abstractNumId w:val="3"/>
  </w:num>
  <w:num w:numId="9" w16cid:durableId="492720495">
    <w:abstractNumId w:val="2"/>
  </w:num>
  <w:num w:numId="10" w16cid:durableId="484705650">
    <w:abstractNumId w:val="1"/>
  </w:num>
  <w:num w:numId="11" w16cid:durableId="362362378">
    <w:abstractNumId w:val="0"/>
  </w:num>
  <w:num w:numId="12" w16cid:durableId="413476987">
    <w:abstractNumId w:val="11"/>
  </w:num>
  <w:num w:numId="13" w16cid:durableId="8004628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2D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66A3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1A48"/>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382"/>
    <w:rsid w:val="00775694"/>
    <w:rsid w:val="00793F46"/>
    <w:rsid w:val="007A1325"/>
    <w:rsid w:val="007A1A18"/>
    <w:rsid w:val="007A3BAF"/>
    <w:rsid w:val="007A587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593"/>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58E"/>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57B36"/>
    <w:rsid w:val="00B60125"/>
    <w:rsid w:val="00B658FB"/>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373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2D61"/>
    <w:rsid w:val="00D25DBD"/>
    <w:rsid w:val="00D26929"/>
    <w:rsid w:val="00D30CBD"/>
    <w:rsid w:val="00D30D9E"/>
    <w:rsid w:val="00D33908"/>
    <w:rsid w:val="00D354F2"/>
    <w:rsid w:val="00D36C30"/>
    <w:rsid w:val="00D37C90"/>
    <w:rsid w:val="00D43A8C"/>
    <w:rsid w:val="00D53072"/>
    <w:rsid w:val="00D61A4E"/>
    <w:rsid w:val="00D634EA"/>
    <w:rsid w:val="00D709D7"/>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FE898"/>
  <w14:defaultImageDpi w14:val="300"/>
  <w15:docId w15:val="{CC495A1D-0F3D-034E-BAA1-CEF50052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2D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22D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22D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2D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D22D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2D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D61"/>
  </w:style>
  <w:style w:type="character" w:customStyle="1" w:styleId="Heading1Char">
    <w:name w:val="Heading 1 Char"/>
    <w:aliases w:val="Pocket Char"/>
    <w:basedOn w:val="DefaultParagraphFont"/>
    <w:link w:val="Heading1"/>
    <w:uiPriority w:val="9"/>
    <w:rsid w:val="00D22D6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22D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2D6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D22D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2D61"/>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D22D6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D22D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22D6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NoSpacing"/>
    <w:uiPriority w:val="99"/>
    <w:unhideWhenUsed/>
    <w:rsid w:val="00D22D61"/>
    <w:rPr>
      <w:color w:val="auto"/>
      <w:u w:val="none"/>
    </w:rPr>
  </w:style>
  <w:style w:type="paragraph" w:styleId="DocumentMap">
    <w:name w:val="Document Map"/>
    <w:basedOn w:val="Normal"/>
    <w:link w:val="DocumentMapChar"/>
    <w:uiPriority w:val="99"/>
    <w:semiHidden/>
    <w:unhideWhenUsed/>
    <w:rsid w:val="00D22D6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22D61"/>
    <w:rPr>
      <w:rFonts w:ascii="Lucida Grande" w:hAnsi="Lucida Grande" w:cs="Lucida Grande"/>
      <w:sz w:val="22"/>
    </w:rPr>
  </w:style>
  <w:style w:type="paragraph" w:customStyle="1" w:styleId="Emphasis1">
    <w:name w:val="Emphasis1"/>
    <w:basedOn w:val="Normal"/>
    <w:link w:val="Emphasis"/>
    <w:autoRedefine/>
    <w:uiPriority w:val="20"/>
    <w:qFormat/>
    <w:rsid w:val="00D22D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112,No Spacing2,Tag and Cite,Medium Grid 21,No Spacing31,No Spacing22,No Spacing3,Dont use,No Spacing41,No Spacing111112,Note Level 2,No Spacing23,tag,nonunderlined,Clear,Card,No Spacing111111,No Spacing1111,card,Tag1"/>
    <w:basedOn w:val="Heading1"/>
    <w:link w:val="Hyperlink"/>
    <w:autoRedefine/>
    <w:uiPriority w:val="99"/>
    <w:qFormat/>
    <w:rsid w:val="00641A4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71382"/>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771382"/>
    <w:rPr>
      <w:rFonts w:asciiTheme="majorHAnsi" w:eastAsiaTheme="majorEastAsia" w:hAnsiTheme="majorHAnsi" w:cstheme="majorBidi"/>
      <w:i/>
      <w:iCs/>
      <w:color w:val="365F91" w:themeColor="accent1" w:themeShade="BF"/>
      <w:sz w:val="22"/>
      <w:szCs w:val="22"/>
    </w:rPr>
  </w:style>
  <w:style w:type="paragraph" w:customStyle="1" w:styleId="msonormal0">
    <w:name w:val="msonormal"/>
    <w:basedOn w:val="Normal"/>
    <w:rsid w:val="00771382"/>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aliases w:val="6 font,Colorful List - Accent 11"/>
    <w:basedOn w:val="Normal"/>
    <w:uiPriority w:val="99"/>
    <w:qFormat/>
    <w:rsid w:val="00771382"/>
    <w:pPr>
      <w:ind w:left="720"/>
      <w:contextualSpacing/>
    </w:p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771382"/>
    <w:rPr>
      <w:u w:val="single"/>
    </w:rPr>
  </w:style>
  <w:style w:type="paragraph" w:styleId="Title">
    <w:name w:val="Title"/>
    <w:aliases w:val="title,UNDERLINE,Cites and Cards,Bold Underlined,Read This,Block Heading,Debate Normal"/>
    <w:basedOn w:val="Normal"/>
    <w:next w:val="Normal"/>
    <w:link w:val="TitleChar"/>
    <w:qFormat/>
    <w:rsid w:val="00771382"/>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77138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ctionary.com/browse/unju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ju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spacereview.com/article/3450/1"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16</Pages>
  <Words>6618</Words>
  <Characters>37725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10</cp:revision>
  <dcterms:created xsi:type="dcterms:W3CDTF">2022-04-23T17:05:00Z</dcterms:created>
  <dcterms:modified xsi:type="dcterms:W3CDTF">2022-04-23T17:49:00Z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