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3B51C" w14:textId="55523B17" w:rsidR="00E42E4C" w:rsidRDefault="00A85028" w:rsidP="00A05398">
      <w:pPr>
        <w:pStyle w:val="Heading1"/>
      </w:pPr>
      <w:r>
        <w:t>A Tribute to Don</w:t>
      </w:r>
    </w:p>
    <w:p w14:paraId="7144433D" w14:textId="474E8D31" w:rsidR="00A05398" w:rsidRDefault="00A05398" w:rsidP="00A05398">
      <w:pPr>
        <w:pStyle w:val="Heading3"/>
      </w:pPr>
      <w:r>
        <w:lastRenderedPageBreak/>
        <w:t>1</w:t>
      </w:r>
    </w:p>
    <w:p w14:paraId="1CAC9C97" w14:textId="37C7B67A" w:rsidR="00A05398" w:rsidRDefault="00A05398" w:rsidP="00A05398">
      <w:pPr>
        <w:pStyle w:val="Heading4"/>
      </w:pPr>
      <w:r>
        <w:t>Text: The People’s Republic of China ought to establish a universal basic income at 7,000 yuan a month to all legal adults</w:t>
      </w:r>
    </w:p>
    <w:p w14:paraId="05E38AB5" w14:textId="2A7D3760" w:rsidR="00A05398" w:rsidRDefault="00A05398" w:rsidP="00A05398">
      <w:pPr>
        <w:pStyle w:val="Heading4"/>
      </w:pPr>
      <w:r>
        <w:t>Boosts GDP, labor force participation, prices, and wages, and solves inequality.</w:t>
      </w:r>
    </w:p>
    <w:p w14:paraId="054CFF46" w14:textId="77777777" w:rsidR="00A05398" w:rsidRPr="005441F9" w:rsidRDefault="00A05398" w:rsidP="00A05398">
      <w:r w:rsidRPr="005441F9">
        <w:t xml:space="preserve">Michalis </w:t>
      </w:r>
      <w:proofErr w:type="spellStart"/>
      <w:r w:rsidRPr="005441F9">
        <w:rPr>
          <w:rStyle w:val="Style13ptBold"/>
        </w:rPr>
        <w:t>Nikiforos</w:t>
      </w:r>
      <w:proofErr w:type="spellEnd"/>
      <w:r w:rsidRPr="005441F9">
        <w:t xml:space="preserve">, Marshall </w:t>
      </w:r>
      <w:proofErr w:type="spellStart"/>
      <w:r w:rsidRPr="005441F9">
        <w:rPr>
          <w:rStyle w:val="Style13ptBold"/>
        </w:rPr>
        <w:t>Steinbaum</w:t>
      </w:r>
      <w:proofErr w:type="spellEnd"/>
      <w:r w:rsidRPr="005441F9">
        <w:t xml:space="preserve">, </w:t>
      </w:r>
      <w:r w:rsidRPr="005441F9">
        <w:rPr>
          <w:rStyle w:val="Style13ptBold"/>
        </w:rPr>
        <w:t>and</w:t>
      </w:r>
      <w:r>
        <w:t xml:space="preserve"> </w:t>
      </w:r>
      <w:r w:rsidRPr="005441F9">
        <w:t xml:space="preserve">Gennaro </w:t>
      </w:r>
      <w:proofErr w:type="spellStart"/>
      <w:r w:rsidRPr="005441F9">
        <w:rPr>
          <w:rStyle w:val="Style13ptBold"/>
        </w:rPr>
        <w:t>Zezza</w:t>
      </w:r>
      <w:proofErr w:type="spellEnd"/>
      <w:r w:rsidRPr="005441F9">
        <w:rPr>
          <w:rStyle w:val="Style13ptBold"/>
        </w:rPr>
        <w:t xml:space="preserve"> 17</w:t>
      </w:r>
      <w:r w:rsidRPr="005441F9">
        <w:t>,</w:t>
      </w:r>
      <w:r>
        <w:t xml:space="preserve"> </w:t>
      </w:r>
      <w:r w:rsidRPr="005441F9">
        <w:t xml:space="preserve">Michalis </w:t>
      </w:r>
      <w:proofErr w:type="spellStart"/>
      <w:r w:rsidRPr="005441F9">
        <w:t>Nikiforos</w:t>
      </w:r>
      <w:proofErr w:type="spellEnd"/>
      <w:r w:rsidRPr="005441F9">
        <w:t xml:space="preserve"> is a research scholar working in the State of the US and World Economies program</w:t>
      </w:r>
      <w:r>
        <w:t xml:space="preserve">, </w:t>
      </w:r>
      <w:r w:rsidRPr="005441F9">
        <w:t xml:space="preserve">Marshall </w:t>
      </w:r>
      <w:proofErr w:type="spellStart"/>
      <w:r w:rsidRPr="005441F9">
        <w:t>Steinbaum</w:t>
      </w:r>
      <w:proofErr w:type="spellEnd"/>
      <w:r w:rsidRPr="005441F9">
        <w:t xml:space="preserve"> is Research Director and a Fellow at the Roosevelt Institute</w:t>
      </w:r>
      <w:r>
        <w:t xml:space="preserve">, </w:t>
      </w:r>
      <w:r w:rsidRPr="005441F9">
        <w:t xml:space="preserve">Gennaro </w:t>
      </w:r>
      <w:proofErr w:type="spellStart"/>
      <w:r w:rsidRPr="005441F9">
        <w:t>Zezza</w:t>
      </w:r>
      <w:proofErr w:type="spellEnd"/>
      <w:r w:rsidRPr="005441F9">
        <w:t xml:space="preserve"> is an associate professor of economics at the University of Cassino, Italy</w:t>
      </w:r>
      <w:r>
        <w:t>,</w:t>
      </w:r>
      <w:r w:rsidRPr="005441F9">
        <w:t xml:space="preserve"> 8-29-2017, "Modeling the Macroeconomic Effects of a Universal Basic Income," Roosevelt Institute, http://rooseveltinstitute.org/modeling-macroeconomic-effects-ubi/</w:t>
      </w:r>
      <w:r>
        <w:t>/HM</w:t>
      </w:r>
    </w:p>
    <w:p w14:paraId="75E9D8C6" w14:textId="77777777" w:rsidR="00A05398" w:rsidRPr="003B29B6" w:rsidRDefault="00A05398" w:rsidP="00A05398">
      <w:pPr>
        <w:rPr>
          <w:rStyle w:val="Emphasis"/>
        </w:rPr>
      </w:pPr>
      <w:r w:rsidRPr="00EF3B04">
        <w:rPr>
          <w:u w:val="single"/>
        </w:rPr>
        <w:t>How would</w:t>
      </w:r>
      <w:r w:rsidRPr="005441F9">
        <w:rPr>
          <w:sz w:val="12"/>
        </w:rPr>
        <w:t xml:space="preserve"> a massive federal spending program like </w:t>
      </w:r>
      <w:r w:rsidRPr="00EF3B04">
        <w:rPr>
          <w:u w:val="single"/>
        </w:rPr>
        <w:t>a universal basic income</w:t>
      </w:r>
      <w:r w:rsidRPr="005441F9">
        <w:rPr>
          <w:sz w:val="12"/>
        </w:rPr>
        <w:t xml:space="preserve"> (UBI) </w:t>
      </w:r>
      <w:r w:rsidRPr="00EF3B04">
        <w:rPr>
          <w:u w:val="single"/>
        </w:rPr>
        <w:t>affect the</w:t>
      </w:r>
      <w:r w:rsidRPr="005441F9">
        <w:rPr>
          <w:sz w:val="12"/>
        </w:rPr>
        <w:t xml:space="preserve"> macro</w:t>
      </w:r>
      <w:r w:rsidRPr="00EF3B04">
        <w:rPr>
          <w:u w:val="single"/>
        </w:rPr>
        <w:t>economy?</w:t>
      </w:r>
      <w:r w:rsidRPr="005441F9">
        <w:rPr>
          <w:sz w:val="12"/>
        </w:rPr>
        <w:t xml:space="preserve"> </w:t>
      </w:r>
      <w:r w:rsidRPr="00EF3B04">
        <w:rPr>
          <w:u w:val="single"/>
        </w:rPr>
        <w:t>We use the Levy Institute</w:t>
      </w:r>
      <w:r w:rsidRPr="005441F9">
        <w:rPr>
          <w:sz w:val="12"/>
        </w:rPr>
        <w:t xml:space="preserve"> </w:t>
      </w:r>
      <w:proofErr w:type="spellStart"/>
      <w:r w:rsidRPr="005441F9">
        <w:rPr>
          <w:sz w:val="12"/>
        </w:rPr>
        <w:t>macroeconometric</w:t>
      </w:r>
      <w:proofErr w:type="spellEnd"/>
      <w:r w:rsidRPr="005441F9">
        <w:rPr>
          <w:sz w:val="12"/>
        </w:rPr>
        <w:t xml:space="preserve"> </w:t>
      </w:r>
      <w:r w:rsidRPr="00EF3B04">
        <w:rPr>
          <w:u w:val="single"/>
        </w:rPr>
        <w:t>model to estimate the impact</w:t>
      </w:r>
      <w:r w:rsidRPr="005441F9">
        <w:rPr>
          <w:sz w:val="12"/>
        </w:rPr>
        <w:t xml:space="preserve"> of three versions of such an unconditional cash assistance program over an eight-year time horizon. Overall, </w:t>
      </w:r>
      <w:r w:rsidRPr="00EF3B04">
        <w:rPr>
          <w:u w:val="single"/>
        </w:rPr>
        <w:t>we find that the economy</w:t>
      </w:r>
      <w:r w:rsidRPr="005441F9">
        <w:rPr>
          <w:sz w:val="12"/>
        </w:rPr>
        <w:t xml:space="preserve"> can not only withstand large increases in federal spending, but </w:t>
      </w:r>
      <w:r w:rsidRPr="00EF3B04">
        <w:rPr>
          <w:u w:val="single"/>
        </w:rPr>
        <w:t>could</w:t>
      </w:r>
      <w:r w:rsidRPr="005441F9">
        <w:rPr>
          <w:sz w:val="12"/>
        </w:rPr>
        <w:t xml:space="preserve"> also </w:t>
      </w:r>
      <w:r w:rsidRPr="005441F9">
        <w:rPr>
          <w:rStyle w:val="StyleUnderline"/>
        </w:rPr>
        <w:t>grow</w:t>
      </w:r>
      <w:r w:rsidRPr="00EF3B04">
        <w:rPr>
          <w:u w:val="single"/>
        </w:rPr>
        <w:t xml:space="preserve"> thanks to the stimulative effects of cash</w:t>
      </w:r>
      <w:r>
        <w:rPr>
          <w:u w:val="single"/>
        </w:rPr>
        <w:t xml:space="preserve"> </w:t>
      </w:r>
      <w:r w:rsidRPr="00EF3B04">
        <w:rPr>
          <w:u w:val="single"/>
        </w:rPr>
        <w:t>transfers on the economy.</w:t>
      </w:r>
      <w:r>
        <w:rPr>
          <w:u w:val="single"/>
        </w:rPr>
        <w:t xml:space="preserve"> </w:t>
      </w:r>
      <w:r w:rsidRPr="00EF3B04">
        <w:rPr>
          <w:u w:val="single"/>
        </w:rPr>
        <w:t>We examine</w:t>
      </w:r>
      <w:r w:rsidRPr="005441F9">
        <w:rPr>
          <w:sz w:val="12"/>
        </w:rPr>
        <w:t xml:space="preserve"> three versions of unconditional cash transfers: </w:t>
      </w:r>
      <w:r w:rsidRPr="003B29B6">
        <w:rPr>
          <w:rStyle w:val="Emphasis"/>
          <w:highlight w:val="cyan"/>
        </w:rPr>
        <w:t>$1,000 a month to all adults</w:t>
      </w:r>
      <w:r w:rsidRPr="005441F9">
        <w:rPr>
          <w:sz w:val="12"/>
        </w:rPr>
        <w:t xml:space="preserve">, $500 a month to all adults, and a $250 a month child allowance. For each of the three versions, we model the macroeconomic effects of these transfers using two different financing plans - increasing the federal debt, or fully funding the increased spending with increased taxes on households - and compare the effects to the Levy model’s baseline growth rate forecast. </w:t>
      </w:r>
      <w:r w:rsidRPr="00EF3B04">
        <w:rPr>
          <w:u w:val="single"/>
        </w:rPr>
        <w:t>Our findings include the following</w:t>
      </w:r>
      <w:r w:rsidRPr="005441F9">
        <w:rPr>
          <w:sz w:val="12"/>
        </w:rPr>
        <w:t xml:space="preserve">: • For all three designs, </w:t>
      </w:r>
      <w:r w:rsidRPr="00EF3B04">
        <w:rPr>
          <w:u w:val="single"/>
        </w:rPr>
        <w:t xml:space="preserve">enacting a UBI and paying for it by increasing the federal debt </w:t>
      </w:r>
      <w:r w:rsidRPr="003B29B6">
        <w:rPr>
          <w:rStyle w:val="Emphasis"/>
          <w:highlight w:val="cyan"/>
        </w:rPr>
        <w:t>would grow the economy</w:t>
      </w:r>
      <w:r w:rsidRPr="00EF3B04">
        <w:rPr>
          <w:u w:val="single"/>
        </w:rPr>
        <w:t>.</w:t>
      </w:r>
      <w:r>
        <w:rPr>
          <w:u w:val="single"/>
        </w:rPr>
        <w:t xml:space="preserve"> </w:t>
      </w:r>
      <w:r w:rsidRPr="005441F9">
        <w:rPr>
          <w:sz w:val="12"/>
        </w:rPr>
        <w:t xml:space="preserve">Under the smallest spending scenario, $250 per month for each child, GDP is 0.79% larger than under the baseline forecast after eight years. </w:t>
      </w:r>
      <w:r w:rsidRPr="00EF3B04">
        <w:rPr>
          <w:u w:val="single"/>
        </w:rPr>
        <w:t>According to the Levy Model,</w:t>
      </w:r>
      <w:r w:rsidRPr="005441F9">
        <w:rPr>
          <w:sz w:val="12"/>
        </w:rPr>
        <w:t xml:space="preserve"> the largest cash program - </w:t>
      </w:r>
      <w:r w:rsidRPr="00EF3B04">
        <w:rPr>
          <w:u w:val="single"/>
        </w:rPr>
        <w:t>$</w:t>
      </w:r>
      <w:r w:rsidRPr="003B29B6">
        <w:rPr>
          <w:rStyle w:val="Emphasis"/>
          <w:highlight w:val="cyan"/>
        </w:rPr>
        <w:t>1,000 for all adults annually - expands the economy by 12.56% over the baseline after eight years. After eight years of enactment, the stimulative effects of the program dissipate and GDP growth returns to the baseline forecast, but the level of output remains permanently higher</w:t>
      </w:r>
      <w:r w:rsidRPr="005441F9">
        <w:rPr>
          <w:sz w:val="12"/>
        </w:rPr>
        <w:t xml:space="preserve">. • When paying for the policy by increasing taxes on households, the Levy model forecasts no effect on the economy. In effect, it gives to households with one hand what it is takes away with the other. • However, when the model is adapted to include distributional effects, the economy grows, even in the </w:t>
      </w:r>
      <w:proofErr w:type="spellStart"/>
      <w:r w:rsidRPr="005441F9">
        <w:rPr>
          <w:sz w:val="12"/>
        </w:rPr>
        <w:t>taxfinanced</w:t>
      </w:r>
      <w:proofErr w:type="spellEnd"/>
      <w:r w:rsidRPr="005441F9">
        <w:rPr>
          <w:sz w:val="12"/>
        </w:rPr>
        <w:t xml:space="preserve"> scenarios. This occurs because the distributional model incorporates the idea that </w:t>
      </w:r>
      <w:r w:rsidRPr="003B29B6">
        <w:rPr>
          <w:rStyle w:val="Emphasis"/>
          <w:highlight w:val="cyan"/>
        </w:rPr>
        <w:t>an extra dollar in the hands of lower income households leads to higher spending</w:t>
      </w:r>
      <w:r w:rsidRPr="005441F9">
        <w:rPr>
          <w:sz w:val="12"/>
        </w:rPr>
        <w:t xml:space="preserve">. In other words, the households that pay more in taxes than they receive in cash assistance have a low propensity to consume, and </w:t>
      </w:r>
      <w:r w:rsidRPr="00EF3B04">
        <w:rPr>
          <w:u w:val="single"/>
        </w:rPr>
        <w:t>those that receive more in assistance</w:t>
      </w:r>
      <w:r>
        <w:rPr>
          <w:u w:val="single"/>
        </w:rPr>
        <w:t xml:space="preserve"> </w:t>
      </w:r>
      <w:r w:rsidRPr="003B29B6">
        <w:rPr>
          <w:rStyle w:val="Emphasis"/>
          <w:highlight w:val="cyan"/>
        </w:rPr>
        <w:t>than they pay in taxes have a high propensity to consume</w:t>
      </w:r>
      <w:r w:rsidRPr="005441F9">
        <w:rPr>
          <w:sz w:val="12"/>
        </w:rPr>
        <w:t xml:space="preserve">. Thus, even when the policy is tax- rather than </w:t>
      </w:r>
      <w:proofErr w:type="spellStart"/>
      <w:r w:rsidRPr="005441F9">
        <w:rPr>
          <w:sz w:val="12"/>
        </w:rPr>
        <w:t>debtfinanced</w:t>
      </w:r>
      <w:proofErr w:type="spellEnd"/>
      <w:r w:rsidRPr="005441F9">
        <w:rPr>
          <w:sz w:val="12"/>
        </w:rPr>
        <w:t xml:space="preserve">, there is an increase in output, employment, prices, and wages. Levy’s Keynesian model incorporates a series of assumptions based on rigorous empirical studies of the micro and macro effects of unconditional cash transfers, taxation and government net spending and borrowing (see Marinescu (2017), Mason (2017), </w:t>
      </w:r>
      <w:proofErr w:type="spellStart"/>
      <w:r w:rsidRPr="005441F9">
        <w:rPr>
          <w:sz w:val="12"/>
        </w:rPr>
        <w:t>Coibion</w:t>
      </w:r>
      <w:proofErr w:type="spellEnd"/>
      <w:r w:rsidRPr="005441F9">
        <w:rPr>
          <w:sz w:val="12"/>
        </w:rPr>
        <w:t xml:space="preserve"> et al (2017), and </w:t>
      </w:r>
      <w:proofErr w:type="spellStart"/>
      <w:r w:rsidRPr="005441F9">
        <w:rPr>
          <w:sz w:val="12"/>
        </w:rPr>
        <w:t>Konczal</w:t>
      </w:r>
      <w:proofErr w:type="spellEnd"/>
      <w:r w:rsidRPr="005441F9">
        <w:rPr>
          <w:sz w:val="12"/>
        </w:rPr>
        <w:t xml:space="preserve"> and </w:t>
      </w:r>
      <w:proofErr w:type="spellStart"/>
      <w:r w:rsidRPr="005441F9">
        <w:rPr>
          <w:sz w:val="12"/>
        </w:rPr>
        <w:t>Steinbaum</w:t>
      </w:r>
      <w:proofErr w:type="spellEnd"/>
      <w:r w:rsidRPr="005441F9">
        <w:rPr>
          <w:sz w:val="12"/>
        </w:rPr>
        <w:t xml:space="preserve"> (2016)). Fundamentally, </w:t>
      </w:r>
      <w:r w:rsidRPr="003B29B6">
        <w:rPr>
          <w:rStyle w:val="Emphasis"/>
          <w:highlight w:val="cyan"/>
        </w:rPr>
        <w:t>the larger the size of the UBI, the larger the increase in aggregate demand and thus the larger the resulting economy is</w:t>
      </w:r>
      <w:r w:rsidRPr="005441F9">
        <w:rPr>
          <w:sz w:val="12"/>
        </w:rPr>
        <w:t xml:space="preserve">. The individual macroeconomic indicators are (qualitatively) what one would predict given an increase in aggregate demand: </w:t>
      </w:r>
      <w:r w:rsidRPr="003B29B6">
        <w:rPr>
          <w:rStyle w:val="Emphasis"/>
          <w:highlight w:val="cyan"/>
        </w:rPr>
        <w:t>in addition to the increase in output, employment, labor force participation, prices, and wages all go up as well</w:t>
      </w:r>
      <w:r w:rsidRPr="005441F9">
        <w:rPr>
          <w:sz w:val="12"/>
        </w:rPr>
        <w:t xml:space="preserve">. Even in a deficit-financed policy, an increase in the government’s liabilities is mitigated by the increase in aggregate demand. Specifically, the Levy model assumes that the economy is not currently operating near potential output (Mason </w:t>
      </w:r>
      <w:r w:rsidRPr="005441F9">
        <w:rPr>
          <w:sz w:val="12"/>
        </w:rPr>
        <w:lastRenderedPageBreak/>
        <w:t xml:space="preserve">2017) and makes two related microeconomic assumptions: (1) unconditional cash transfers do not reduce household labor supply; and (2) increasing government revenue by increasing taxes levied on households does not change household behavior. Other macroeconomic models would make different, likely less optimistic forecasts, because they would disagree with these assumptions. Estimating the macroeconomic </w:t>
      </w:r>
      <w:r w:rsidRPr="003B29B6">
        <w:rPr>
          <w:rStyle w:val="Emphasis"/>
          <w:highlight w:val="cyan"/>
        </w:rPr>
        <w:t>effects of UBI</w:t>
      </w:r>
      <w:r w:rsidRPr="005441F9">
        <w:rPr>
          <w:sz w:val="12"/>
        </w:rPr>
        <w:t xml:space="preserve"> is a critical component of any policy evaluation, because what would appear to be a zero-sum transfer in static terms (money is simply transferred from some households to others) </w:t>
      </w:r>
      <w:r w:rsidRPr="003B29B6">
        <w:rPr>
          <w:rStyle w:val="Emphasis"/>
          <w:highlight w:val="cyan"/>
        </w:rPr>
        <w:t>turns out to be positive sum in the macro simulation, thanks to the increase in aggregate demand and therefore in the size of the economy.</w:t>
      </w:r>
    </w:p>
    <w:p w14:paraId="73CA6294" w14:textId="3C6F33B0" w:rsidR="00726FC1" w:rsidRDefault="00A85028" w:rsidP="00726FC1">
      <w:pPr>
        <w:pStyle w:val="Heading3"/>
      </w:pPr>
      <w:r>
        <w:lastRenderedPageBreak/>
        <w:t>2</w:t>
      </w:r>
    </w:p>
    <w:p w14:paraId="53A0B4EF" w14:textId="77777777" w:rsidR="004D2568" w:rsidRPr="004A5090" w:rsidRDefault="004D2568" w:rsidP="004D2568">
      <w:pPr>
        <w:pStyle w:val="Heading4"/>
        <w:rPr>
          <w:rFonts w:cs="Calibri"/>
        </w:rPr>
      </w:pPr>
      <w:r w:rsidRPr="004A5090">
        <w:rPr>
          <w:rFonts w:cs="Calibri"/>
        </w:rPr>
        <w:t>Interpretation: the affirmative may not spec a government</w:t>
      </w:r>
    </w:p>
    <w:p w14:paraId="574A1255" w14:textId="77777777" w:rsidR="004D2568" w:rsidRPr="004A5090" w:rsidRDefault="004D2568" w:rsidP="004D2568">
      <w:pPr>
        <w:pStyle w:val="Heading4"/>
        <w:rPr>
          <w:rFonts w:cs="Calibri"/>
        </w:rPr>
      </w:pPr>
      <w:r w:rsidRPr="004A5090">
        <w:rPr>
          <w:rFonts w:cs="Calibri"/>
        </w:rPr>
        <w:t>1] The letter “A” is an indefinite article that modifies “just government” – the resolution must be proven true in all instances, not one particular instance</w:t>
      </w:r>
    </w:p>
    <w:p w14:paraId="4FAE3B18" w14:textId="77777777" w:rsidR="004D2568" w:rsidRPr="004A5090" w:rsidRDefault="004D2568" w:rsidP="004D2568">
      <w:r w:rsidRPr="004A5090">
        <w:rPr>
          <w:rStyle w:val="Style13ptBold"/>
        </w:rPr>
        <w:t>CCC ND</w:t>
      </w:r>
      <w:r w:rsidRPr="004A5090">
        <w:t xml:space="preserve"> </w:t>
      </w:r>
      <w:r w:rsidRPr="004A5090">
        <w:rPr>
          <w:szCs w:val="16"/>
        </w:rPr>
        <w:t xml:space="preserve">Capital Community College [a nonprofit 501 c-3 organization that supports scholarships, faculty development, and curriculum innovation], “Articles, Determiners, and Quantifiers”, </w:t>
      </w:r>
      <w:r w:rsidRPr="004A5090">
        <w:rPr>
          <w:rStyle w:val="Hyperlink"/>
          <w:szCs w:val="16"/>
        </w:rPr>
        <w:t>http://grammar.ccc.commnet.edu/grammar/determiners/determiners.htm#articles</w:t>
      </w:r>
      <w:r w:rsidRPr="004A5090">
        <w:rPr>
          <w:szCs w:val="16"/>
        </w:rPr>
        <w:t xml:space="preserve"> AG</w:t>
      </w:r>
    </w:p>
    <w:p w14:paraId="6A1DD6FE" w14:textId="77777777" w:rsidR="004D2568" w:rsidRPr="004A5090" w:rsidRDefault="004D2568" w:rsidP="004D2568">
      <w:pPr>
        <w:rPr>
          <w:rStyle w:val="Emphasis"/>
          <w:highlight w:val="green"/>
        </w:rPr>
      </w:pPr>
      <w:r w:rsidRPr="004A5090">
        <w:rPr>
          <w:rStyle w:val="StyleUnderline"/>
          <w:highlight w:val="green"/>
        </w:rPr>
        <w:t>The</w:t>
      </w:r>
      <w:r w:rsidRPr="004A5090">
        <w:t xml:space="preserve"> three </w:t>
      </w:r>
      <w:r w:rsidRPr="004A5090">
        <w:rPr>
          <w:rStyle w:val="StyleUnderline"/>
          <w:highlight w:val="green"/>
        </w:rPr>
        <w:t>article</w:t>
      </w:r>
      <w:r w:rsidRPr="004A5090">
        <w:t xml:space="preserve">s — </w:t>
      </w:r>
      <w:r w:rsidRPr="004A5090">
        <w:rPr>
          <w:rStyle w:val="StyleUnderline"/>
          <w:highlight w:val="green"/>
        </w:rPr>
        <w:t>a</w:t>
      </w:r>
      <w:r w:rsidRPr="004A5090">
        <w:t xml:space="preserve">, an, the — </w:t>
      </w:r>
      <w:r w:rsidRPr="004A5090">
        <w:rPr>
          <w:rStyle w:val="StyleUnderline"/>
          <w:highlight w:val="green"/>
        </w:rPr>
        <w:t>are</w:t>
      </w:r>
      <w:r w:rsidRPr="004A5090">
        <w:rPr>
          <w:rStyle w:val="StyleUnderline"/>
        </w:rPr>
        <w:t xml:space="preserve"> a</w:t>
      </w:r>
      <w:r w:rsidRPr="004A5090">
        <w:t xml:space="preserve"> kind of </w:t>
      </w:r>
      <w:r w:rsidRPr="004A5090">
        <w:rPr>
          <w:rStyle w:val="StyleUnderline"/>
        </w:rPr>
        <w:t>adjective</w:t>
      </w:r>
      <w:r w:rsidRPr="004A5090">
        <w:t xml:space="preserve">. The is called the definite article because it usually precedes a specific or previously mentioned noun; </w:t>
      </w:r>
      <w:r w:rsidRPr="004A5090">
        <w:rPr>
          <w:rStyle w:val="StyleUnderline"/>
        </w:rPr>
        <w:t>a and an are</w:t>
      </w:r>
      <w:r w:rsidRPr="004A5090">
        <w:t xml:space="preserve"> called </w:t>
      </w:r>
      <w:r w:rsidRPr="004A5090">
        <w:rPr>
          <w:rStyle w:val="StyleUnderline"/>
          <w:highlight w:val="green"/>
        </w:rPr>
        <w:t xml:space="preserve">indefinite </w:t>
      </w:r>
      <w:r w:rsidRPr="004A5090">
        <w:rPr>
          <w:rStyle w:val="StyleUnderline"/>
        </w:rPr>
        <w:t>articles</w:t>
      </w:r>
      <w:r w:rsidRPr="004A5090">
        <w:t xml:space="preserve"> because </w:t>
      </w:r>
      <w:r w:rsidRPr="004A5090">
        <w:rPr>
          <w:rStyle w:val="StyleUnderline"/>
        </w:rPr>
        <w:t xml:space="preserve">they are </w:t>
      </w:r>
      <w:r w:rsidRPr="004A5090">
        <w:rPr>
          <w:rStyle w:val="StyleUnderline"/>
          <w:highlight w:val="green"/>
        </w:rPr>
        <w:t xml:space="preserve">used to refer to something in a </w:t>
      </w:r>
      <w:r w:rsidRPr="004A5090">
        <w:rPr>
          <w:rStyle w:val="Emphasis"/>
          <w:highlight w:val="green"/>
        </w:rPr>
        <w:t>less specific manner</w:t>
      </w:r>
      <w:r w:rsidRPr="004A5090">
        <w:t xml:space="preserve"> (an unspecified count noun). These words are also listed among the noun markers or determiners because they are almost invariably followed by a noun (or something else acting as a noun). caution </w:t>
      </w:r>
      <w:proofErr w:type="spellStart"/>
      <w:r w:rsidRPr="004A5090">
        <w:t>CAUTION</w:t>
      </w:r>
      <w:proofErr w:type="spellEnd"/>
      <w:r w:rsidRPr="004A5090">
        <w:t xml:space="preserve">! Even after you learn all the principles behind the use of these articles, you will find an abundance of situations </w:t>
      </w:r>
      <w:proofErr w:type="gramStart"/>
      <w:r w:rsidRPr="004A5090">
        <w:t>where</w:t>
      </w:r>
      <w:proofErr w:type="gramEnd"/>
      <w:r w:rsidRPr="004A5090">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4A5090">
        <w:t>below..</w:t>
      </w:r>
      <w:proofErr w:type="gramEnd"/>
      <w:r w:rsidRPr="004A5090">
        <w:t xml:space="preserve">) If you would like help with the distinction between count and non-count nouns, please refer to Count and Non-Count Nouns. We use a before singular count-nouns that begin with consonants (a cow, a barn, a sheep); we use </w:t>
      </w:r>
      <w:proofErr w:type="gramStart"/>
      <w:r w:rsidRPr="004A5090">
        <w:t>an</w:t>
      </w:r>
      <w:proofErr w:type="gramEnd"/>
      <w:r w:rsidRPr="004A5090">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4A5090">
        <w:t>an</w:t>
      </w:r>
      <w:proofErr w:type="spellEnd"/>
      <w:r w:rsidRPr="004A5090">
        <w:t xml:space="preserve"> (as in an hour, an honor). We would say a useful device and a union matter because the u of those words actually sounds like </w:t>
      </w:r>
      <w:proofErr w:type="spellStart"/>
      <w:r w:rsidRPr="004A5090">
        <w:t>yoo</w:t>
      </w:r>
      <w:proofErr w:type="spellEnd"/>
      <w:r w:rsidRPr="004A5090">
        <w:t xml:space="preserve"> (as opposed, say, to the u of an ugly incident). The same is true of a European and a Euro (because of that consonantal "</w:t>
      </w:r>
      <w:proofErr w:type="spellStart"/>
      <w:r w:rsidRPr="004A5090">
        <w:t>Yoo</w:t>
      </w:r>
      <w:proofErr w:type="spellEnd"/>
      <w:r w:rsidRPr="004A5090">
        <w:t xml:space="preserve">" sound). We would say a once-in-a-lifetime experience or a one-time hero because the words once and one begin with a w sound (as if they were spelled </w:t>
      </w:r>
      <w:proofErr w:type="spellStart"/>
      <w:r w:rsidRPr="004A5090">
        <w:t>wuntz</w:t>
      </w:r>
      <w:proofErr w:type="spellEnd"/>
      <w:r w:rsidRPr="004A5090">
        <w:t xml:space="preserve"> and won). Merriam-Webster's </w:t>
      </w:r>
      <w:r w:rsidRPr="004A5090">
        <w:lastRenderedPageBreak/>
        <w:t xml:space="preserve">Dictionary says that we can use </w:t>
      </w:r>
      <w:proofErr w:type="gramStart"/>
      <w:r w:rsidRPr="004A5090">
        <w:t>an</w:t>
      </w:r>
      <w:proofErr w:type="gramEnd"/>
      <w:r w:rsidRPr="004A5090">
        <w:t xml:space="preserve"> before an h- word that begins with an unstressed syllable. Thus, we might say an </w:t>
      </w:r>
      <w:proofErr w:type="spellStart"/>
      <w:r w:rsidRPr="004A5090">
        <w:t>hisTORical</w:t>
      </w:r>
      <w:proofErr w:type="spellEnd"/>
      <w:r w:rsidRPr="004A5090">
        <w:t xml:space="preserve"> moment, but we would say a </w:t>
      </w:r>
      <w:proofErr w:type="spellStart"/>
      <w:r w:rsidRPr="004A5090">
        <w:t>HIStory</w:t>
      </w:r>
      <w:proofErr w:type="spellEnd"/>
      <w:r w:rsidRPr="004A5090">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4A5090">
        <w:rPr>
          <w:rStyle w:val="StyleUnderline"/>
        </w:rPr>
        <w:t>We</w:t>
      </w:r>
      <w:r w:rsidRPr="004A5090">
        <w:t xml:space="preserve"> can </w:t>
      </w:r>
      <w:r w:rsidRPr="004A5090">
        <w:rPr>
          <w:rStyle w:val="StyleUnderline"/>
        </w:rPr>
        <w:t>refer to something in a generic way</w:t>
      </w:r>
      <w:r w:rsidRPr="004A5090">
        <w:t xml:space="preserve"> </w:t>
      </w:r>
      <w:r w:rsidRPr="004A5090">
        <w:rPr>
          <w:rStyle w:val="StyleUnderline"/>
        </w:rPr>
        <w:t>by</w:t>
      </w:r>
      <w:r w:rsidRPr="004A5090">
        <w:t xml:space="preserve"> </w:t>
      </w:r>
      <w:r w:rsidRPr="004A5090">
        <w:rPr>
          <w:rStyle w:val="StyleUnderline"/>
        </w:rPr>
        <w:t>using any of the</w:t>
      </w:r>
      <w:r w:rsidRPr="004A5090">
        <w:t xml:space="preserve"> three </w:t>
      </w:r>
      <w:r w:rsidRPr="004A5090">
        <w:rPr>
          <w:rStyle w:val="StyleUnderline"/>
        </w:rPr>
        <w:t>articles</w:t>
      </w:r>
      <w:r w:rsidRPr="004A5090">
        <w:t xml:space="preserve">. We can do the same thing by omitting the article altogether. </w:t>
      </w:r>
      <w:r w:rsidRPr="004A5090">
        <w:rPr>
          <w:rStyle w:val="Emphasis"/>
        </w:rPr>
        <w:t>A beagle makes a great hunting dog</w:t>
      </w:r>
      <w:r w:rsidRPr="004A5090">
        <w:t xml:space="preserve"> and family companion. An </w:t>
      </w:r>
      <w:proofErr w:type="spellStart"/>
      <w:r w:rsidRPr="004A5090">
        <w:t>airedale</w:t>
      </w:r>
      <w:proofErr w:type="spellEnd"/>
      <w:r w:rsidRPr="004A5090">
        <w:t xml:space="preserve"> is sometimes a rather skittish animal. The golden retriever is a marvelous pet for children. Irish setters are not the highly intelligent animals they used to be. </w:t>
      </w:r>
      <w:r w:rsidRPr="004A5090">
        <w:rPr>
          <w:rStyle w:val="StyleUnderline"/>
          <w:highlight w:val="green"/>
        </w:rPr>
        <w:t>The</w:t>
      </w:r>
      <w:r w:rsidRPr="004A5090">
        <w:t xml:space="preserve"> difference between the generic indefinite pronoun and the normal </w:t>
      </w:r>
      <w:r w:rsidRPr="004A5090">
        <w:rPr>
          <w:rStyle w:val="StyleUnderline"/>
          <w:highlight w:val="green"/>
        </w:rPr>
        <w:t>indefinite pronoun</w:t>
      </w:r>
      <w:r w:rsidRPr="004A5090">
        <w:t xml:space="preserve"> is that the latter refers to any of that class ("I want to buy a beagle, and any old beagle will do.") whereas the former (see beagle sentence) </w:t>
      </w:r>
      <w:r w:rsidRPr="004A5090">
        <w:rPr>
          <w:rStyle w:val="Emphasis"/>
          <w:highlight w:val="green"/>
        </w:rPr>
        <w:t>refers to all members of that class</w:t>
      </w:r>
    </w:p>
    <w:p w14:paraId="15CDAEDC" w14:textId="77777777" w:rsidR="004D2568" w:rsidRPr="004A5090" w:rsidRDefault="004D2568" w:rsidP="004D2568">
      <w:pPr>
        <w:rPr>
          <w:b/>
          <w:iCs/>
          <w:highlight w:val="green"/>
          <w:u w:val="single"/>
          <w:bdr w:val="single" w:sz="18" w:space="0" w:color="auto"/>
        </w:rPr>
      </w:pPr>
    </w:p>
    <w:p w14:paraId="2DADF6FB" w14:textId="38CB9CFB" w:rsidR="004D2568" w:rsidRPr="004A5090" w:rsidRDefault="004D2568" w:rsidP="004D2568">
      <w:pPr>
        <w:pStyle w:val="Heading4"/>
        <w:rPr>
          <w:rFonts w:cs="Calibri"/>
        </w:rPr>
      </w:pPr>
      <w:r w:rsidRPr="004A5090">
        <w:rPr>
          <w:rFonts w:cs="Calibri"/>
        </w:rPr>
        <w:t xml:space="preserve">Violation – they only defend </w:t>
      </w:r>
      <w:r>
        <w:rPr>
          <w:rFonts w:cs="Calibri"/>
        </w:rPr>
        <w:t>China</w:t>
      </w:r>
    </w:p>
    <w:p w14:paraId="05E8C897" w14:textId="77777777" w:rsidR="004D2568" w:rsidRPr="004A5090" w:rsidRDefault="004D2568" w:rsidP="004D2568"/>
    <w:p w14:paraId="4E63EE52" w14:textId="77777777" w:rsidR="004D2568" w:rsidRPr="004A5090" w:rsidRDefault="004D2568" w:rsidP="004D2568">
      <w:pPr>
        <w:pStyle w:val="Heading4"/>
        <w:rPr>
          <w:rFonts w:cs="Calibri"/>
        </w:rPr>
      </w:pPr>
      <w:r w:rsidRPr="004A5090">
        <w:rPr>
          <w:rFonts w:cs="Calibri"/>
        </w:rPr>
        <w:lastRenderedPageBreak/>
        <w:t>Vote neg:</w:t>
      </w:r>
    </w:p>
    <w:p w14:paraId="129C1310" w14:textId="2B25E7EA" w:rsidR="004D2568" w:rsidRPr="004D2568" w:rsidRDefault="004D2568" w:rsidP="004D2568">
      <w:pPr>
        <w:pStyle w:val="Heading4"/>
        <w:numPr>
          <w:ilvl w:val="0"/>
          <w:numId w:val="14"/>
        </w:numPr>
        <w:rPr>
          <w:rFonts w:cs="Calibri"/>
        </w:rPr>
      </w:pPr>
      <w:r w:rsidRPr="004A5090">
        <w:rPr>
          <w:rFonts w:cs="Calibri"/>
        </w:rPr>
        <w:t>Semantics o</w:t>
      </w:r>
      <w:r w:rsidRPr="004A5090">
        <w:rPr>
          <w:rFonts w:eastAsia="MS Gothic" w:cs="Calibri"/>
        </w:rPr>
        <w:t>utweigh:</w:t>
      </w:r>
      <w:r>
        <w:rPr>
          <w:rFonts w:cs="Calibri"/>
        </w:rPr>
        <w:t xml:space="preserve"> </w:t>
      </w:r>
      <w:r w:rsidRPr="004D2568">
        <w:rPr>
          <w:rFonts w:cs="Calibri"/>
        </w:rPr>
        <w:t xml:space="preserve">T is a constitutive rule of the activity and a basic </w:t>
      </w:r>
      <w:proofErr w:type="spellStart"/>
      <w:r w:rsidRPr="004D2568">
        <w:rPr>
          <w:rFonts w:cs="Calibri"/>
        </w:rPr>
        <w:t>aff</w:t>
      </w:r>
      <w:proofErr w:type="spellEnd"/>
      <w:r w:rsidRPr="004D2568">
        <w:rPr>
          <w:rFonts w:cs="Calibri"/>
        </w:rPr>
        <w:t xml:space="preserve"> burden – they agreed to debate the topic when they came here</w:t>
      </w:r>
    </w:p>
    <w:p w14:paraId="114E1C32" w14:textId="77777777" w:rsidR="004D2568" w:rsidRPr="004A5090" w:rsidRDefault="004D2568" w:rsidP="004D2568">
      <w:pPr>
        <w:pStyle w:val="Heading4"/>
        <w:rPr>
          <w:rFonts w:cs="Calibri"/>
        </w:rPr>
      </w:pPr>
      <w:r w:rsidRPr="004A5090">
        <w:rPr>
          <w:rFonts w:cs="Calibri"/>
        </w:rPr>
        <w:t>Standards:</w:t>
      </w:r>
    </w:p>
    <w:p w14:paraId="7C9C5FA9" w14:textId="77777777" w:rsidR="004D2568" w:rsidRPr="004A5090" w:rsidRDefault="004D2568" w:rsidP="004D2568">
      <w:pPr>
        <w:pStyle w:val="Heading4"/>
        <w:numPr>
          <w:ilvl w:val="0"/>
          <w:numId w:val="14"/>
        </w:numPr>
        <w:rPr>
          <w:rFonts w:cs="Calibri"/>
        </w:rPr>
      </w:pPr>
      <w:r w:rsidRPr="004A5090">
        <w:rPr>
          <w:rFonts w:cs="Calibri"/>
        </w:rPr>
        <w:t xml:space="preserve">Limits – there are 195 </w:t>
      </w:r>
      <w:proofErr w:type="spellStart"/>
      <w:r w:rsidRPr="004A5090">
        <w:rPr>
          <w:rFonts w:cs="Calibri"/>
        </w:rPr>
        <w:t>affs</w:t>
      </w:r>
      <w:proofErr w:type="spellEnd"/>
      <w:r w:rsidRPr="004A5090">
        <w:rPr>
          <w:rFonts w:cs="Calibri"/>
        </w:rPr>
        <w:t xml:space="preserve"> accounting for hundreds of governments— unlimited topics incentivize obscure </w:t>
      </w:r>
      <w:proofErr w:type="spellStart"/>
      <w:r w:rsidRPr="004A5090">
        <w:rPr>
          <w:rFonts w:cs="Calibri"/>
        </w:rPr>
        <w:t>affs</w:t>
      </w:r>
      <w:proofErr w:type="spellEnd"/>
      <w:r w:rsidRPr="004A5090">
        <w:rPr>
          <w:rFonts w:cs="Calibri"/>
        </w:rPr>
        <w:t xml:space="preserve"> that negs won’t have prep on – limits are key to reciprocal prep burden – potential abuse doesn’t justify foregoing the topic and 1AR theory checks PICs. </w:t>
      </w:r>
    </w:p>
    <w:p w14:paraId="160ECAC3" w14:textId="77777777" w:rsidR="004D2568" w:rsidRPr="004A5090" w:rsidRDefault="004D2568" w:rsidP="004D2568">
      <w:r w:rsidRPr="004A5090">
        <w:rPr>
          <w:rStyle w:val="Style13ptBold"/>
        </w:rPr>
        <w:t>Banerjee 4/12</w:t>
      </w:r>
      <w:r w:rsidRPr="004A5090">
        <w:t xml:space="preserve"> [(</w:t>
      </w:r>
      <w:proofErr w:type="spellStart"/>
      <w:r w:rsidRPr="004A5090">
        <w:t>Vasabjit</w:t>
      </w:r>
      <w:proofErr w:type="spellEnd"/>
      <w:r w:rsidRPr="004A5090">
        <w:t xml:space="preserve"> Banerjee, Assistant Professor of Political Science, Mississippi State University)</w:t>
      </w:r>
      <w:proofErr w:type="gramStart"/>
      <w:r w:rsidRPr="004A5090">
        <w:t>,”How</w:t>
      </w:r>
      <w:proofErr w:type="gramEnd"/>
      <w:r w:rsidRPr="004A5090">
        <w:t xml:space="preserve"> many states and provinces are in the world?” , The Conversation, https://theconversation.com/how-many-states-and-provinces-are-in-the-world-157847, April 12, 2021] SS</w:t>
      </w:r>
    </w:p>
    <w:p w14:paraId="508551C3" w14:textId="77777777" w:rsidR="004D2568" w:rsidRPr="004A5090" w:rsidRDefault="004D2568" w:rsidP="004D2568">
      <w:r w:rsidRPr="004A5090">
        <w:rPr>
          <w:rStyle w:val="StyleUnderline"/>
        </w:rPr>
        <w:t xml:space="preserve">There are </w:t>
      </w:r>
      <w:r w:rsidRPr="004A5090">
        <w:rPr>
          <w:rStyle w:val="StyleUnderline"/>
          <w:highlight w:val="green"/>
        </w:rPr>
        <w:t>195 national governments recognized by the</w:t>
      </w:r>
      <w:r w:rsidRPr="004A5090">
        <w:rPr>
          <w:rStyle w:val="StyleUnderline"/>
        </w:rPr>
        <w:t xml:space="preserve"> </w:t>
      </w:r>
      <w:r w:rsidRPr="004A5090">
        <w:rPr>
          <w:rStyle w:val="StyleUnderline"/>
          <w:highlight w:val="green"/>
        </w:rPr>
        <w:t>U</w:t>
      </w:r>
      <w:r w:rsidRPr="004A5090">
        <w:rPr>
          <w:rStyle w:val="StyleUnderline"/>
        </w:rPr>
        <w:t xml:space="preserve">nited </w:t>
      </w:r>
      <w:r w:rsidRPr="004A5090">
        <w:rPr>
          <w:rStyle w:val="StyleUnderline"/>
          <w:highlight w:val="green"/>
        </w:rPr>
        <w:t>N</w:t>
      </w:r>
      <w:r w:rsidRPr="004A5090">
        <w:rPr>
          <w:rStyle w:val="StyleUnderline"/>
        </w:rPr>
        <w:t xml:space="preserve">ations, </w:t>
      </w:r>
      <w:r w:rsidRPr="004A5090">
        <w:t xml:space="preserve">but there are as many as </w:t>
      </w:r>
      <w:r w:rsidRPr="004A5090">
        <w:rPr>
          <w:rStyle w:val="StyleUnderline"/>
          <w:highlight w:val="green"/>
        </w:rPr>
        <w:t>nine</w:t>
      </w:r>
      <w:r w:rsidRPr="004A5090">
        <w:rPr>
          <w:rStyle w:val="StyleUnderline"/>
        </w:rPr>
        <w:t xml:space="preserve"> other places with </w:t>
      </w:r>
      <w:proofErr w:type="spellStart"/>
      <w:r w:rsidRPr="004A5090">
        <w:rPr>
          <w:rStyle w:val="StyleUnderline"/>
          <w:highlight w:val="green"/>
        </w:rPr>
        <w:t>nationlike</w:t>
      </w:r>
      <w:proofErr w:type="spellEnd"/>
      <w:r w:rsidRPr="004A5090">
        <w:rPr>
          <w:rStyle w:val="StyleUnderline"/>
          <w:highlight w:val="green"/>
        </w:rPr>
        <w:t xml:space="preserve"> governments</w:t>
      </w:r>
      <w:r w:rsidRPr="004A5090">
        <w:t>, including Taiwan and Kosovo, though they are not recognized by the U.N.</w:t>
      </w:r>
    </w:p>
    <w:p w14:paraId="259E8527" w14:textId="77777777" w:rsidR="004D2568" w:rsidRPr="004A5090" w:rsidRDefault="004D2568" w:rsidP="004D2568">
      <w:r w:rsidRPr="004A5090">
        <w:t xml:space="preserve">Most of these </w:t>
      </w:r>
      <w:r w:rsidRPr="004A5090">
        <w:rPr>
          <w:rStyle w:val="StyleUnderline"/>
        </w:rPr>
        <w:t>countries are divided into smaller sections, the</w:t>
      </w:r>
      <w:r w:rsidRPr="004A5090">
        <w:t xml:space="preserve"> way the U.S. is broken up into 50 </w:t>
      </w:r>
      <w:r w:rsidRPr="004A5090">
        <w:rPr>
          <w:rStyle w:val="StyleUnderline"/>
        </w:rPr>
        <w:t>states along with territories</w:t>
      </w:r>
      <w:r w:rsidRPr="004A5090">
        <w:t xml:space="preserve">, like Puerto Rico and Guam, </w:t>
      </w:r>
      <w:r w:rsidRPr="004A5090">
        <w:rPr>
          <w:rStyle w:val="StyleUnderline"/>
        </w:rPr>
        <w:t>and a federal district</w:t>
      </w:r>
      <w:r w:rsidRPr="004A5090">
        <w:t>, Washington, D.C.</w:t>
      </w:r>
    </w:p>
    <w:p w14:paraId="4D66DE71" w14:textId="77777777" w:rsidR="004D2568" w:rsidRPr="004A5090" w:rsidRDefault="004D2568" w:rsidP="004D2568">
      <w:r w:rsidRPr="004A5090">
        <w:t xml:space="preserve">They are not all called “states,” though: Switzerland has </w:t>
      </w:r>
      <w:r w:rsidRPr="004A5090">
        <w:rPr>
          <w:rStyle w:val="StyleUnderline"/>
        </w:rPr>
        <w:t>cantons</w:t>
      </w:r>
      <w:r w:rsidRPr="004A5090">
        <w:t xml:space="preserve">, Bangladesh has </w:t>
      </w:r>
      <w:r w:rsidRPr="004A5090">
        <w:rPr>
          <w:rStyle w:val="StyleUnderline"/>
        </w:rPr>
        <w:t>divisions</w:t>
      </w:r>
      <w:r w:rsidRPr="004A5090">
        <w:t xml:space="preserve">, Cameroon has </w:t>
      </w:r>
      <w:r w:rsidRPr="004A5090">
        <w:rPr>
          <w:rStyle w:val="StyleUnderline"/>
        </w:rPr>
        <w:t>regions</w:t>
      </w:r>
      <w:r w:rsidRPr="004A5090">
        <w:t xml:space="preserve">, Germany has lander, Jordan has </w:t>
      </w:r>
      <w:r w:rsidRPr="004A5090">
        <w:rPr>
          <w:rStyle w:val="StyleUnderline"/>
        </w:rPr>
        <w:t>governorates</w:t>
      </w:r>
      <w:r w:rsidRPr="004A5090">
        <w:t xml:space="preserve">, Montserrat has </w:t>
      </w:r>
      <w:r w:rsidRPr="004A5090">
        <w:rPr>
          <w:rStyle w:val="StyleUnderline"/>
        </w:rPr>
        <w:t>parishes</w:t>
      </w:r>
      <w:r w:rsidRPr="004A5090">
        <w:t xml:space="preserve">, Zambia has </w:t>
      </w:r>
      <w:r w:rsidRPr="004A5090">
        <w:rPr>
          <w:rStyle w:val="StyleUnderline"/>
        </w:rPr>
        <w:t>provinces</w:t>
      </w:r>
      <w:r w:rsidRPr="004A5090">
        <w:t xml:space="preserve">, and Japan has </w:t>
      </w:r>
      <w:r w:rsidRPr="004A5090">
        <w:rPr>
          <w:rStyle w:val="StyleUnderline"/>
        </w:rPr>
        <w:t>prefectures</w:t>
      </w:r>
      <w:r w:rsidRPr="004A5090">
        <w:t xml:space="preserve"> – among many other names.</w:t>
      </w:r>
    </w:p>
    <w:p w14:paraId="7E707482" w14:textId="77777777" w:rsidR="004D2568" w:rsidRPr="004A5090" w:rsidRDefault="004D2568" w:rsidP="004D2568"/>
    <w:p w14:paraId="3B3288CD" w14:textId="77777777" w:rsidR="004D2568" w:rsidRPr="004A5090" w:rsidRDefault="004D2568" w:rsidP="004D2568">
      <w:pPr>
        <w:pStyle w:val="Heading4"/>
        <w:numPr>
          <w:ilvl w:val="0"/>
          <w:numId w:val="14"/>
        </w:numPr>
        <w:rPr>
          <w:rFonts w:cs="Calibri"/>
        </w:rPr>
      </w:pPr>
      <w:r w:rsidRPr="004A5090">
        <w:rPr>
          <w:rFonts w:cs="Calibri"/>
        </w:rPr>
        <w:t xml:space="preserve">Ground – spec guts core generics like the econ DA which rely on all governments having the unconditional right to strike because individual governments don’t have an impact on the global economy as a whole – also means there is no universal DA to spec </w:t>
      </w:r>
      <w:proofErr w:type="spellStart"/>
      <w:r w:rsidRPr="004A5090">
        <w:rPr>
          <w:rFonts w:cs="Calibri"/>
        </w:rPr>
        <w:t>affs</w:t>
      </w:r>
      <w:proofErr w:type="spellEnd"/>
    </w:p>
    <w:p w14:paraId="1CB6F7C4" w14:textId="77777777" w:rsidR="004D2568" w:rsidRPr="004A5090" w:rsidRDefault="004D2568" w:rsidP="004D2568">
      <w:pPr>
        <w:pStyle w:val="Heading4"/>
        <w:numPr>
          <w:ilvl w:val="0"/>
          <w:numId w:val="14"/>
        </w:numPr>
        <w:rPr>
          <w:rFonts w:cs="Calibri"/>
        </w:rPr>
      </w:pPr>
      <w:r w:rsidRPr="004A5090">
        <w:rPr>
          <w:rFonts w:cs="Calibri"/>
        </w:rPr>
        <w:t xml:space="preserve">TVA solves – read as an advantage to whole </w:t>
      </w:r>
      <w:proofErr w:type="spellStart"/>
      <w:r w:rsidRPr="004A5090">
        <w:rPr>
          <w:rFonts w:cs="Calibri"/>
        </w:rPr>
        <w:t>rez</w:t>
      </w:r>
      <w:proofErr w:type="spellEnd"/>
    </w:p>
    <w:p w14:paraId="324BE522" w14:textId="77777777" w:rsidR="004D2568" w:rsidRPr="004A5090" w:rsidRDefault="004D2568" w:rsidP="004D2568"/>
    <w:p w14:paraId="24A21568" w14:textId="77777777" w:rsidR="004D2568" w:rsidRPr="004A5090" w:rsidRDefault="004D2568" w:rsidP="004D2568">
      <w:pPr>
        <w:pStyle w:val="Heading4"/>
        <w:rPr>
          <w:rFonts w:cs="Calibri"/>
        </w:rPr>
      </w:pPr>
      <w:r w:rsidRPr="004A5090">
        <w:rPr>
          <w:rFonts w:cs="Calibri"/>
        </w:rPr>
        <w:lastRenderedPageBreak/>
        <w:t>Paradigm issues:</w:t>
      </w:r>
    </w:p>
    <w:p w14:paraId="791BF844" w14:textId="77777777" w:rsidR="004D2568" w:rsidRPr="004A5090" w:rsidRDefault="004D2568" w:rsidP="004D2568">
      <w:pPr>
        <w:pStyle w:val="Heading4"/>
        <w:numPr>
          <w:ilvl w:val="0"/>
          <w:numId w:val="13"/>
        </w:numPr>
        <w:tabs>
          <w:tab w:val="num" w:pos="720"/>
        </w:tabs>
        <w:rPr>
          <w:rFonts w:cs="Calibri"/>
        </w:rPr>
      </w:pPr>
      <w:r w:rsidRPr="004A5090">
        <w:rPr>
          <w:rFonts w:cs="Calibri"/>
        </w:rPr>
        <w:t xml:space="preserve">Drop the debater – their abusive advocacy skewed the debate from the start </w:t>
      </w:r>
    </w:p>
    <w:p w14:paraId="41103F77" w14:textId="77777777" w:rsidR="004D2568" w:rsidRPr="004A5090" w:rsidRDefault="004D2568" w:rsidP="004D2568">
      <w:pPr>
        <w:pStyle w:val="Heading4"/>
        <w:numPr>
          <w:ilvl w:val="0"/>
          <w:numId w:val="13"/>
        </w:numPr>
        <w:tabs>
          <w:tab w:val="num" w:pos="720"/>
        </w:tabs>
        <w:rPr>
          <w:rFonts w:cs="Calibri"/>
        </w:rPr>
      </w:pPr>
      <w:r w:rsidRPr="004A5090">
        <w:rPr>
          <w:rFonts w:cs="Calibri"/>
        </w:rPr>
        <w:t>Comes before 1AR theory – NC abuse is responsive to them not being topical</w:t>
      </w:r>
    </w:p>
    <w:p w14:paraId="275F8E53" w14:textId="77777777" w:rsidR="004D2568" w:rsidRPr="004A5090" w:rsidRDefault="004D2568" w:rsidP="004D2568">
      <w:pPr>
        <w:pStyle w:val="Heading4"/>
        <w:numPr>
          <w:ilvl w:val="0"/>
          <w:numId w:val="13"/>
        </w:numPr>
        <w:tabs>
          <w:tab w:val="num" w:pos="720"/>
        </w:tabs>
        <w:rPr>
          <w:rFonts w:cs="Calibri"/>
        </w:rPr>
      </w:pPr>
      <w:r w:rsidRPr="004A5090">
        <w:rPr>
          <w:rFonts w:cs="Calibri"/>
        </w:rPr>
        <w:t xml:space="preserve">Competing </w:t>
      </w:r>
      <w:proofErr w:type="spellStart"/>
      <w:r w:rsidRPr="004A5090">
        <w:rPr>
          <w:rFonts w:cs="Calibri"/>
        </w:rPr>
        <w:t>interps</w:t>
      </w:r>
      <w:proofErr w:type="spellEnd"/>
      <w:r w:rsidRPr="004A5090">
        <w:rPr>
          <w:rFonts w:cs="Calibri"/>
        </w:rPr>
        <w:t xml:space="preserve"> – reasonability invites arbitrary judge intervention and a race to the bottom of questionable argumentation</w:t>
      </w:r>
    </w:p>
    <w:p w14:paraId="17E3D4AE" w14:textId="77777777" w:rsidR="004D2568" w:rsidRPr="004A5090" w:rsidRDefault="004D2568" w:rsidP="004D2568">
      <w:pPr>
        <w:pStyle w:val="Heading4"/>
        <w:numPr>
          <w:ilvl w:val="0"/>
          <w:numId w:val="13"/>
        </w:numPr>
        <w:tabs>
          <w:tab w:val="num" w:pos="720"/>
        </w:tabs>
        <w:rPr>
          <w:rFonts w:cs="Calibri"/>
        </w:rPr>
      </w:pPr>
      <w:r w:rsidRPr="004A5090">
        <w:rPr>
          <w:rFonts w:cs="Calibri"/>
        </w:rPr>
        <w:t xml:space="preserve">No RVIs – fairness and education are a priori burdens – and encourages baiting – outweighs because if T is frivolous, they can beat it quickly </w:t>
      </w:r>
    </w:p>
    <w:p w14:paraId="1A62D87A" w14:textId="77777777" w:rsidR="004D2568" w:rsidRPr="004A5090" w:rsidRDefault="004D2568" w:rsidP="004D2568">
      <w:pPr>
        <w:pStyle w:val="Heading4"/>
        <w:numPr>
          <w:ilvl w:val="0"/>
          <w:numId w:val="13"/>
        </w:numPr>
        <w:tabs>
          <w:tab w:val="num" w:pos="720"/>
        </w:tabs>
        <w:rPr>
          <w:rFonts w:cs="Calibri"/>
        </w:rPr>
      </w:pPr>
      <w:r w:rsidRPr="004A5090">
        <w:rPr>
          <w:rFonts w:cs="Calibri"/>
        </w:rPr>
        <w:t xml:space="preserve">Fairness is a voter </w:t>
      </w:r>
      <w:r w:rsidRPr="004A5090">
        <w:rPr>
          <w:rFonts w:cs="Calibri"/>
        </w:rPr>
        <w:softHyphen/>
        <w:t>– necessary to determine the better debater</w:t>
      </w:r>
    </w:p>
    <w:p w14:paraId="5D177BD0" w14:textId="77777777" w:rsidR="004D2568" w:rsidRPr="004A5090" w:rsidRDefault="004D2568" w:rsidP="004D2568">
      <w:pPr>
        <w:pStyle w:val="Heading4"/>
        <w:numPr>
          <w:ilvl w:val="0"/>
          <w:numId w:val="13"/>
        </w:numPr>
        <w:tabs>
          <w:tab w:val="num" w:pos="720"/>
        </w:tabs>
        <w:rPr>
          <w:rFonts w:cs="Calibri"/>
        </w:rPr>
      </w:pPr>
      <w:r w:rsidRPr="004A5090">
        <w:rPr>
          <w:rFonts w:cs="Calibri"/>
        </w:rPr>
        <w:t>Education is a voter – why schools fund debate</w:t>
      </w:r>
    </w:p>
    <w:p w14:paraId="2E144EE0" w14:textId="77777777" w:rsidR="00B2362C" w:rsidRPr="00B2362C" w:rsidRDefault="00B2362C" w:rsidP="00B2362C"/>
    <w:p w14:paraId="65B462F7" w14:textId="497C439A" w:rsidR="004D2568" w:rsidRDefault="004D2568" w:rsidP="004D2568">
      <w:pPr>
        <w:pStyle w:val="Heading3"/>
      </w:pPr>
      <w:r>
        <w:lastRenderedPageBreak/>
        <w:t>Case</w:t>
      </w:r>
    </w:p>
    <w:p w14:paraId="0378FEF8" w14:textId="77777777" w:rsidR="004D2568" w:rsidRPr="004D2568" w:rsidRDefault="004D2568" w:rsidP="004D2568"/>
    <w:sectPr w:rsidR="004D2568" w:rsidRPr="004D25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91722"/>
    <w:multiLevelType w:val="hybridMultilevel"/>
    <w:tmpl w:val="FB441A90"/>
    <w:lvl w:ilvl="0" w:tplc="F4CCC3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001DEF"/>
    <w:multiLevelType w:val="hybridMultilevel"/>
    <w:tmpl w:val="C05C3A46"/>
    <w:lvl w:ilvl="0" w:tplc="2CE268D8">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5"/>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2C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2E3F"/>
    <w:rsid w:val="000D26A6"/>
    <w:rsid w:val="000D2B90"/>
    <w:rsid w:val="000D6ED8"/>
    <w:rsid w:val="000D717B"/>
    <w:rsid w:val="00100B28"/>
    <w:rsid w:val="00117316"/>
    <w:rsid w:val="001209B4"/>
    <w:rsid w:val="00132C7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35B"/>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01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56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FC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46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AC"/>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398"/>
    <w:rsid w:val="00A071C0"/>
    <w:rsid w:val="00A22670"/>
    <w:rsid w:val="00A24B35"/>
    <w:rsid w:val="00A271BA"/>
    <w:rsid w:val="00A27F86"/>
    <w:rsid w:val="00A431C6"/>
    <w:rsid w:val="00A54315"/>
    <w:rsid w:val="00A60FBC"/>
    <w:rsid w:val="00A65C0B"/>
    <w:rsid w:val="00A776BA"/>
    <w:rsid w:val="00A81FD2"/>
    <w:rsid w:val="00A8441A"/>
    <w:rsid w:val="00A85028"/>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62C"/>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3F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2B5626"/>
  <w14:defaultImageDpi w14:val="300"/>
  <w15:docId w15:val="{53237D7F-0BE4-2545-8103-F967B629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502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850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50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50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A8502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850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5028"/>
  </w:style>
  <w:style w:type="character" w:customStyle="1" w:styleId="Heading1Char">
    <w:name w:val="Heading 1 Char"/>
    <w:aliases w:val="Pocket Char"/>
    <w:basedOn w:val="DefaultParagraphFont"/>
    <w:link w:val="Heading1"/>
    <w:uiPriority w:val="9"/>
    <w:rsid w:val="00A850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502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502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A850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85028"/>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A85028"/>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A85028"/>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A8502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Read"/>
    <w:basedOn w:val="DefaultParagraphFont"/>
    <w:link w:val="NoSpacing"/>
    <w:uiPriority w:val="99"/>
    <w:unhideWhenUsed/>
    <w:rsid w:val="00A85028"/>
    <w:rPr>
      <w:color w:val="auto"/>
      <w:u w:val="none"/>
    </w:rPr>
  </w:style>
  <w:style w:type="paragraph" w:styleId="DocumentMap">
    <w:name w:val="Document Map"/>
    <w:basedOn w:val="Normal"/>
    <w:link w:val="DocumentMapChar"/>
    <w:uiPriority w:val="99"/>
    <w:semiHidden/>
    <w:unhideWhenUsed/>
    <w:rsid w:val="00A850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5028"/>
    <w:rPr>
      <w:rFonts w:ascii="Lucida Grande" w:hAnsi="Lucida Grande" w:cs="Lucida Grande"/>
    </w:rPr>
  </w:style>
  <w:style w:type="paragraph" w:customStyle="1" w:styleId="textbold">
    <w:name w:val="text bold"/>
    <w:basedOn w:val="Normal"/>
    <w:link w:val="Emphasis"/>
    <w:uiPriority w:val="20"/>
    <w:qFormat/>
    <w:rsid w:val="00A05398"/>
    <w:pPr>
      <w:ind w:left="720"/>
      <w:jc w:val="both"/>
    </w:pPr>
    <w:rPr>
      <w:b/>
      <w:iCs/>
      <w:u w:val="single"/>
      <w:bdr w:val="single" w:sz="8" w:space="0" w:color="auto"/>
    </w:rPr>
  </w:style>
  <w:style w:type="paragraph" w:styleId="ListParagraph">
    <w:name w:val="List Paragraph"/>
    <w:aliases w:val="6 font"/>
    <w:basedOn w:val="Normal"/>
    <w:uiPriority w:val="34"/>
    <w:qFormat/>
    <w:rsid w:val="00A05398"/>
    <w:pPr>
      <w:ind w:left="720"/>
      <w:contextualSpacing/>
    </w:p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te,CD - Cite"/>
    <w:basedOn w:val="Heading1"/>
    <w:link w:val="Hyperlink"/>
    <w:autoRedefine/>
    <w:uiPriority w:val="99"/>
    <w:qFormat/>
    <w:rsid w:val="004D256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8</Pages>
  <Words>1721</Words>
  <Characters>9812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5</cp:revision>
  <dcterms:created xsi:type="dcterms:W3CDTF">2021-12-12T16:03:00Z</dcterms:created>
  <dcterms:modified xsi:type="dcterms:W3CDTF">2021-12-12T16:48:00Z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