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D2D5FE" w14:textId="61464DF3" w:rsidR="004E354E" w:rsidRPr="002C5307" w:rsidRDefault="004E354E" w:rsidP="004E354E">
      <w:pPr>
        <w:pStyle w:val="Heading3"/>
      </w:pPr>
      <w:r>
        <w:t>1</w:t>
      </w:r>
    </w:p>
    <w:p w14:paraId="0E6835FC" w14:textId="292CFFAB" w:rsidR="004E354E" w:rsidRPr="009A0BAF" w:rsidRDefault="004E354E" w:rsidP="004E354E">
      <w:pPr>
        <w:pStyle w:val="Heading4"/>
        <w:rPr>
          <w:rFonts w:cs="Calibri"/>
        </w:rPr>
      </w:pPr>
      <w:r w:rsidRPr="009A0BAF">
        <w:rPr>
          <w:rFonts w:cs="Calibri"/>
        </w:rPr>
        <w:t xml:space="preserve">Interpretation: Debaters must disclose all constructive positions on open source with highlighting on the </w:t>
      </w:r>
      <w:r>
        <w:rPr>
          <w:rFonts w:cs="Calibri"/>
        </w:rPr>
        <w:t>202</w:t>
      </w:r>
      <w:r w:rsidR="00DA6E69">
        <w:rPr>
          <w:rFonts w:cs="Calibri"/>
        </w:rPr>
        <w:t>1</w:t>
      </w:r>
      <w:r w:rsidRPr="009A0BAF">
        <w:rPr>
          <w:rFonts w:cs="Calibri"/>
        </w:rPr>
        <w:t>-</w:t>
      </w:r>
      <w:r>
        <w:rPr>
          <w:rFonts w:cs="Calibri"/>
        </w:rPr>
        <w:t>2</w:t>
      </w:r>
      <w:r w:rsidR="00DA6E69">
        <w:rPr>
          <w:rFonts w:cs="Calibri"/>
        </w:rPr>
        <w:t>2</w:t>
      </w:r>
      <w:r w:rsidRPr="009A0BAF">
        <w:rPr>
          <w:rFonts w:cs="Calibri"/>
        </w:rPr>
        <w:t xml:space="preserve"> NDCA LD wiki </w:t>
      </w:r>
      <w:r>
        <w:rPr>
          <w:rFonts w:cs="Calibri"/>
        </w:rPr>
        <w:t xml:space="preserve">an hour </w:t>
      </w:r>
      <w:r w:rsidRPr="009A0BAF">
        <w:rPr>
          <w:rFonts w:cs="Calibri"/>
        </w:rPr>
        <w:t xml:space="preserve">after the round in which they read them. </w:t>
      </w:r>
    </w:p>
    <w:p w14:paraId="4EEBCDAD" w14:textId="6DAAE533" w:rsidR="004E354E" w:rsidRPr="00B45CE7" w:rsidRDefault="004E354E" w:rsidP="004E354E">
      <w:pPr>
        <w:pStyle w:val="Heading4"/>
        <w:rPr>
          <w:rFonts w:cs="Calibri"/>
          <w:noProof/>
        </w:rPr>
      </w:pPr>
      <w:r w:rsidRPr="009A0BAF">
        <w:rPr>
          <w:rFonts w:cs="Calibri"/>
        </w:rPr>
        <w:t xml:space="preserve">Violation – </w:t>
      </w:r>
      <w:r>
        <w:rPr>
          <w:rFonts w:cs="Calibri"/>
        </w:rPr>
        <w:t xml:space="preserve">screenshots in the doc. </w:t>
      </w:r>
    </w:p>
    <w:p w14:paraId="473E4A7A" w14:textId="399BF118" w:rsidR="004E354E" w:rsidRPr="00C16891" w:rsidRDefault="004E354E" w:rsidP="004E354E">
      <w:r>
        <w:rPr>
          <w:noProof/>
        </w:rPr>
        <w:drawing>
          <wp:inline distT="0" distB="0" distL="0" distR="0" wp14:anchorId="2E7CF43F" wp14:editId="24507F36">
            <wp:extent cx="5648960" cy="3534545"/>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57762" cy="3540052"/>
                    </a:xfrm>
                    <a:prstGeom prst="rect">
                      <a:avLst/>
                    </a:prstGeom>
                  </pic:spPr>
                </pic:pic>
              </a:graphicData>
            </a:graphic>
          </wp:inline>
        </w:drawing>
      </w:r>
    </w:p>
    <w:p w14:paraId="3BBC01FD" w14:textId="77777777" w:rsidR="004E354E" w:rsidRPr="009A0BAF" w:rsidRDefault="004E354E" w:rsidP="004E354E">
      <w:pPr>
        <w:pStyle w:val="Heading4"/>
        <w:rPr>
          <w:rFonts w:cs="Calibri"/>
        </w:rPr>
      </w:pPr>
      <w:r w:rsidRPr="47CB8AD5">
        <w:rPr>
          <w:rFonts w:cs="Calibri"/>
        </w:rPr>
        <w:t>1] Debate resource inequities—you’ll say people will steal cards, but that’s good—it’s the only way to truly level the playing field for students such as novices in under-privileged programs who can’t bypass paywalled articles.</w:t>
      </w:r>
    </w:p>
    <w:p w14:paraId="36A50E51" w14:textId="77777777" w:rsidR="004E354E" w:rsidRDefault="004E354E" w:rsidP="004E354E">
      <w:r w:rsidRPr="47CB8AD5">
        <w:rPr>
          <w:rStyle w:val="Style13ptBold"/>
        </w:rPr>
        <w:t>Louden 10</w:t>
      </w:r>
      <w:r>
        <w:t xml:space="preserve"> – Allan D. Louden, professor of Communication at Wake Forest (“Navigating Opportunity: Policy Debate in the 21st Century” Wake Forest National Debate Conference. IDEA, 2010)</w:t>
      </w:r>
    </w:p>
    <w:p w14:paraId="7523173C" w14:textId="77777777" w:rsidR="004E354E" w:rsidRDefault="004E354E" w:rsidP="004E354E">
      <w:r>
        <w:t xml:space="preserve">Groups interested in engaging in competitive National Debate Tournament (NDT)-Cross Examination Debate Association (CEDA)-style policy debate are entering an exciting time in the debate community where </w:t>
      </w:r>
      <w:r w:rsidRPr="47CB8AD5">
        <w:rPr>
          <w:b/>
          <w:bCs/>
          <w:sz w:val="26"/>
          <w:szCs w:val="26"/>
          <w:u w:val="single"/>
        </w:rPr>
        <w:t>digital resources are making research and networking increasingly accessible</w:t>
      </w:r>
      <w:r>
        <w:t xml:space="preserve">. Those developing programs should be encouraged to choose their own topics and resolutions, but they should also make use of the massive resources available by focusing on the official NDT-CEDA resolution. </w:t>
      </w:r>
      <w:r w:rsidRPr="00950E14">
        <w:rPr>
          <w:b/>
          <w:bCs/>
          <w:sz w:val="26"/>
          <w:szCs w:val="26"/>
          <w:highlight w:val="green"/>
          <w:u w:val="single"/>
        </w:rPr>
        <w:t>New initiatives in</w:t>
      </w:r>
      <w:r w:rsidRPr="47CB8AD5">
        <w:rPr>
          <w:b/>
          <w:bCs/>
          <w:sz w:val="26"/>
          <w:szCs w:val="26"/>
          <w:u w:val="single"/>
        </w:rPr>
        <w:t xml:space="preserve"> the field of </w:t>
      </w:r>
      <w:r w:rsidRPr="00950E14">
        <w:rPr>
          <w:b/>
          <w:bCs/>
          <w:sz w:val="26"/>
          <w:szCs w:val="26"/>
          <w:highlight w:val="green"/>
          <w:u w:val="single"/>
        </w:rPr>
        <w:t>open-source</w:t>
      </w:r>
      <w:r w:rsidRPr="47CB8AD5">
        <w:rPr>
          <w:b/>
          <w:bCs/>
          <w:sz w:val="26"/>
          <w:szCs w:val="26"/>
          <w:u w:val="single"/>
        </w:rPr>
        <w:t xml:space="preserve"> debate </w:t>
      </w:r>
      <w:r w:rsidRPr="00950E14">
        <w:rPr>
          <w:b/>
          <w:bCs/>
          <w:sz w:val="26"/>
          <w:szCs w:val="26"/>
          <w:highlight w:val="green"/>
          <w:u w:val="single"/>
        </w:rPr>
        <w:t>make evidence sharing</w:t>
      </w:r>
      <w:r w:rsidRPr="47CB8AD5">
        <w:rPr>
          <w:b/>
          <w:bCs/>
          <w:sz w:val="26"/>
          <w:szCs w:val="26"/>
          <w:u w:val="single"/>
        </w:rPr>
        <w:t xml:space="preserve">, such as the Open Caselist, </w:t>
      </w:r>
      <w:r w:rsidRPr="00950E14">
        <w:rPr>
          <w:b/>
          <w:bCs/>
          <w:sz w:val="26"/>
          <w:szCs w:val="26"/>
          <w:highlight w:val="green"/>
          <w:u w:val="single"/>
        </w:rPr>
        <w:t>a powerful tool for new programs to engage and compete against established teams</w:t>
      </w:r>
      <w:r>
        <w:t xml:space="preserve">. It is no coincidence that </w:t>
      </w:r>
      <w:r w:rsidRPr="47CB8AD5">
        <w:rPr>
          <w:b/>
          <w:bCs/>
          <w:sz w:val="26"/>
          <w:szCs w:val="26"/>
          <w:u w:val="single"/>
        </w:rPr>
        <w:t xml:space="preserve">the winners of the NDT tend to be the schools with the largest coaching staffs, but the increased </w:t>
      </w:r>
      <w:r w:rsidRPr="00950E14">
        <w:rPr>
          <w:b/>
          <w:bCs/>
          <w:sz w:val="26"/>
          <w:szCs w:val="26"/>
          <w:highlight w:val="green"/>
          <w:u w:val="single"/>
        </w:rPr>
        <w:t>distribution</w:t>
      </w:r>
      <w:r w:rsidRPr="47CB8AD5">
        <w:rPr>
          <w:b/>
          <w:bCs/>
          <w:sz w:val="26"/>
          <w:szCs w:val="26"/>
          <w:u w:val="single"/>
        </w:rPr>
        <w:t xml:space="preserve"> and free sharing </w:t>
      </w:r>
      <w:r w:rsidRPr="00950E14">
        <w:rPr>
          <w:b/>
          <w:bCs/>
          <w:sz w:val="26"/>
          <w:szCs w:val="26"/>
          <w:highlight w:val="green"/>
          <w:u w:val="single"/>
        </w:rPr>
        <w:t>of evidence and resources have made smaller</w:t>
      </w:r>
      <w:r w:rsidRPr="47CB8AD5">
        <w:rPr>
          <w:b/>
          <w:bCs/>
          <w:sz w:val="26"/>
          <w:szCs w:val="26"/>
          <w:u w:val="single"/>
        </w:rPr>
        <w:t xml:space="preserve"> debate </w:t>
      </w:r>
      <w:r w:rsidRPr="00950E14">
        <w:rPr>
          <w:b/>
          <w:bCs/>
          <w:sz w:val="26"/>
          <w:szCs w:val="26"/>
          <w:highlight w:val="green"/>
          <w:u w:val="single"/>
        </w:rPr>
        <w:t xml:space="preserve">programs </w:t>
      </w:r>
      <w:r w:rsidRPr="47CB8AD5">
        <w:rPr>
          <w:b/>
          <w:bCs/>
          <w:sz w:val="26"/>
          <w:szCs w:val="26"/>
          <w:u w:val="single"/>
        </w:rPr>
        <w:t xml:space="preserve">increasingly </w:t>
      </w:r>
      <w:r w:rsidRPr="00950E14">
        <w:rPr>
          <w:b/>
          <w:bCs/>
          <w:sz w:val="26"/>
          <w:szCs w:val="26"/>
          <w:highlight w:val="green"/>
          <w:u w:val="single"/>
        </w:rPr>
        <w:t>capable of competing against larger institutions</w:t>
      </w:r>
      <w:r>
        <w:t xml:space="preserve">. We are now seeing the beginnings of </w:t>
      </w:r>
      <w:r w:rsidRPr="00950E14">
        <w:rPr>
          <w:b/>
          <w:bCs/>
          <w:sz w:val="26"/>
          <w:szCs w:val="26"/>
          <w:highlight w:val="green"/>
          <w:u w:val="single"/>
        </w:rPr>
        <w:t>increased resource sharing</w:t>
      </w:r>
      <w:r>
        <w:t xml:space="preserve">, with multiple initiatives focusing on regional evidence sharing for groups of developing debate programs. This </w:t>
      </w:r>
      <w:r w:rsidRPr="00950E14">
        <w:rPr>
          <w:b/>
          <w:bCs/>
          <w:sz w:val="26"/>
          <w:szCs w:val="26"/>
          <w:highlight w:val="green"/>
          <w:u w:val="single"/>
        </w:rPr>
        <w:t>is</w:t>
      </w:r>
      <w:r w:rsidRPr="47CB8AD5">
        <w:rPr>
          <w:b/>
          <w:bCs/>
          <w:sz w:val="26"/>
          <w:szCs w:val="26"/>
          <w:u w:val="single"/>
        </w:rPr>
        <w:t xml:space="preserve"> one example of dramatic changes occurring in the community that are </w:t>
      </w:r>
      <w:r w:rsidRPr="00950E14">
        <w:rPr>
          <w:b/>
          <w:bCs/>
          <w:sz w:val="26"/>
          <w:szCs w:val="26"/>
          <w:highlight w:val="green"/>
          <w:u w:val="single"/>
        </w:rPr>
        <w:t>capable of opening the doors for new participation in debate</w:t>
      </w:r>
      <w:r>
        <w:t xml:space="preserve">. Regardless of outside influence, such as an organized campaign by preexisting debate organizations to increase resource distribution, students are independently capable of establishing the foundations for a larger competitive program. The following suggestions are a nonlinear set of options available to students who wish to establish a </w:t>
      </w:r>
      <w:proofErr w:type="spellStart"/>
      <w:r>
        <w:t>struc-tured</w:t>
      </w:r>
      <w:proofErr w:type="spellEnd"/>
      <w:r>
        <w:t xml:space="preserve"> and coached debate program, and eventually developing the capability to maintain multiple professional teaching positions, such as those discussed earlier in the chapter.</w:t>
      </w:r>
      <w:r w:rsidRPr="47CB8AD5">
        <w:rPr>
          <w:rStyle w:val="Style13ptBold"/>
        </w:rPr>
        <w:t xml:space="preserve"> </w:t>
      </w:r>
    </w:p>
    <w:p w14:paraId="5E3F4285" w14:textId="77777777" w:rsidR="004E354E" w:rsidRPr="008E04D7" w:rsidRDefault="004E354E" w:rsidP="004E354E">
      <w:pPr>
        <w:pStyle w:val="Heading4"/>
      </w:pPr>
      <w:r w:rsidRPr="47CB8AD5">
        <w:rPr>
          <w:rFonts w:cs="Calibri"/>
        </w:rPr>
        <w:t>2] Evidence ethics –</w:t>
      </w:r>
      <w:r>
        <w:t xml:space="preserve"> </w:t>
      </w:r>
      <w:r w:rsidRPr="00BB4AA7">
        <w:t xml:space="preserve">open source is the only way to verify before round that cards aren’t miscut – </w:t>
      </w:r>
      <w:r>
        <w:t>otherwise</w:t>
      </w:r>
      <w:r w:rsidRPr="00BB4AA7">
        <w:t xml:space="preserve"> you could have highlighted unethically.  That’s a voter – maintaining ethical </w:t>
      </w:r>
      <w:proofErr w:type="spellStart"/>
      <w:r w:rsidRPr="00BB4AA7">
        <w:t>ev</w:t>
      </w:r>
      <w:proofErr w:type="spellEnd"/>
      <w:r w:rsidRPr="00BB4AA7">
        <w:t xml:space="preserve"> practices is key to being good academics and we should be able to verify you didn’t cheat</w:t>
      </w:r>
      <w:r>
        <w:t>.</w:t>
      </w:r>
    </w:p>
    <w:p w14:paraId="3BE7CD8C" w14:textId="77777777" w:rsidR="004E354E" w:rsidRDefault="004E354E" w:rsidP="004E354E">
      <w:pPr>
        <w:pStyle w:val="Heading4"/>
        <w:rPr>
          <w:rFonts w:cs="Calibri"/>
        </w:rPr>
      </w:pPr>
    </w:p>
    <w:p w14:paraId="46C5368C" w14:textId="77777777" w:rsidR="004E354E" w:rsidRDefault="004E354E" w:rsidP="004E354E">
      <w:pPr>
        <w:pStyle w:val="Heading4"/>
      </w:pPr>
      <w:r>
        <w:rPr>
          <w:rFonts w:cs="Calibri"/>
        </w:rPr>
        <w:t>Vote on fairness because debate is a competitive activity so we need to evaluate rounds fairly. Vote on education because that’s why schools fund debate and why debate was created. Drop the debater: A) we need to set norms for future rounds and punishment is key DTA on disclosure is incoherent. Competing interpretations over reasonability: A) reasonability is arbitrary – it invites arbitrary judge intervention since someone has to decide what’s reasonable, B) competing interps is key to setting norms for debate – that’s good since we stop future abuse.. No RVIs: A) illogical – they shouldn’t win for being fair – it’s a litmus test to being able to engage in substance, B) substantive education – we should go back to substance after theory so we can learn more instead of spending all our time on incorrect theory</w:t>
      </w:r>
      <w:r>
        <w:t xml:space="preserve"> </w:t>
      </w:r>
    </w:p>
    <w:p w14:paraId="64A3CAED" w14:textId="7AACD776" w:rsidR="00A07E59" w:rsidRDefault="00A07E59" w:rsidP="00A07E59">
      <w:pPr>
        <w:pStyle w:val="Heading3"/>
      </w:pPr>
      <w:r>
        <w:t>2</w:t>
      </w:r>
    </w:p>
    <w:p w14:paraId="2825E90C" w14:textId="5C37D2EE" w:rsidR="00A07E59" w:rsidRDefault="00A07E59" w:rsidP="00A07E59">
      <w:pPr>
        <w:pStyle w:val="Heading4"/>
      </w:pPr>
      <w:r>
        <w:t xml:space="preserve">1] Interpretation - Reduce means </w:t>
      </w:r>
      <w:r>
        <w:rPr>
          <w:u w:val="single"/>
        </w:rPr>
        <w:t>permanent reduction</w:t>
      </w:r>
      <w:r>
        <w:t xml:space="preserve"> – it’s distinct from “waive” or “suspend.”</w:t>
      </w:r>
    </w:p>
    <w:p w14:paraId="516A2AC1" w14:textId="77777777" w:rsidR="00A07E59" w:rsidRPr="00203F4F" w:rsidRDefault="00A07E59" w:rsidP="00A07E59">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70F70D32" w14:textId="77777777" w:rsidR="00A07E59" w:rsidRDefault="00A07E59" w:rsidP="00A07E59">
      <w:pPr>
        <w:rPr>
          <w:rStyle w:val="StyleUnderline"/>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C11507">
        <w:rPr>
          <w:highlight w:val="green"/>
          <w:u w:val="single"/>
        </w:rPr>
        <w:t>The section says "reduced",</w:t>
      </w:r>
      <w:r w:rsidRPr="00203F4F">
        <w:rPr>
          <w:u w:val="single"/>
        </w:rPr>
        <w:t xml:space="preserve"> </w:t>
      </w:r>
      <w:r w:rsidRPr="00C11507">
        <w:rPr>
          <w:highlight w:val="green"/>
          <w:u w:val="single"/>
        </w:rPr>
        <w:t>does not say</w:t>
      </w:r>
      <w:r w:rsidRPr="00203F4F">
        <w:rPr>
          <w:u w:val="single"/>
        </w:rPr>
        <w:t xml:space="preserve"> that monthly payments shall be </w:t>
      </w:r>
      <w:r w:rsidRPr="00C11507">
        <w:rPr>
          <w:highlight w:val="green"/>
          <w:u w:val="single"/>
        </w:rPr>
        <w:t>temporarily suspended</w:t>
      </w:r>
      <w:r w:rsidRPr="00203F4F">
        <w:rPr>
          <w:u w:val="single"/>
        </w:rPr>
        <w:t xml:space="preserve">; it says that the pension itself shall be reduced. </w:t>
      </w:r>
      <w:r w:rsidRPr="00C11507">
        <w:rPr>
          <w:highlight w:val="green"/>
          <w:u w:val="single"/>
        </w:rPr>
        <w:t xml:space="preserve">The </w:t>
      </w:r>
      <w:r w:rsidRPr="00C11507">
        <w:rPr>
          <w:rStyle w:val="Emphasis"/>
          <w:highlight w:val="green"/>
        </w:rPr>
        <w:t>plain dictionary meaning</w:t>
      </w:r>
      <w:r w:rsidRPr="00C11507">
        <w:rPr>
          <w:highlight w:val="green"/>
          <w:u w:val="single"/>
        </w:rPr>
        <w:t xml:space="preserve"> of the word is to diminish</w:t>
      </w:r>
      <w:r w:rsidRPr="00203F4F">
        <w:rPr>
          <w:u w:val="single"/>
        </w:rPr>
        <w:t xml:space="preserve">, lower or degrade. </w:t>
      </w:r>
      <w:r w:rsidRPr="00C11507">
        <w:rPr>
          <w:rStyle w:val="StyleUnderline"/>
          <w:highlight w:val="green"/>
        </w:rPr>
        <w:t>The word "reduce"</w:t>
      </w:r>
      <w:r w:rsidRPr="00203F4F">
        <w:rPr>
          <w:rStyle w:val="StyleUnderline"/>
        </w:rPr>
        <w:t xml:space="preserve"> seems adequately to </w:t>
      </w:r>
      <w:r w:rsidRPr="00C11507">
        <w:rPr>
          <w:rStyle w:val="StyleUnderline"/>
          <w:highlight w:val="green"/>
        </w:rPr>
        <w:t xml:space="preserve">indicate </w:t>
      </w:r>
      <w:r w:rsidRPr="00C11507">
        <w:rPr>
          <w:rStyle w:val="Emphasis"/>
          <w:highlight w:val="green"/>
        </w:rPr>
        <w:t>permanency</w:t>
      </w:r>
      <w:r w:rsidRPr="00C11507">
        <w:rPr>
          <w:rStyle w:val="StyleUnderline"/>
          <w:highlight w:val="green"/>
        </w:rPr>
        <w:t>.</w:t>
      </w:r>
    </w:p>
    <w:p w14:paraId="50C22442" w14:textId="77777777" w:rsidR="00A07E59" w:rsidRPr="000F6489" w:rsidRDefault="00A07E59" w:rsidP="00A07E59">
      <w:pPr>
        <w:pStyle w:val="Heading4"/>
      </w:pPr>
      <w:r>
        <w:t xml:space="preserve">Waiver is temporary. </w:t>
      </w:r>
    </w:p>
    <w:p w14:paraId="42F5E3CC" w14:textId="77777777" w:rsidR="00A07E59" w:rsidRPr="00893601" w:rsidRDefault="00A07E59" w:rsidP="00A07E59">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7" w:history="1">
        <w:r w:rsidRPr="00500FE9">
          <w:rPr>
            <w:rStyle w:val="Hyperlink"/>
          </w:rPr>
          <w:t>https://www.devex.com/news/us-backs-waiver-for-intellectual-property-rights-for-covid-19-vaccines-99847</w:t>
        </w:r>
      </w:hyperlink>
      <w:r>
        <w:t xml:space="preserve"> //Xu]</w:t>
      </w:r>
    </w:p>
    <w:p w14:paraId="6E30F18F" w14:textId="77777777" w:rsidR="00A07E59" w:rsidRPr="00EB2E4E" w:rsidRDefault="00A07E59" w:rsidP="00A07E59">
      <w:pPr>
        <w:rPr>
          <w:sz w:val="16"/>
        </w:rPr>
      </w:pPr>
      <w:r w:rsidRPr="00974D34">
        <w:rPr>
          <w:sz w:val="16"/>
        </w:rPr>
        <w:t xml:space="preserve">In a stunning reversal, </w:t>
      </w:r>
      <w:r w:rsidRPr="00974D34">
        <w:rPr>
          <w:rStyle w:val="Emphasis"/>
        </w:rPr>
        <w:t xml:space="preserve">U.S. President Joe Biden’s administration came out in favor of </w:t>
      </w:r>
      <w:r w:rsidRPr="00974D34">
        <w:rPr>
          <w:rStyle w:val="Emphasis"/>
          <w:highlight w:val="green"/>
        </w:rPr>
        <w:t>waiving i</w:t>
      </w:r>
      <w:r w:rsidRPr="00974D34">
        <w:rPr>
          <w:rStyle w:val="Emphasis"/>
        </w:rPr>
        <w:t xml:space="preserve">ntellectual </w:t>
      </w:r>
      <w:r w:rsidRPr="00974D34">
        <w:rPr>
          <w:rStyle w:val="Emphasis"/>
          <w:highlight w:val="green"/>
        </w:rPr>
        <w:t>p</w:t>
      </w:r>
      <w:r w:rsidRPr="00974D34">
        <w:rPr>
          <w:rStyle w:val="Emphasis"/>
        </w:rPr>
        <w:t xml:space="preserve">roperty </w:t>
      </w:r>
      <w:r w:rsidRPr="00974D34">
        <w:rPr>
          <w:rStyle w:val="Emphasis"/>
          <w:highlight w:val="green"/>
        </w:rPr>
        <w:t>protections for</w:t>
      </w:r>
      <w:r w:rsidRPr="00974D34">
        <w:rPr>
          <w:rStyle w:val="Emphasis"/>
        </w:rPr>
        <w:t xml:space="preserve"> COVID-19 </w:t>
      </w:r>
      <w:r w:rsidRPr="00974D34">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974D34">
        <w:rPr>
          <w:rStyle w:val="Emphasis"/>
          <w:highlight w:val="green"/>
        </w:rPr>
        <w:t>a proposal</w:t>
      </w:r>
      <w:r w:rsidRPr="00974D34">
        <w:rPr>
          <w:rStyle w:val="Emphasis"/>
        </w:rPr>
        <w:t xml:space="preserve"> from South Africa and India </w:t>
      </w:r>
      <w:r w:rsidRPr="00974D34">
        <w:rPr>
          <w:rStyle w:val="Emphasis"/>
          <w:highlight w:val="green"/>
        </w:rPr>
        <w:t>to temporarily set aside i</w:t>
      </w:r>
      <w:r w:rsidRPr="00974D34">
        <w:rPr>
          <w:rStyle w:val="Emphasis"/>
        </w:rPr>
        <w:t xml:space="preserve">ntellectual </w:t>
      </w:r>
      <w:r w:rsidRPr="00974D34">
        <w:rPr>
          <w:rStyle w:val="Emphasis"/>
          <w:highlight w:val="green"/>
        </w:rPr>
        <w:t>p</w:t>
      </w:r>
      <w:r w:rsidRPr="00974D34">
        <w:rPr>
          <w:rStyle w:val="Emphasis"/>
        </w:rPr>
        <w:t xml:space="preserve">roperty </w:t>
      </w:r>
      <w:r w:rsidRPr="00974D34">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66AFDCBB" w14:textId="77777777" w:rsidR="00A07E59" w:rsidRDefault="00A07E59" w:rsidP="00A07E59">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rsidRPr="00C11507">
        <w:t>That’s 1AC [</w:t>
      </w:r>
      <w:r w:rsidRPr="00C11507">
        <w:rPr>
          <w:highlight w:val="green"/>
        </w:rPr>
        <w:t>insert author name</w:t>
      </w:r>
      <w:r w:rsidRPr="00C11507">
        <w:t>].</w:t>
      </w:r>
    </w:p>
    <w:p w14:paraId="03B3CD6D" w14:textId="77777777" w:rsidR="00A07E59" w:rsidRPr="00C11507" w:rsidRDefault="00A07E59" w:rsidP="00A07E59">
      <w:pPr>
        <w:pStyle w:val="Heading4"/>
      </w:pPr>
      <w:r>
        <w:t>[</w:t>
      </w:r>
      <w:r w:rsidRPr="00C11507">
        <w:rPr>
          <w:highlight w:val="gree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2FEADAF5" w14:textId="7ECBF6D0" w:rsidR="00A07E59" w:rsidRDefault="00A07E59" w:rsidP="00A07E59">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71C8772E" w14:textId="4BDC8BD1" w:rsidR="00A07E59" w:rsidRDefault="00A07E59" w:rsidP="00A07E59">
      <w:pPr>
        <w:pStyle w:val="Heading3"/>
      </w:pPr>
      <w:r>
        <w:t>3</w:t>
      </w:r>
    </w:p>
    <w:p w14:paraId="20D5CD93" w14:textId="77777777" w:rsidR="00A07E59" w:rsidRDefault="00A07E59" w:rsidP="00A07E59">
      <w:pPr>
        <w:pStyle w:val="Heading4"/>
      </w:pPr>
      <w:r>
        <w:t xml:space="preserve">Text – the United States ought to </w:t>
      </w:r>
    </w:p>
    <w:p w14:paraId="453C4A48" w14:textId="77777777" w:rsidR="00A07E59" w:rsidRDefault="00A07E59" w:rsidP="00A07E59">
      <w:pPr>
        <w:pStyle w:val="Heading4"/>
        <w:numPr>
          <w:ilvl w:val="0"/>
          <w:numId w:val="11"/>
        </w:numPr>
        <w:tabs>
          <w:tab w:val="num" w:pos="360"/>
        </w:tabs>
        <w:ind w:left="0" w:firstLine="0"/>
      </w:pPr>
      <w:r>
        <w:t>anonymously invest $25 billion into 25 production lines dedicated solely to COVID-19 vaccines to boost global vaccine production managed by the Biomedical Advanced Research and Development Authority.</w:t>
      </w:r>
    </w:p>
    <w:p w14:paraId="34FA89BE" w14:textId="77777777" w:rsidR="00A07E59" w:rsidRDefault="00A07E59" w:rsidP="00A07E59">
      <w:pPr>
        <w:pStyle w:val="Heading4"/>
        <w:numPr>
          <w:ilvl w:val="0"/>
          <w:numId w:val="11"/>
        </w:numPr>
        <w:tabs>
          <w:tab w:val="num" w:pos="360"/>
        </w:tabs>
        <w:ind w:left="0" w:firstLine="0"/>
      </w:pPr>
      <w:r>
        <w:t>anonymously pre-order and distribute 8 billion doses of COVID vaccines using an equitable distribution framework prioritizing developing countries in the Global South.</w:t>
      </w:r>
    </w:p>
    <w:p w14:paraId="0A8312D9" w14:textId="77777777" w:rsidR="00A07E59" w:rsidRDefault="00A07E59" w:rsidP="00A07E59">
      <w:pPr>
        <w:pStyle w:val="Heading4"/>
      </w:pPr>
      <w:r>
        <w:t xml:space="preserve">The CP solves the </w:t>
      </w:r>
      <w:r>
        <w:rPr>
          <w:u w:val="single"/>
        </w:rPr>
        <w:t>entirety</w:t>
      </w:r>
      <w:r>
        <w:t xml:space="preserve"> of the case and does it </w:t>
      </w:r>
      <w:r>
        <w:rPr>
          <w:u w:val="single"/>
        </w:rPr>
        <w:t>faster</w:t>
      </w:r>
      <w:r>
        <w:t>.</w:t>
      </w:r>
    </w:p>
    <w:p w14:paraId="6176B39F" w14:textId="77777777" w:rsidR="00A07E59" w:rsidRPr="00306061" w:rsidRDefault="00A07E59" w:rsidP="00A07E59">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8"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21D5BBB9" w14:textId="693B1038" w:rsidR="00A07E59" w:rsidRDefault="00A07E59" w:rsidP="00A07E59">
      <w:pPr>
        <w:rPr>
          <w:sz w:val="16"/>
        </w:rPr>
      </w:pPr>
      <w:r w:rsidRPr="00B11D80">
        <w:rPr>
          <w:sz w:val="16"/>
        </w:rPr>
        <w:t xml:space="preserve">Despite wealthy countries </w:t>
      </w:r>
      <w:r w:rsidRPr="00B11D80">
        <w:rPr>
          <w:u w:val="single"/>
        </w:rPr>
        <w:t xml:space="preserve">such as the U.S. ramping up COVID-19 vaccination efforts, </w:t>
      </w:r>
      <w:r w:rsidRPr="00E70065">
        <w:rPr>
          <w:b/>
          <w:sz w:val="26"/>
          <w:highlight w:val="green"/>
          <w:u w:val="single"/>
        </w:rPr>
        <w:t>it</w:t>
      </w:r>
      <w:r w:rsidRPr="00E70065">
        <w:rPr>
          <w:highlight w:val="green"/>
          <w:u w:val="single"/>
        </w:rPr>
        <w:t xml:space="preserve"> </w:t>
      </w:r>
      <w:r w:rsidRPr="00B11D80">
        <w:rPr>
          <w:u w:val="single"/>
        </w:rPr>
        <w:t xml:space="preserve">still </w:t>
      </w:r>
      <w:r w:rsidRPr="00E70065">
        <w:rPr>
          <w:b/>
          <w:sz w:val="26"/>
          <w:highlight w:val="green"/>
          <w:u w:val="single"/>
        </w:rPr>
        <w:t>may</w:t>
      </w:r>
      <w:r w:rsidRPr="00E70065">
        <w:rPr>
          <w:highlight w:val="green"/>
          <w:u w:val="single"/>
        </w:rPr>
        <w:t xml:space="preserve"> </w:t>
      </w:r>
      <w:r w:rsidRPr="00E70065">
        <w:rPr>
          <w:b/>
          <w:sz w:val="26"/>
          <w:highlight w:val="green"/>
          <w:u w:val="single"/>
        </w:rPr>
        <w:t>take years to vaccinate the world</w:t>
      </w:r>
      <w:r w:rsidRPr="00B11D80">
        <w:rPr>
          <w:u w:val="single"/>
        </w:rPr>
        <w:t xml:space="preserve">, especially poorer countries, and the economic and humanitarian impacts could be devastating. But </w:t>
      </w:r>
      <w:r w:rsidRPr="00E70065">
        <w:rPr>
          <w:b/>
          <w:sz w:val="26"/>
          <w:highlight w:val="green"/>
          <w:u w:val="single"/>
        </w:rPr>
        <w:t>an injection of</w:t>
      </w:r>
      <w:r w:rsidRPr="00E70065">
        <w:rPr>
          <w:highlight w:val="green"/>
          <w:u w:val="single"/>
        </w:rPr>
        <w:t xml:space="preserve"> </w:t>
      </w:r>
      <w:r w:rsidRPr="00E70065">
        <w:rPr>
          <w:b/>
          <w:sz w:val="26"/>
          <w:highlight w:val="green"/>
          <w:u w:val="single"/>
        </w:rPr>
        <w:t>just $25 billion</w:t>
      </w:r>
      <w:r w:rsidRPr="00E70065">
        <w:rPr>
          <w:highlight w:val="green"/>
          <w:u w:val="single"/>
        </w:rPr>
        <w:t xml:space="preserve"> </w:t>
      </w:r>
      <w:r w:rsidRPr="00E70065">
        <w:rPr>
          <w:b/>
          <w:sz w:val="26"/>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E70065">
        <w:rPr>
          <w:b/>
          <w:sz w:val="26"/>
          <w:highlight w:val="green"/>
          <w:u w:val="single"/>
          <w:bdr w:val="single" w:sz="4" w:space="0" w:color="auto"/>
        </w:rPr>
        <w:t>could save millions of lives</w:t>
      </w:r>
      <w:r w:rsidRPr="00E7006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And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No country can be left behind in this global pandemic, and the U.S. is in a unique position to make sure every country gets the ample amount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E70065">
        <w:rPr>
          <w:b/>
          <w:bCs/>
          <w:sz w:val="26"/>
          <w:highlight w:val="green"/>
          <w:u w:val="single"/>
        </w:rPr>
        <w:t>would produce enough vaccine</w:t>
      </w:r>
      <w:r w:rsidRPr="00E70065">
        <w:rPr>
          <w:b/>
          <w:bCs/>
          <w:highlight w:val="green"/>
          <w:u w:val="single"/>
        </w:rPr>
        <w:t xml:space="preserve"> </w:t>
      </w:r>
      <w:r w:rsidRPr="00E70065">
        <w:rPr>
          <w:b/>
          <w:bCs/>
          <w:sz w:val="26"/>
          <w:highlight w:val="green"/>
          <w:u w:val="single"/>
        </w:rPr>
        <w:t>for developing countries</w:t>
      </w:r>
      <w:r w:rsidRPr="00B11D80">
        <w:rPr>
          <w:b/>
          <w:bCs/>
          <w:u w:val="single"/>
        </w:rPr>
        <w:t xml:space="preserve">, potentially </w:t>
      </w:r>
      <w:r w:rsidRPr="00E70065">
        <w:rPr>
          <w:b/>
          <w:bCs/>
          <w:sz w:val="26"/>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sz w:val="26"/>
          <w:highlight w:val="green"/>
          <w:u w:val="single"/>
        </w:rPr>
        <w:t>8 billion doses of</w:t>
      </w:r>
      <w:r w:rsidRPr="00E70065">
        <w:rPr>
          <w:highlight w:val="green"/>
          <w:u w:val="single"/>
        </w:rPr>
        <w:t xml:space="preserve"> </w:t>
      </w:r>
      <w:r w:rsidRPr="00B11D80">
        <w:rPr>
          <w:u w:val="single"/>
        </w:rPr>
        <w:t>National Institutes of Health-</w:t>
      </w:r>
      <w:proofErr w:type="spellStart"/>
      <w:r w:rsidRPr="00E70065">
        <w:rPr>
          <w:b/>
          <w:sz w:val="26"/>
          <w:highlight w:val="green"/>
          <w:u w:val="single"/>
        </w:rPr>
        <w:t>Moderna</w:t>
      </w:r>
      <w:proofErr w:type="spellEnd"/>
      <w:r w:rsidRPr="00E70065">
        <w:rPr>
          <w:b/>
          <w:sz w:val="26"/>
          <w:highlight w:val="green"/>
          <w:u w:val="single"/>
        </w:rPr>
        <w:t xml:space="preserve"> MRNA</w:t>
      </w:r>
      <w:r w:rsidRPr="00B11D80">
        <w:rPr>
          <w:u w:val="single"/>
        </w:rPr>
        <w:t xml:space="preserve">, +1.98% vaccine can be </w:t>
      </w:r>
      <w:r w:rsidRPr="00E70065">
        <w:rPr>
          <w:b/>
          <w:sz w:val="26"/>
          <w:highlight w:val="green"/>
          <w:u w:val="single"/>
        </w:rPr>
        <w:t>produced</w:t>
      </w:r>
      <w:r w:rsidRPr="00E70065">
        <w:rPr>
          <w:highlight w:val="green"/>
          <w:u w:val="single"/>
        </w:rPr>
        <w:t xml:space="preserve"> </w:t>
      </w:r>
      <w:r w:rsidRPr="00E70065">
        <w:rPr>
          <w:b/>
          <w:sz w:val="26"/>
          <w:highlight w:val="green"/>
          <w:u w:val="single"/>
        </w:rPr>
        <w:t>for</w:t>
      </w:r>
      <w:r w:rsidRPr="00E70065">
        <w:rPr>
          <w:highlight w:val="green"/>
          <w:u w:val="single"/>
        </w:rPr>
        <w:t xml:space="preserve"> </w:t>
      </w:r>
      <w:r w:rsidRPr="00B11D80">
        <w:rPr>
          <w:u w:val="single"/>
        </w:rPr>
        <w:t xml:space="preserve">just over </w:t>
      </w:r>
      <w:r w:rsidRPr="00E70065">
        <w:rPr>
          <w:b/>
          <w:sz w:val="26"/>
          <w:highlight w:val="green"/>
          <w:u w:val="single"/>
        </w:rPr>
        <w:t>$3 per dose</w:t>
      </w:r>
      <w:r w:rsidRPr="00B11D80">
        <w:rPr>
          <w:u w:val="single"/>
        </w:rPr>
        <w:t xml:space="preserve">. To bolster production and supply the necessary 8 billion doses, it would take </w:t>
      </w:r>
      <w:r w:rsidRPr="00E70065">
        <w:rPr>
          <w:b/>
          <w:sz w:val="26"/>
          <w:highlight w:val="green"/>
          <w:u w:val="single"/>
        </w:rPr>
        <w:t>$1.9 billion to fund</w:t>
      </w:r>
      <w:r w:rsidRPr="00E70065">
        <w:rPr>
          <w:highlight w:val="green"/>
          <w:u w:val="single"/>
        </w:rPr>
        <w:t xml:space="preserve"> </w:t>
      </w:r>
      <w:r w:rsidRPr="00B11D80">
        <w:rPr>
          <w:u w:val="single"/>
        </w:rPr>
        <w:t xml:space="preserve">the necessary </w:t>
      </w:r>
      <w:r w:rsidRPr="00E70065">
        <w:rPr>
          <w:b/>
          <w:sz w:val="26"/>
          <w:highlight w:val="green"/>
          <w:u w:val="single"/>
        </w:rPr>
        <w:t>25 production lines</w:t>
      </w:r>
      <w:r w:rsidRPr="00B11D80">
        <w:rPr>
          <w:u w:val="single"/>
        </w:rPr>
        <w:t xml:space="preserve">. Another </w:t>
      </w:r>
      <w:r w:rsidRPr="00E70065">
        <w:rPr>
          <w:b/>
          <w:sz w:val="26"/>
          <w:highlight w:val="green"/>
          <w:u w:val="single"/>
        </w:rPr>
        <w:t>$19 billion</w:t>
      </w:r>
      <w:r w:rsidRPr="00E70065">
        <w:rPr>
          <w:highlight w:val="green"/>
          <w:u w:val="single"/>
        </w:rPr>
        <w:t xml:space="preserve"> </w:t>
      </w:r>
      <w:r w:rsidRPr="00B11D80">
        <w:rPr>
          <w:u w:val="single"/>
        </w:rPr>
        <w:t xml:space="preserve">would pay </w:t>
      </w:r>
      <w:r w:rsidRPr="00E70065">
        <w:rPr>
          <w:b/>
          <w:sz w:val="26"/>
          <w:highlight w:val="green"/>
          <w:u w:val="single"/>
        </w:rPr>
        <w:t>for materials and labor</w:t>
      </w:r>
      <w:r w:rsidRPr="00B11D80">
        <w:rPr>
          <w:u w:val="single"/>
        </w:rPr>
        <w:t xml:space="preserve">, and </w:t>
      </w:r>
      <w:r w:rsidRPr="00E70065">
        <w:rPr>
          <w:b/>
          <w:sz w:val="26"/>
          <w:highlight w:val="green"/>
          <w:u w:val="single"/>
        </w:rPr>
        <w:t>$3 billion</w:t>
      </w:r>
      <w:r w:rsidRPr="00E70065">
        <w:rPr>
          <w:highlight w:val="green"/>
          <w:u w:val="single"/>
        </w:rPr>
        <w:t xml:space="preserve"> </w:t>
      </w:r>
      <w:r w:rsidRPr="00B11D80">
        <w:rPr>
          <w:u w:val="single"/>
        </w:rPr>
        <w:t xml:space="preserve">would </w:t>
      </w:r>
      <w:r w:rsidRPr="00E70065">
        <w:rPr>
          <w:b/>
          <w:sz w:val="26"/>
          <w:highlight w:val="green"/>
          <w:u w:val="single"/>
        </w:rPr>
        <w:t>compensate</w:t>
      </w:r>
      <w:r w:rsidRPr="00E70065">
        <w:rPr>
          <w:highlight w:val="green"/>
          <w:u w:val="single"/>
        </w:rPr>
        <w:t xml:space="preserve"> </w:t>
      </w:r>
      <w:proofErr w:type="spellStart"/>
      <w:r w:rsidRPr="00E70065">
        <w:rPr>
          <w:b/>
          <w:sz w:val="26"/>
          <w:highlight w:val="green"/>
          <w:u w:val="single"/>
        </w:rPr>
        <w:t>Moderna</w:t>
      </w:r>
      <w:proofErr w:type="spellEnd"/>
      <w:r w:rsidRPr="00E70065">
        <w:rPr>
          <w:highlight w:val="green"/>
          <w:u w:val="single"/>
        </w:rPr>
        <w:t xml:space="preserve"> </w:t>
      </w:r>
      <w:r w:rsidRPr="00E70065">
        <w:rPr>
          <w:b/>
          <w:sz w:val="26"/>
          <w:highlight w:val="green"/>
          <w:u w:val="single"/>
          <w:bdr w:val="single" w:sz="4" w:space="0" w:color="auto"/>
        </w:rPr>
        <w:t>for making technology available to manufacturers</w:t>
      </w:r>
      <w:r w:rsidRPr="00E70065">
        <w:rPr>
          <w:highlight w:val="green"/>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E70065">
        <w:rPr>
          <w:b/>
          <w:bCs/>
          <w:sz w:val="26"/>
          <w:highlight w:val="green"/>
          <w:u w:val="single"/>
        </w:rPr>
        <w:t>a rapid-response</w:t>
      </w:r>
      <w:r w:rsidRPr="00E70065">
        <w:rPr>
          <w:b/>
          <w:bCs/>
          <w:highlight w:val="green"/>
          <w:u w:val="single"/>
        </w:rPr>
        <w:t xml:space="preserve"> </w:t>
      </w:r>
      <w:r w:rsidRPr="00E70065">
        <w:rPr>
          <w:b/>
          <w:bCs/>
          <w:sz w:val="26"/>
          <w:highlight w:val="green"/>
          <w:u w:val="single"/>
        </w:rPr>
        <w:t>federal program</w:t>
      </w:r>
      <w:r w:rsidRPr="00E70065">
        <w:rPr>
          <w:b/>
          <w:bCs/>
          <w:highlight w:val="green"/>
          <w:u w:val="single"/>
        </w:rPr>
        <w:t xml:space="preserve"> </w:t>
      </w:r>
      <w:r w:rsidRPr="00B11D80">
        <w:rPr>
          <w:b/>
          <w:bCs/>
          <w:u w:val="single"/>
        </w:rPr>
        <w:t xml:space="preserve">that </w:t>
      </w:r>
      <w:r w:rsidRPr="00E70065">
        <w:rPr>
          <w:b/>
          <w:bCs/>
          <w:sz w:val="26"/>
          <w:highlight w:val="green"/>
          <w:u w:val="single"/>
        </w:rPr>
        <w:t>provides technical assistance and facilitates technology transfer</w:t>
      </w:r>
      <w:r w:rsidRPr="00E70065">
        <w:rPr>
          <w:b/>
          <w:bCs/>
          <w:highlight w:val="gree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E70065">
        <w:rPr>
          <w:b/>
          <w:sz w:val="26"/>
          <w:highlight w:val="green"/>
          <w:u w:val="single"/>
        </w:rPr>
        <w:t>designate</w:t>
      </w:r>
      <w:r w:rsidRPr="00E70065">
        <w:rPr>
          <w:highlight w:val="green"/>
          <w:u w:val="single"/>
        </w:rPr>
        <w:t xml:space="preserve"> </w:t>
      </w:r>
      <w:r w:rsidRPr="00B11D80">
        <w:rPr>
          <w:u w:val="single"/>
        </w:rPr>
        <w:t>the government’s Biomedical Advanced Research and Development Authority (</w:t>
      </w:r>
      <w:r w:rsidRPr="00E70065">
        <w:rPr>
          <w:b/>
          <w:sz w:val="26"/>
          <w:highlight w:val="green"/>
          <w:u w:val="single"/>
        </w:rPr>
        <w:t>BARDA</w:t>
      </w:r>
      <w:r w:rsidRPr="00B11D80">
        <w:rPr>
          <w:u w:val="single"/>
        </w:rPr>
        <w:t xml:space="preserve">) </w:t>
      </w:r>
      <w:r w:rsidRPr="00E70065">
        <w:rPr>
          <w:b/>
          <w:sz w:val="26"/>
          <w:highlight w:val="green"/>
          <w:u w:val="single"/>
        </w:rPr>
        <w:t>to lead</w:t>
      </w:r>
      <w:r w:rsidRPr="00E70065">
        <w:rPr>
          <w:highlight w:val="green"/>
          <w:u w:val="single"/>
        </w:rPr>
        <w:t xml:space="preserve"> </w:t>
      </w:r>
      <w:r w:rsidRPr="00B11D80">
        <w:rPr>
          <w:u w:val="single"/>
        </w:rPr>
        <w:t xml:space="preserve">the world-wide </w:t>
      </w:r>
      <w:r w:rsidRPr="00E70065">
        <w:rPr>
          <w:b/>
          <w:sz w:val="26"/>
          <w:highlight w:val="green"/>
          <w:u w:val="single"/>
        </w:rPr>
        <w:t>vaccine manufacturing effort</w:t>
      </w:r>
      <w:r w:rsidRPr="00B11D80">
        <w:rPr>
          <w:u w:val="single"/>
        </w:rPr>
        <w:t xml:space="preserve">. BARDA has the </w:t>
      </w:r>
      <w:r w:rsidRPr="00E70065">
        <w:rPr>
          <w:b/>
          <w:sz w:val="26"/>
          <w:highlight w:val="green"/>
          <w:u w:val="single"/>
        </w:rPr>
        <w:t>necessary experience to coordinate</w:t>
      </w:r>
      <w:r w:rsidRPr="00E70065">
        <w:rPr>
          <w:highlight w:val="green"/>
          <w:u w:val="single"/>
        </w:rPr>
        <w:t xml:space="preserve"> </w:t>
      </w:r>
      <w:r w:rsidRPr="00E70065">
        <w:rPr>
          <w:b/>
          <w:sz w:val="26"/>
          <w:highlight w:val="green"/>
          <w:u w:val="single"/>
        </w:rPr>
        <w:t>an initiative of this scale</w:t>
      </w:r>
      <w:r w:rsidRPr="00E70065">
        <w:rPr>
          <w:highlight w:val="green"/>
          <w:u w:val="single"/>
        </w:rPr>
        <w:t xml:space="preserve"> </w:t>
      </w:r>
      <w:r w:rsidRPr="00B11D80">
        <w:rPr>
          <w:u w:val="single"/>
        </w:rPr>
        <w:t>with the WHO,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26529486" w14:textId="3FF8951A" w:rsidR="00DA6E69" w:rsidRPr="00DA6E69" w:rsidRDefault="00DA6E69" w:rsidP="00DA6E69">
      <w:pPr>
        <w:pStyle w:val="Heading4"/>
      </w:pPr>
      <w:r>
        <w:t xml:space="preserve">Solves future pandemics – </w:t>
      </w:r>
      <w:proofErr w:type="spellStart"/>
      <w:r>
        <w:t>lindsey</w:t>
      </w:r>
      <w:proofErr w:type="spellEnd"/>
      <w:r>
        <w:t xml:space="preserve"> makes the broad argument about government support. It’s better than TRIPs, though since there’s no pharma backlash from slashing their profits.</w:t>
      </w:r>
    </w:p>
    <w:p w14:paraId="66ECADD6" w14:textId="1F8F5D55" w:rsidR="00A07E59" w:rsidRPr="00A07E59" w:rsidRDefault="00A07E59" w:rsidP="00A07E59">
      <w:pPr>
        <w:pStyle w:val="Heading3"/>
      </w:pPr>
      <w:r>
        <w:t>4</w:t>
      </w:r>
    </w:p>
    <w:p w14:paraId="1F22E1CA" w14:textId="77777777" w:rsidR="00A07E59" w:rsidRPr="00FB5463" w:rsidRDefault="00A07E59" w:rsidP="00A07E59">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183CD003" w14:textId="77777777" w:rsidR="00A07E59" w:rsidRPr="00FB5463" w:rsidRDefault="00A07E59" w:rsidP="00A07E59">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004BD75" w14:textId="77777777" w:rsidR="00A07E59" w:rsidRDefault="00A07E59" w:rsidP="00A07E59">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9"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0"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r w:rsidRPr="00601C82">
        <w:rPr>
          <w:rStyle w:val="StyleUnderline"/>
          <w:highlight w:val="green"/>
        </w:rPr>
        <w:t>compensation</w:t>
      </w:r>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seed technologies and sustainable biomass</w:t>
      </w:r>
      <w:r w:rsidRPr="00601C82">
        <w:rPr>
          <w:b/>
          <w:bCs/>
          <w:sz w:val="16"/>
        </w:rPr>
        <w:t xml:space="preserve">, </w:t>
      </w:r>
      <w:r w:rsidRPr="00601C82">
        <w:rPr>
          <w:rStyle w:val="StyleUnderline"/>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highlight w:val="green"/>
        </w:rPr>
        <w:t>and</w:t>
      </w:r>
      <w:r w:rsidRPr="00601C82">
        <w:rPr>
          <w:sz w:val="16"/>
          <w:highlight w:val="green"/>
        </w:rPr>
        <w:t xml:space="preserve"> </w:t>
      </w:r>
      <w:r w:rsidRPr="00FB5463">
        <w:rPr>
          <w:sz w:val="16"/>
        </w:rPr>
        <w:t xml:space="preserve">transportation,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1"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00E51E74" w14:textId="77777777" w:rsidR="00A07E59" w:rsidRDefault="00A07E59" w:rsidP="00A07E59">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70CDFFCF" w14:textId="77777777" w:rsidR="00A07E59" w:rsidRPr="00AD3E38" w:rsidRDefault="00A07E59" w:rsidP="00A07E59">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2"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29DBA6D5" w14:textId="77777777" w:rsidR="00A07E59" w:rsidRPr="00AD3E38" w:rsidRDefault="00A07E59" w:rsidP="00A07E59">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For energy production, RETs have been developed to generate energy from six main sources. These are: Wind energy: Technology, via off-shore and/or on-shore wind turbines, harnesses the energy produced by the wind. Solar energy: Technology either through concentrated solar power (‘CSP’)and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6A9BF758" w14:textId="77777777" w:rsidR="00A07E59" w:rsidRDefault="00A07E59" w:rsidP="00A07E59">
      <w:pPr>
        <w:pStyle w:val="Heading4"/>
        <w:rPr>
          <w:rFonts w:cs="Times New Roman"/>
        </w:rPr>
      </w:pPr>
      <w:r>
        <w:rPr>
          <w:rFonts w:cs="Times New Roman"/>
        </w:rPr>
        <w:t>Warming causes Extinction</w:t>
      </w:r>
    </w:p>
    <w:p w14:paraId="7C6CCD1F" w14:textId="77777777" w:rsidR="00A07E59" w:rsidRPr="00601C82" w:rsidRDefault="00A07E59" w:rsidP="00A07E59">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5061C83" w14:textId="77777777" w:rsidR="00A07E59" w:rsidRDefault="00A07E59" w:rsidP="00A07E59">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8AC9026" w14:textId="1FDE4BE6" w:rsidR="00A07E59" w:rsidRDefault="00A07E59" w:rsidP="00A07E59">
      <w:pPr>
        <w:pStyle w:val="Heading3"/>
      </w:pPr>
      <w:r>
        <w:t>Case</w:t>
      </w:r>
    </w:p>
    <w:p w14:paraId="3A0B43E4" w14:textId="432F0A6F" w:rsidR="00006EDE" w:rsidRPr="00006EDE" w:rsidRDefault="00006EDE" w:rsidP="00006EDE"/>
    <w:sectPr w:rsidR="00006EDE" w:rsidRPr="00006E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6E60A7"/>
    <w:rsid w:val="00006EDE"/>
    <w:rsid w:val="000139A3"/>
    <w:rsid w:val="00096195"/>
    <w:rsid w:val="00100833"/>
    <w:rsid w:val="00104529"/>
    <w:rsid w:val="00105942"/>
    <w:rsid w:val="00107396"/>
    <w:rsid w:val="00144A4C"/>
    <w:rsid w:val="001610A3"/>
    <w:rsid w:val="00176AB0"/>
    <w:rsid w:val="00177B7D"/>
    <w:rsid w:val="0018322D"/>
    <w:rsid w:val="001B5776"/>
    <w:rsid w:val="001E527A"/>
    <w:rsid w:val="001F78CE"/>
    <w:rsid w:val="00251FC7"/>
    <w:rsid w:val="002855A7"/>
    <w:rsid w:val="002B146A"/>
    <w:rsid w:val="002B5E17"/>
    <w:rsid w:val="002E25B9"/>
    <w:rsid w:val="00315690"/>
    <w:rsid w:val="00316B75"/>
    <w:rsid w:val="00325646"/>
    <w:rsid w:val="003460F2"/>
    <w:rsid w:val="0038158C"/>
    <w:rsid w:val="003902BA"/>
    <w:rsid w:val="003A09E2"/>
    <w:rsid w:val="004042ED"/>
    <w:rsid w:val="00407037"/>
    <w:rsid w:val="00446444"/>
    <w:rsid w:val="004605D6"/>
    <w:rsid w:val="004C60E8"/>
    <w:rsid w:val="004E354E"/>
    <w:rsid w:val="004E3579"/>
    <w:rsid w:val="004E728B"/>
    <w:rsid w:val="004F39E0"/>
    <w:rsid w:val="00537BD5"/>
    <w:rsid w:val="0057268A"/>
    <w:rsid w:val="005D2912"/>
    <w:rsid w:val="006065BD"/>
    <w:rsid w:val="00645FA9"/>
    <w:rsid w:val="00647866"/>
    <w:rsid w:val="00665003"/>
    <w:rsid w:val="006A2AD0"/>
    <w:rsid w:val="006C2375"/>
    <w:rsid w:val="006D4ECC"/>
    <w:rsid w:val="006E60A7"/>
    <w:rsid w:val="00722258"/>
    <w:rsid w:val="007243E5"/>
    <w:rsid w:val="00766EA0"/>
    <w:rsid w:val="007A2226"/>
    <w:rsid w:val="007F5B66"/>
    <w:rsid w:val="00823A1C"/>
    <w:rsid w:val="00845B9D"/>
    <w:rsid w:val="00860984"/>
    <w:rsid w:val="008B3ECB"/>
    <w:rsid w:val="008B4E85"/>
    <w:rsid w:val="008C1B2E"/>
    <w:rsid w:val="0091627E"/>
    <w:rsid w:val="0095122B"/>
    <w:rsid w:val="0097032B"/>
    <w:rsid w:val="009D2EAD"/>
    <w:rsid w:val="009D54B2"/>
    <w:rsid w:val="009E1922"/>
    <w:rsid w:val="009F7ED2"/>
    <w:rsid w:val="00A07E59"/>
    <w:rsid w:val="00A93661"/>
    <w:rsid w:val="00A95652"/>
    <w:rsid w:val="00AC0AB8"/>
    <w:rsid w:val="00B33C6D"/>
    <w:rsid w:val="00B43C1C"/>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A6E69"/>
    <w:rsid w:val="00E15E75"/>
    <w:rsid w:val="00E33EB6"/>
    <w:rsid w:val="00E5262C"/>
    <w:rsid w:val="00EC7DC4"/>
    <w:rsid w:val="00ED30CF"/>
    <w:rsid w:val="00F176EF"/>
    <w:rsid w:val="00F45E10"/>
    <w:rsid w:val="00F62A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15160"/>
  <w15:chartTrackingRefBased/>
  <w15:docId w15:val="{E44C11DD-9C94-4386-AAAD-8336FA536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6195"/>
    <w:rPr>
      <w:rFonts w:ascii="Calibri" w:hAnsi="Calibri" w:cs="Calibri"/>
    </w:rPr>
  </w:style>
  <w:style w:type="paragraph" w:styleId="Heading1">
    <w:name w:val="heading 1"/>
    <w:aliases w:val="Pocket"/>
    <w:basedOn w:val="Normal"/>
    <w:next w:val="Normal"/>
    <w:link w:val="Heading1Char"/>
    <w:qFormat/>
    <w:rsid w:val="000961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61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0961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3"/>
    <w:unhideWhenUsed/>
    <w:qFormat/>
    <w:rsid w:val="000961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61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6195"/>
  </w:style>
  <w:style w:type="character" w:customStyle="1" w:styleId="Heading1Char">
    <w:name w:val="Heading 1 Char"/>
    <w:aliases w:val="Pocket Char"/>
    <w:basedOn w:val="DefaultParagraphFont"/>
    <w:link w:val="Heading1"/>
    <w:rsid w:val="000961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619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096195"/>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09619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09619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6195"/>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096195"/>
    <w:rPr>
      <w:b w:val="0"/>
      <w:sz w:val="22"/>
      <w:u w:val="singl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
    <w:basedOn w:val="DefaultParagraphFont"/>
    <w:link w:val="NoSpacing"/>
    <w:uiPriority w:val="99"/>
    <w:unhideWhenUsed/>
    <w:rsid w:val="00096195"/>
    <w:rPr>
      <w:color w:val="auto"/>
      <w:u w:val="none"/>
    </w:rPr>
  </w:style>
  <w:style w:type="character" w:styleId="FollowedHyperlink">
    <w:name w:val="FollowedHyperlink"/>
    <w:basedOn w:val="DefaultParagraphFont"/>
    <w:uiPriority w:val="99"/>
    <w:semiHidden/>
    <w:unhideWhenUsed/>
    <w:rsid w:val="00096195"/>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A07E59"/>
    <w:pPr>
      <w:spacing w:after="0" w:line="240" w:lineRule="auto"/>
    </w:pPr>
    <w:rPr>
      <w:u w:val="single"/>
    </w:rPr>
  </w:style>
  <w:style w:type="paragraph" w:customStyle="1" w:styleId="textbold">
    <w:name w:val="text bold"/>
    <w:basedOn w:val="Normal"/>
    <w:link w:val="Emphasis"/>
    <w:uiPriority w:val="7"/>
    <w:qFormat/>
    <w:rsid w:val="00A07E59"/>
    <w:pPr>
      <w:ind w:left="720"/>
      <w:jc w:val="both"/>
    </w:pPr>
    <w:rPr>
      <w:b/>
      <w:iCs/>
      <w:u w:val="single"/>
    </w:rPr>
  </w:style>
  <w:style w:type="character" w:customStyle="1" w:styleId="verdana">
    <w:name w:val="verdana"/>
    <w:basedOn w:val="DefaultParagraphFont"/>
    <w:rsid w:val="00A07E59"/>
    <w:rPr>
      <w:rFonts w:cs="Times New Roman"/>
    </w:rPr>
  </w:style>
  <w:style w:type="character" w:customStyle="1" w:styleId="italic">
    <w:name w:val="italic"/>
    <w:basedOn w:val="DefaultParagraphFont"/>
    <w:rsid w:val="00A07E59"/>
    <w:rPr>
      <w:rFonts w:cs="Times New Roman"/>
    </w:rPr>
  </w:style>
  <w:style w:type="paragraph" w:styleId="NoSpacing">
    <w:name w:val="No Spacing"/>
    <w:aliases w:val="Note Level 2,Small Text,Card Format,Note Level 21,ClearFormatting,DDI Tag,Tag Title,No Spacing51,No Spacing11211,card,No Spacing31,No Spacing22,No Spacing3,No Spacing41,No Spacing111112,Tag and Cite,CD - Cite,Debate Text,Clear,Dont u"/>
    <w:basedOn w:val="Heading1"/>
    <w:link w:val="Hyperlink"/>
    <w:autoRedefine/>
    <w:uiPriority w:val="99"/>
    <w:qFormat/>
    <w:rsid w:val="00A07E5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541020">
      <w:bodyDiv w:val="1"/>
      <w:marLeft w:val="0"/>
      <w:marRight w:val="0"/>
      <w:marTop w:val="0"/>
      <w:marBottom w:val="0"/>
      <w:divBdr>
        <w:top w:val="none" w:sz="0" w:space="0" w:color="auto"/>
        <w:left w:val="none" w:sz="0" w:space="0" w:color="auto"/>
        <w:bottom w:val="none" w:sz="0" w:space="0" w:color="auto"/>
        <w:right w:val="none" w:sz="0" w:space="0" w:color="auto"/>
      </w:divBdr>
      <w:divsChild>
        <w:div w:id="140315072">
          <w:marLeft w:val="0"/>
          <w:marRight w:val="0"/>
          <w:marTop w:val="0"/>
          <w:marBottom w:val="0"/>
          <w:divBdr>
            <w:top w:val="none" w:sz="0" w:space="0" w:color="auto"/>
            <w:left w:val="none" w:sz="0" w:space="0" w:color="auto"/>
            <w:bottom w:val="none" w:sz="0" w:space="0" w:color="auto"/>
            <w:right w:val="none" w:sz="0" w:space="0" w:color="auto"/>
          </w:divBdr>
          <w:divsChild>
            <w:div w:id="2122723031">
              <w:marLeft w:val="0"/>
              <w:marRight w:val="0"/>
              <w:marTop w:val="0"/>
              <w:marBottom w:val="0"/>
              <w:divBdr>
                <w:top w:val="none" w:sz="0" w:space="0" w:color="auto"/>
                <w:left w:val="none" w:sz="0" w:space="0" w:color="auto"/>
                <w:bottom w:val="none" w:sz="0" w:space="0" w:color="auto"/>
                <w:right w:val="none" w:sz="0" w:space="0" w:color="auto"/>
              </w:divBdr>
              <w:divsChild>
                <w:div w:id="96681841">
                  <w:marLeft w:val="0"/>
                  <w:marRight w:val="0"/>
                  <w:marTop w:val="0"/>
                  <w:marBottom w:val="0"/>
                  <w:divBdr>
                    <w:top w:val="none" w:sz="0" w:space="0" w:color="auto"/>
                    <w:left w:val="none" w:sz="0" w:space="0" w:color="auto"/>
                    <w:bottom w:val="none" w:sz="0" w:space="0" w:color="auto"/>
                    <w:right w:val="none" w:sz="0" w:space="0" w:color="auto"/>
                  </w:divBdr>
                  <w:divsChild>
                    <w:div w:id="4943519">
                      <w:marLeft w:val="0"/>
                      <w:marRight w:val="0"/>
                      <w:marTop w:val="0"/>
                      <w:marBottom w:val="0"/>
                      <w:divBdr>
                        <w:top w:val="none" w:sz="0" w:space="0" w:color="auto"/>
                        <w:left w:val="none" w:sz="0" w:space="0" w:color="auto"/>
                        <w:bottom w:val="none" w:sz="0" w:space="0" w:color="auto"/>
                        <w:right w:val="none" w:sz="0" w:space="0" w:color="auto"/>
                      </w:divBdr>
                      <w:divsChild>
                        <w:div w:id="1823085783">
                          <w:marLeft w:val="0"/>
                          <w:marRight w:val="0"/>
                          <w:marTop w:val="0"/>
                          <w:marBottom w:val="0"/>
                          <w:divBdr>
                            <w:top w:val="none" w:sz="0" w:space="0" w:color="auto"/>
                            <w:left w:val="none" w:sz="0" w:space="0" w:color="auto"/>
                            <w:bottom w:val="none" w:sz="0" w:space="0" w:color="auto"/>
                            <w:right w:val="none" w:sz="0" w:space="0" w:color="auto"/>
                          </w:divBdr>
                          <w:divsChild>
                            <w:div w:id="419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ketwatch.com/story/for-just-25-billion-the-u-s-could-jump-start-a-project-to-quickly-vaccinate-the-entire-world-against-covid-1161489855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devex.com/news/us-backs-waiver-for-intellectual-property-rights-for-covid-19-vaccines-99847" TargetMode="External"/><Relationship Id="rId12" Type="http://schemas.openxmlformats.org/officeDocument/2006/relationships/hyperlink" Target="https://www.4ipcouncil.com/application/files/4516/0399/1622/Intellectual_Property_and_Renewable_Energ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bio.org/sites/default/files/2021-04/Climate%20Report_FINAL.pdf" TargetMode="External"/><Relationship Id="rId5" Type="http://schemas.openxmlformats.org/officeDocument/2006/relationships/webSettings" Target="webSettings.xml"/><Relationship Id="rId10" Type="http://schemas.openxmlformats.org/officeDocument/2006/relationships/hyperlink" Target="https://www.ipwatchdog.com/2021/05/05/tai-says-united-states-will-back-india-southafrica-proposal-waive-ip-rights-trips/id=133224/" TargetMode="External"/><Relationship Id="rId4" Type="http://schemas.openxmlformats.org/officeDocument/2006/relationships/settings" Target="settings.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99</TotalTime>
  <Pages>1</Pages>
  <Words>6410</Words>
  <Characters>36539</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4</cp:revision>
  <dcterms:created xsi:type="dcterms:W3CDTF">2021-09-26T14:37:00Z</dcterms:created>
  <dcterms:modified xsi:type="dcterms:W3CDTF">2021-09-26T20:21:00Z</dcterms:modified>
</cp:coreProperties>
</file>