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37B04" w14:textId="77777777" w:rsidR="00454AC9" w:rsidRDefault="00454AC9" w:rsidP="00454AC9">
      <w:pPr>
        <w:pStyle w:val="Heading3"/>
      </w:pPr>
      <w:r>
        <w:t>1AC: Innovation</w:t>
      </w:r>
    </w:p>
    <w:p w14:paraId="71B32D4E" w14:textId="77777777" w:rsidR="00454AC9" w:rsidRDefault="00454AC9" w:rsidP="00454AC9">
      <w:pPr>
        <w:pStyle w:val="Heading4"/>
      </w:pPr>
      <w:r>
        <w:t xml:space="preserve">Advantage 1 is Innovation – </w:t>
      </w:r>
    </w:p>
    <w:p w14:paraId="01DDF5E9" w14:textId="77777777" w:rsidR="00454AC9" w:rsidRDefault="00454AC9" w:rsidP="00454AC9">
      <w:pPr>
        <w:pStyle w:val="Heading4"/>
      </w:pPr>
      <w:r>
        <w:t xml:space="preserve">The Advantage is Innovation - </w:t>
      </w:r>
    </w:p>
    <w:p w14:paraId="3B2FA6C3" w14:textId="77777777" w:rsidR="00454AC9" w:rsidRDefault="00454AC9" w:rsidP="00454AC9">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E1D6CBF" w14:textId="77777777" w:rsidR="00454AC9" w:rsidRPr="005B38BB" w:rsidRDefault="00454AC9" w:rsidP="00454AC9">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9E1A711" w14:textId="77777777" w:rsidR="00454AC9" w:rsidRPr="007E660D" w:rsidRDefault="00454AC9" w:rsidP="00454AC9">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0D2FC30" w14:textId="77777777" w:rsidR="00454AC9" w:rsidRDefault="00454AC9" w:rsidP="00454AC9">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59217C14" w14:textId="77777777" w:rsidR="00454AC9" w:rsidRPr="005B38BB" w:rsidRDefault="00454AC9" w:rsidP="00454AC9">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74A1DF68" w14:textId="77777777" w:rsidR="00454AC9" w:rsidRDefault="00454AC9" w:rsidP="00454AC9">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1049850" w14:textId="77777777" w:rsidR="00454AC9" w:rsidRDefault="00454AC9" w:rsidP="00454AC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853EE89" w14:textId="77777777" w:rsidR="00454AC9" w:rsidRPr="00791206" w:rsidRDefault="00454AC9" w:rsidP="00454AC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6F2BD76" w14:textId="77777777" w:rsidR="00454AC9" w:rsidRPr="00E974A9" w:rsidRDefault="00454AC9" w:rsidP="00454AC9">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95B25FC" w14:textId="77777777" w:rsidR="00454AC9" w:rsidRDefault="00454AC9" w:rsidP="00454AC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8CCE2B4" w14:textId="77777777" w:rsidR="00454AC9" w:rsidRDefault="00454AC9" w:rsidP="00454AC9">
      <w:pPr>
        <w:pStyle w:val="ListParagraph"/>
        <w:numPr>
          <w:ilvl w:val="0"/>
          <w:numId w:val="11"/>
        </w:numPr>
      </w:pPr>
      <w:r>
        <w:t>AT Advantage CPs to solve Drug Prices</w:t>
      </w:r>
    </w:p>
    <w:p w14:paraId="4721E909" w14:textId="77777777" w:rsidR="00454AC9" w:rsidRDefault="00454AC9" w:rsidP="00454AC9">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AF5C958" w14:textId="77777777" w:rsidR="00454AC9" w:rsidRPr="00CA120B" w:rsidRDefault="00454AC9" w:rsidP="00454AC9">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23A3552" w14:textId="77777777" w:rsidR="00454AC9" w:rsidRDefault="00454AC9" w:rsidP="00454AC9">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E1C6A79" w14:textId="77777777" w:rsidR="00454AC9" w:rsidRPr="00E2724F" w:rsidRDefault="00454AC9" w:rsidP="00454AC9">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332D7C13" w14:textId="77777777" w:rsidR="00454AC9" w:rsidRPr="001948D4" w:rsidRDefault="00454AC9" w:rsidP="00454AC9">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2"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72FDAFC1" w14:textId="77777777" w:rsidR="00454AC9" w:rsidRPr="00E2724F" w:rsidRDefault="00454AC9" w:rsidP="00454AC9">
      <w:pPr>
        <w:pStyle w:val="Heading4"/>
      </w:pPr>
      <w:r>
        <w:t xml:space="preserve">Extinction - generic defense doesn’t apply. </w:t>
      </w:r>
    </w:p>
    <w:p w14:paraId="094C6A90" w14:textId="77777777" w:rsidR="00454AC9" w:rsidRPr="00A10F89" w:rsidRDefault="00454AC9" w:rsidP="00454AC9">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3A0DC12" w14:textId="77777777" w:rsidR="00454AC9" w:rsidRDefault="00454AC9" w:rsidP="00454AC9">
      <w:pPr>
        <w:rPr>
          <w:rStyle w:val="Emphasis"/>
          <w:sz w:val="24"/>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5D277C7F" w14:textId="77777777" w:rsidR="00454AC9" w:rsidRDefault="00454AC9" w:rsidP="00454AC9">
      <w:pPr>
        <w:pStyle w:val="Heading4"/>
      </w:pPr>
      <w:r>
        <w:t xml:space="preserve">Denial of disease deaths is a form of Western </w:t>
      </w:r>
      <w:r>
        <w:rPr>
          <w:u w:val="single"/>
        </w:rPr>
        <w:t>geographic privilege</w:t>
      </w:r>
      <w:r>
        <w:t>.</w:t>
      </w:r>
    </w:p>
    <w:p w14:paraId="4EE00BCC" w14:textId="77777777" w:rsidR="00454AC9" w:rsidRPr="00047294" w:rsidRDefault="00454AC9" w:rsidP="00454AC9">
      <w:r w:rsidRPr="00047294">
        <w:rPr>
          <w:rStyle w:val="Style13ptBold"/>
        </w:rPr>
        <w:t>Campanella 20</w:t>
      </w:r>
      <w:r>
        <w:t xml:space="preserve"> </w:t>
      </w:r>
      <w:r w:rsidRPr="00047294">
        <w:t>Edoardo Campanella 4-10-2020 "The Invisible Killers"</w:t>
      </w:r>
      <w:r>
        <w:t xml:space="preserve"> </w:t>
      </w:r>
      <w:hyperlink r:id="rId17" w:history="1">
        <w:r w:rsidRPr="001C4682">
          <w:rPr>
            <w:rStyle w:val="Hyperlink"/>
          </w:rPr>
          <w:t>https://www.project-syndicate.org/onpoint/the-invisible-killers-by-edoardo-campanella-2020-04</w:t>
        </w:r>
      </w:hyperlink>
      <w:r>
        <w:t xml:space="preserve"> (</w:t>
      </w:r>
      <w:r w:rsidRPr="00047294">
        <w:t>an economist at UniCredit Bank, is a fellow at the Center for the Governance of Change at IE University in Madrid</w:t>
      </w:r>
      <w:r>
        <w:t xml:space="preserve">)//Elmer </w:t>
      </w:r>
    </w:p>
    <w:p w14:paraId="04316E06" w14:textId="77777777" w:rsidR="00454AC9" w:rsidRPr="00047294" w:rsidRDefault="00454AC9" w:rsidP="00454AC9">
      <w:pPr>
        <w:rPr>
          <w:sz w:val="16"/>
        </w:rPr>
      </w:pPr>
      <w:r w:rsidRPr="00047294">
        <w:rPr>
          <w:u w:val="single"/>
        </w:rPr>
        <w:t xml:space="preserve">MILAN – </w:t>
      </w:r>
      <w:r w:rsidRPr="00E3202C">
        <w:rPr>
          <w:b/>
          <w:sz w:val="26"/>
          <w:highlight w:val="green"/>
          <w:u w:val="single"/>
        </w:rPr>
        <w:t>In 1969</w:t>
      </w:r>
      <w:r w:rsidRPr="00047294">
        <w:rPr>
          <w:u w:val="single"/>
        </w:rPr>
        <w:t xml:space="preserve">, the US </w:t>
      </w:r>
      <w:r w:rsidRPr="00E3202C">
        <w:rPr>
          <w:b/>
          <w:sz w:val="26"/>
          <w:highlight w:val="green"/>
          <w:u w:val="single"/>
        </w:rPr>
        <w:t>surgeon general</w:t>
      </w:r>
      <w:r w:rsidRPr="00047294">
        <w:rPr>
          <w:u w:val="single"/>
        </w:rPr>
        <w:t xml:space="preserve">, William H. Stewart, </w:t>
      </w:r>
      <w:r w:rsidRPr="00E3202C">
        <w:rPr>
          <w:b/>
          <w:sz w:val="26"/>
          <w:highlight w:val="green"/>
          <w:u w:val="single"/>
        </w:rPr>
        <w:t>told</w:t>
      </w:r>
      <w:r w:rsidRPr="00E3202C">
        <w:rPr>
          <w:highlight w:val="green"/>
          <w:u w:val="single"/>
        </w:rPr>
        <w:t xml:space="preserve"> </w:t>
      </w:r>
      <w:r w:rsidRPr="00E3202C">
        <w:rPr>
          <w:b/>
          <w:sz w:val="26"/>
          <w:highlight w:val="green"/>
          <w:u w:val="single"/>
        </w:rPr>
        <w:t>Congress</w:t>
      </w:r>
      <w:r w:rsidRPr="00E3202C">
        <w:rPr>
          <w:highlight w:val="green"/>
          <w:u w:val="single"/>
        </w:rPr>
        <w:t xml:space="preserve"> </w:t>
      </w:r>
      <w:r w:rsidRPr="00047294">
        <w:rPr>
          <w:u w:val="single"/>
        </w:rPr>
        <w:t xml:space="preserve">that </w:t>
      </w:r>
      <w:r w:rsidRPr="00E3202C">
        <w:rPr>
          <w:b/>
          <w:sz w:val="26"/>
          <w:highlight w:val="green"/>
          <w:u w:val="single"/>
        </w:rPr>
        <w:t>it was time “to close the books on infectious diseases</w:t>
      </w:r>
      <w:r w:rsidRPr="00047294">
        <w:rPr>
          <w:u w:val="single"/>
        </w:rPr>
        <w:t>” and “declare the war against pestilence won.”</w:t>
      </w:r>
      <w:r w:rsidRPr="00047294">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047294">
        <w:rPr>
          <w:u w:val="single"/>
        </w:rPr>
        <w:t xml:space="preserve">But triumphalism was not only </w:t>
      </w:r>
      <w:r w:rsidRPr="00E3202C">
        <w:rPr>
          <w:b/>
          <w:sz w:val="26"/>
          <w:highlight w:val="green"/>
          <w:u w:val="single"/>
        </w:rPr>
        <w:t>premature</w:t>
      </w:r>
      <w:r w:rsidRPr="00047294">
        <w:rPr>
          <w:u w:val="single"/>
        </w:rPr>
        <w:t xml:space="preserve">; it was dangerously foolhardy. The </w:t>
      </w:r>
      <w:r w:rsidRPr="00E3202C">
        <w:rPr>
          <w:b/>
          <w:sz w:val="26"/>
          <w:highlight w:val="green"/>
          <w:u w:val="single"/>
        </w:rPr>
        <w:t>HIV/AIDS</w:t>
      </w:r>
      <w:r w:rsidRPr="00E3202C">
        <w:rPr>
          <w:highlight w:val="green"/>
          <w:u w:val="single"/>
        </w:rPr>
        <w:t xml:space="preserve"> </w:t>
      </w:r>
      <w:r w:rsidRPr="00047294">
        <w:rPr>
          <w:u w:val="single"/>
        </w:rPr>
        <w:t xml:space="preserve">epidemic broke out in the United States just a decade later, and never has been vanquished. Then, following a short lull in the 1990s, came </w:t>
      </w:r>
      <w:r w:rsidRPr="00E3202C">
        <w:rPr>
          <w:b/>
          <w:sz w:val="26"/>
          <w:highlight w:val="green"/>
          <w:u w:val="single"/>
        </w:rPr>
        <w:t>SARS</w:t>
      </w:r>
      <w:r w:rsidRPr="00047294">
        <w:rPr>
          <w:u w:val="single"/>
        </w:rPr>
        <w:t xml:space="preserve">, </w:t>
      </w:r>
      <w:r w:rsidRPr="00E3202C">
        <w:rPr>
          <w:b/>
          <w:sz w:val="26"/>
          <w:highlight w:val="green"/>
          <w:u w:val="single"/>
        </w:rPr>
        <w:t>MERS</w:t>
      </w:r>
      <w:r w:rsidRPr="00047294">
        <w:rPr>
          <w:u w:val="single"/>
        </w:rPr>
        <w:t xml:space="preserve">, </w:t>
      </w:r>
      <w:r w:rsidRPr="00E3202C">
        <w:rPr>
          <w:b/>
          <w:sz w:val="26"/>
          <w:highlight w:val="green"/>
          <w:u w:val="single"/>
        </w:rPr>
        <w:t>Ebola</w:t>
      </w:r>
      <w:r w:rsidRPr="00047294">
        <w:rPr>
          <w:u w:val="single"/>
        </w:rPr>
        <w:t>, Zika, and avian and swine flu</w:t>
      </w:r>
      <w:r w:rsidRPr="00047294">
        <w:rPr>
          <w:sz w:val="16"/>
        </w:rPr>
        <w:t xml:space="preserve">, to name just a few of the outbreaks so far this century. </w:t>
      </w:r>
      <w:r w:rsidRPr="00047294">
        <w:rPr>
          <w:u w:val="single"/>
        </w:rPr>
        <w:t xml:space="preserve">Though </w:t>
      </w:r>
      <w:r w:rsidRPr="00E3202C">
        <w:rPr>
          <w:b/>
          <w:sz w:val="26"/>
          <w:highlight w:val="green"/>
          <w:u w:val="single"/>
        </w:rPr>
        <w:t>most</w:t>
      </w:r>
      <w:r w:rsidRPr="00E3202C">
        <w:rPr>
          <w:highlight w:val="green"/>
          <w:u w:val="single"/>
        </w:rPr>
        <w:t xml:space="preserve"> </w:t>
      </w:r>
      <w:r w:rsidRPr="00047294">
        <w:rPr>
          <w:u w:val="single"/>
        </w:rPr>
        <w:t xml:space="preserve">of these new diseases have primarily </w:t>
      </w:r>
      <w:r w:rsidRPr="00E3202C">
        <w:rPr>
          <w:b/>
          <w:sz w:val="26"/>
          <w:highlight w:val="green"/>
          <w:u w:val="single"/>
          <w:bdr w:val="single" w:sz="4" w:space="0" w:color="auto"/>
        </w:rPr>
        <w:t>afflicted the poorest parts of the world</w:t>
      </w:r>
      <w:r w:rsidRPr="00047294">
        <w:rPr>
          <w:u w:val="single"/>
        </w:rPr>
        <w:t xml:space="preserve">, they should have made clear that the war on microbes was far from over. Nonetheless, a </w:t>
      </w:r>
      <w:r w:rsidRPr="00E3202C">
        <w:rPr>
          <w:b/>
          <w:sz w:val="26"/>
          <w:highlight w:val="green"/>
          <w:u w:val="single"/>
        </w:rPr>
        <w:t>sense of invulnerability</w:t>
      </w:r>
      <w:r w:rsidRPr="00E3202C">
        <w:rPr>
          <w:highlight w:val="green"/>
          <w:u w:val="single"/>
        </w:rPr>
        <w:t xml:space="preserve"> </w:t>
      </w:r>
      <w:r w:rsidRPr="00E3202C">
        <w:rPr>
          <w:b/>
          <w:sz w:val="26"/>
          <w:highlight w:val="green"/>
          <w:u w:val="single"/>
        </w:rPr>
        <w:t>has prevailed in the West</w:t>
      </w:r>
      <w:r w:rsidRPr="00047294">
        <w:rPr>
          <w:u w:val="single"/>
        </w:rPr>
        <w:t xml:space="preserve">. It was </w:t>
      </w:r>
      <w:r w:rsidRPr="00E3202C">
        <w:rPr>
          <w:b/>
          <w:sz w:val="26"/>
          <w:highlight w:val="green"/>
          <w:u w:val="single"/>
        </w:rPr>
        <w:t>assumed</w:t>
      </w:r>
      <w:r w:rsidRPr="00E3202C">
        <w:rPr>
          <w:highlight w:val="green"/>
          <w:u w:val="single"/>
        </w:rPr>
        <w:t xml:space="preserve"> </w:t>
      </w:r>
      <w:r w:rsidRPr="00047294">
        <w:rPr>
          <w:u w:val="single"/>
        </w:rPr>
        <w:t xml:space="preserve">that even if </w:t>
      </w:r>
      <w:r w:rsidRPr="00E3202C">
        <w:rPr>
          <w:b/>
          <w:sz w:val="26"/>
          <w:highlight w:val="green"/>
          <w:u w:val="single"/>
        </w:rPr>
        <w:t>epidemics</w:t>
      </w:r>
      <w:r w:rsidRPr="00E3202C">
        <w:rPr>
          <w:highlight w:val="green"/>
          <w:u w:val="single"/>
        </w:rPr>
        <w:t xml:space="preserve"> </w:t>
      </w:r>
      <w:r w:rsidRPr="00047294">
        <w:rPr>
          <w:u w:val="single"/>
        </w:rPr>
        <w:t xml:space="preserve">had not been consigned to history, they </w:t>
      </w:r>
      <w:r w:rsidRPr="00E3202C">
        <w:rPr>
          <w:b/>
          <w:sz w:val="26"/>
          <w:highlight w:val="green"/>
          <w:u w:val="single"/>
          <w:bdr w:val="single" w:sz="4" w:space="0" w:color="auto"/>
        </w:rPr>
        <w:t>posed a risk only to geographically and economically distant societies</w:t>
      </w:r>
      <w:r w:rsidRPr="00047294">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2FCE1521" w14:textId="77777777" w:rsidR="00454AC9" w:rsidRDefault="00454AC9" w:rsidP="00454AC9">
      <w:pPr>
        <w:pStyle w:val="Heading3"/>
      </w:pPr>
      <w:r>
        <w:t>1AC: Plan</w:t>
      </w:r>
    </w:p>
    <w:p w14:paraId="100D6C9B" w14:textId="77777777" w:rsidR="00454AC9" w:rsidRDefault="00454AC9" w:rsidP="00454AC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6E0C3313" w14:textId="77777777" w:rsidR="00454AC9" w:rsidRPr="006C53E1" w:rsidRDefault="00454AC9" w:rsidP="00454AC9">
      <w:pPr>
        <w:pStyle w:val="Heading4"/>
      </w:pPr>
      <w:r>
        <w:t xml:space="preserve">The Plan </w:t>
      </w:r>
      <w:r>
        <w:rPr>
          <w:u w:val="single"/>
        </w:rPr>
        <w:t>solves Evergreening</w:t>
      </w:r>
      <w:r>
        <w:t>.</w:t>
      </w:r>
    </w:p>
    <w:p w14:paraId="651045A7" w14:textId="77777777" w:rsidR="00454AC9" w:rsidRPr="005B38BB" w:rsidRDefault="00454AC9" w:rsidP="00454AC9">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C4D0B48" w14:textId="77777777" w:rsidR="00454AC9" w:rsidRPr="0072187F" w:rsidRDefault="00454AC9" w:rsidP="00454AC9">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2B6AD68" w14:textId="59B50EA2" w:rsidR="00454AC9" w:rsidRDefault="00454AC9" w:rsidP="00454AC9">
      <w:pPr>
        <w:pStyle w:val="Heading4"/>
      </w:pPr>
      <w:r>
        <w:t xml:space="preserve">Reforming the Patent Process would </w:t>
      </w:r>
      <w:r>
        <w:rPr>
          <w:u w:val="single"/>
        </w:rPr>
        <w:t>incentivize Pharma Innovation</w:t>
      </w:r>
      <w:r>
        <w:t xml:space="preserve"> by revitalizing the Market.</w:t>
      </w:r>
    </w:p>
    <w:p w14:paraId="65277055" w14:textId="77777777" w:rsidR="00454AC9" w:rsidRPr="00791206" w:rsidRDefault="00454AC9" w:rsidP="00454AC9">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50D48F7" w14:textId="77777777" w:rsidR="00454AC9" w:rsidRDefault="00454AC9" w:rsidP="00454AC9">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F153F30" w14:textId="77777777" w:rsidR="00454AC9" w:rsidRDefault="00454AC9" w:rsidP="00454AC9">
      <w:pPr>
        <w:pStyle w:val="Heading3"/>
      </w:pPr>
      <w:r>
        <w:t>Framework</w:t>
      </w:r>
    </w:p>
    <w:p w14:paraId="4D2600DC" w14:textId="77777777" w:rsidR="00454AC9" w:rsidRDefault="00454AC9" w:rsidP="00454AC9">
      <w:pPr>
        <w:pStyle w:val="Heading4"/>
      </w:pPr>
      <w:r>
        <w:t xml:space="preserve">The standard is maximizing expected well-being. Prefer – </w:t>
      </w:r>
    </w:p>
    <w:p w14:paraId="45FBCB64" w14:textId="77777777" w:rsidR="00454AC9" w:rsidRPr="009C0E7E" w:rsidRDefault="00454AC9" w:rsidP="00454AC9">
      <w:pPr>
        <w:pStyle w:val="Heading4"/>
      </w:pPr>
      <w:r>
        <w:t>1] Pleasure is an intrinsic good—solves regress.</w:t>
      </w:r>
    </w:p>
    <w:p w14:paraId="67B6A281" w14:textId="77777777" w:rsidR="00454AC9" w:rsidRPr="00C704EB" w:rsidRDefault="00454AC9" w:rsidP="00454AC9">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64850D45" w14:textId="77777777" w:rsidR="00454AC9" w:rsidRPr="00C704EB" w:rsidRDefault="00454AC9" w:rsidP="00454AC9">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5F5B0B2C" w14:textId="77777777" w:rsidR="00454AC9" w:rsidRDefault="00454AC9" w:rsidP="00454AC9">
      <w:pPr>
        <w:pStyle w:val="Heading4"/>
      </w:pPr>
      <w:r>
        <w:t xml:space="preserve">Outweighs – </w:t>
      </w:r>
    </w:p>
    <w:p w14:paraId="42C88188" w14:textId="77777777" w:rsidR="00454AC9" w:rsidRPr="00F24676" w:rsidRDefault="00454AC9" w:rsidP="00454AC9">
      <w:r>
        <w:t>A] Other FWs rely on long questionable claims that make them less likely. Only util is epistemically accessible.</w:t>
      </w:r>
    </w:p>
    <w:p w14:paraId="211E237D" w14:textId="77777777" w:rsidR="00454AC9" w:rsidRDefault="00454AC9" w:rsidP="00454AC9">
      <w:r>
        <w:t>B] History – Thousands of years of debating haven’t settled ethical questions, so presume util since there’s good in making the world a better place</w:t>
      </w:r>
    </w:p>
    <w:p w14:paraId="1C44272A" w14:textId="77777777" w:rsidR="00454AC9" w:rsidRDefault="00454AC9" w:rsidP="00454AC9">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7D9F24EF" w14:textId="77777777" w:rsidR="00454AC9" w:rsidRPr="00F24676" w:rsidRDefault="00454AC9" w:rsidP="00454AC9">
      <w:pPr>
        <w:pStyle w:val="Heading4"/>
      </w:pPr>
      <w:r>
        <w:t>3] Death outweighs – agents can’t act ethically if they fear bodily harm. Means extinction first – future value, magnitude, risk parity</w:t>
      </w:r>
    </w:p>
    <w:p w14:paraId="5D58EB3E" w14:textId="77777777" w:rsidR="00454AC9" w:rsidRPr="00D23946" w:rsidRDefault="00454AC9" w:rsidP="00454AC9">
      <w:pPr>
        <w:shd w:val="clear" w:color="auto" w:fill="FFFFFF"/>
        <w:spacing w:after="0" w:line="240" w:lineRule="auto"/>
        <w:rPr>
          <w:rFonts w:eastAsia="Times New Roman"/>
          <w:color w:val="222222"/>
        </w:rPr>
      </w:pPr>
      <w:r w:rsidRPr="00D23946">
        <w:rPr>
          <w:rStyle w:val="Style13ptBold"/>
        </w:rPr>
        <w:t>Pummer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3745A4A2" w14:textId="77777777" w:rsidR="00454AC9" w:rsidRPr="008431CC" w:rsidRDefault="00454AC9" w:rsidP="00454AC9">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05C99F0A" w14:textId="77777777" w:rsidR="00454AC9" w:rsidRDefault="00454AC9" w:rsidP="00454AC9">
      <w:pPr>
        <w:pStyle w:val="Heading4"/>
      </w:pPr>
      <w:r>
        <w:t xml:space="preserve">4] Consequentialism true – </w:t>
      </w:r>
    </w:p>
    <w:p w14:paraId="22E7015A" w14:textId="77777777" w:rsidR="00454AC9" w:rsidRDefault="00454AC9" w:rsidP="00454AC9">
      <w:r>
        <w:t>A] No intent-foresight distinction – when I foresee something it enters into my intention</w:t>
      </w:r>
    </w:p>
    <w:p w14:paraId="132B8E73" w14:textId="77777777" w:rsidR="00454AC9" w:rsidRPr="001469F1" w:rsidRDefault="00454AC9" w:rsidP="00454AC9">
      <w:r>
        <w:t>B] No act-omission distinction – omitting is just choosing not to take any other action</w:t>
      </w:r>
    </w:p>
    <w:p w14:paraId="09048076" w14:textId="77777777" w:rsidR="00454AC9" w:rsidRDefault="00454AC9" w:rsidP="00454AC9">
      <w:pPr>
        <w:pStyle w:val="Heading3"/>
      </w:pPr>
      <w:r>
        <w:t>Underview</w:t>
      </w:r>
    </w:p>
    <w:p w14:paraId="5A63346A" w14:textId="77777777" w:rsidR="001337CA" w:rsidRPr="00B55AD5" w:rsidRDefault="001337CA" w:rsidP="001337CA">
      <w:pPr>
        <w:pStyle w:val="Heading4"/>
      </w:pPr>
      <w:bookmarkStart w:id="0" w:name="_Hlk35105612"/>
      <w:r w:rsidRPr="00E64062">
        <w:rPr>
          <w:rFonts w:asciiTheme="minorHAnsi" w:hAnsiTheme="minorHAnsi" w:cstheme="minorHAnsi"/>
        </w:rPr>
        <w:t>]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1AR theory first – a) if we win the NC is abusive, you shouldn’t evaluate the arguments in it, b) norming – it sets norms for all of time but their interp only functions on this topic so it o/w on scope, c) the time-crunched 1ar needs it to beat the 6 minute 2nr</w:t>
      </w:r>
      <w:bookmarkEnd w:id="0"/>
    </w:p>
    <w:p w14:paraId="0450FF4D" w14:textId="75EC8A00" w:rsidR="00A95652" w:rsidRDefault="00A95652" w:rsidP="00B55AD5"/>
    <w:p w14:paraId="09628DEB" w14:textId="1BC65C5A" w:rsidR="001337CA" w:rsidRDefault="001337CA" w:rsidP="009E193B">
      <w:pPr>
        <w:pStyle w:val="Heading3"/>
      </w:pPr>
      <w:r>
        <w:t xml:space="preserve">Method – </w:t>
      </w:r>
    </w:p>
    <w:p w14:paraId="24EB3741" w14:textId="77777777" w:rsidR="001337CA" w:rsidRDefault="001337CA" w:rsidP="001337CA">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6EB38C02" w14:textId="77777777" w:rsidR="001337CA" w:rsidRPr="00CB65BE" w:rsidRDefault="001337CA" w:rsidP="001337CA">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790F08EE" w14:textId="77777777" w:rsidR="001337CA" w:rsidRDefault="001337CA" w:rsidP="001337CA">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E3202C">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E3202C">
        <w:rPr>
          <w:rStyle w:val="Emphasis"/>
          <w:sz w:val="24"/>
          <w:highlight w:val="green"/>
        </w:rPr>
        <w:t>is racial</w:t>
      </w:r>
      <w:r w:rsidRPr="00CB65BE">
        <w:rPr>
          <w:rStyle w:val="Emphasis"/>
          <w:sz w:val="24"/>
        </w:rPr>
        <w:t xml:space="preserve"> </w:t>
      </w:r>
      <w:r w:rsidRPr="00CB65BE">
        <w:rPr>
          <w:sz w:val="16"/>
        </w:rPr>
        <w:t xml:space="preserve">and ethnic </w:t>
      </w:r>
      <w:r w:rsidRPr="00E3202C">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E3202C">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E3202C">
        <w:rPr>
          <w:rStyle w:val="Emphasis"/>
          <w:sz w:val="24"/>
          <w:highlight w:val="green"/>
        </w:rPr>
        <w:t xml:space="preserve">biases </w:t>
      </w:r>
      <w:r w:rsidRPr="00CB65BE">
        <w:rPr>
          <w:rStyle w:val="Emphasis"/>
          <w:sz w:val="24"/>
        </w:rPr>
        <w:t xml:space="preserve">in health care </w:t>
      </w:r>
      <w:r w:rsidRPr="00E3202C">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E3202C">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E3202C">
        <w:rPr>
          <w:rStyle w:val="Emphasis"/>
          <w:sz w:val="24"/>
          <w:highlight w:val="green"/>
          <w:bdr w:val="single" w:sz="4" w:space="0" w:color="auto"/>
        </w:rPr>
        <w:t>inevitable byproducts of human nature</w:t>
      </w:r>
      <w:r w:rsidRPr="00E3202C">
        <w:rPr>
          <w:rStyle w:val="Emphasis"/>
          <w:sz w:val="24"/>
          <w:highlight w:val="green"/>
        </w:rPr>
        <w:t xml:space="preserve"> or </w:t>
      </w:r>
      <w:r w:rsidRPr="00CB65BE">
        <w:rPr>
          <w:rStyle w:val="Emphasis"/>
          <w:sz w:val="24"/>
        </w:rPr>
        <w:t xml:space="preserve">a phenomenon </w:t>
      </w:r>
      <w:r w:rsidRPr="00E3202C">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E3202C">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E3202C">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E3202C">
        <w:rPr>
          <w:rStyle w:val="StyleUnderline"/>
          <w:sz w:val="24"/>
          <w:highlight w:val="green"/>
        </w:rPr>
        <w:t xml:space="preserve">law has directly influenced </w:t>
      </w:r>
      <w:r w:rsidRPr="00CB65BE">
        <w:rPr>
          <w:rStyle w:val="StyleUnderline"/>
          <w:sz w:val="24"/>
        </w:rPr>
        <w:t xml:space="preserve">the </w:t>
      </w:r>
      <w:r w:rsidRPr="00E3202C">
        <w:rPr>
          <w:rStyle w:val="StyleUnderline"/>
          <w:bCs/>
          <w:sz w:val="24"/>
          <w:highlight w:val="green"/>
        </w:rPr>
        <w:t>differences</w:t>
      </w:r>
      <w:r w:rsidRPr="00E3202C">
        <w:rPr>
          <w:rStyle w:val="StyleUnderline"/>
          <w:sz w:val="24"/>
          <w:highlight w:val="green"/>
        </w:rPr>
        <w:t xml:space="preserve"> in</w:t>
      </w:r>
      <w:r w:rsidRPr="00CB65BE">
        <w:rPr>
          <w:sz w:val="16"/>
        </w:rPr>
        <w:t xml:space="preserve"> health and </w:t>
      </w:r>
      <w:r w:rsidRPr="00E3202C">
        <w:rPr>
          <w:rStyle w:val="StyleUnderline"/>
          <w:bCs/>
          <w:sz w:val="24"/>
          <w:highlight w:val="green"/>
        </w:rPr>
        <w:t>health care experiences</w:t>
      </w:r>
      <w:r w:rsidRPr="00E3202C">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E3202C">
        <w:rPr>
          <w:rStyle w:val="StyleUnderline"/>
          <w:sz w:val="24"/>
          <w:highlight w:val="green"/>
        </w:rPr>
        <w:t xml:space="preserve">when civil rights laws were effectively used to </w:t>
      </w:r>
      <w:r w:rsidRPr="00CB65BE">
        <w:rPr>
          <w:rStyle w:val="StyleUnderline"/>
          <w:sz w:val="24"/>
        </w:rPr>
        <w:t xml:space="preserve">desegregate health care and </w:t>
      </w:r>
      <w:r w:rsidRPr="00E3202C">
        <w:rPr>
          <w:rStyle w:val="StyleUnderline"/>
          <w:bCs/>
          <w:sz w:val="24"/>
          <w:highlight w:val="green"/>
        </w:rPr>
        <w:t>promote equal access, health care disparities improved</w:t>
      </w:r>
      <w:r w:rsidRPr="00E3202C">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E3202C">
        <w:rPr>
          <w:rStyle w:val="Emphasis"/>
          <w:sz w:val="24"/>
          <w:highlight w:val="green"/>
        </w:rPr>
        <w:t>racial</w:t>
      </w:r>
      <w:r w:rsidRPr="00CB65BE">
        <w:rPr>
          <w:rStyle w:val="StyleUnderline"/>
          <w:sz w:val="24"/>
        </w:rPr>
        <w:t xml:space="preserve"> and ethnic </w:t>
      </w:r>
      <w:r w:rsidRPr="00E3202C">
        <w:rPr>
          <w:rStyle w:val="Emphasis"/>
          <w:sz w:val="24"/>
          <w:highlight w:val="green"/>
        </w:rPr>
        <w:t>biases are malleable.</w:t>
      </w:r>
      <w:r w:rsidRPr="00E3202C">
        <w:rPr>
          <w:rStyle w:val="StyleUnderline"/>
          <w:sz w:val="24"/>
          <w:highlight w:val="green"/>
        </w:rPr>
        <w:t xml:space="preserve"> </w:t>
      </w:r>
      <w:r w:rsidRPr="00CB65BE">
        <w:rPr>
          <w:rStyle w:val="StyleUnderline"/>
          <w:sz w:val="24"/>
        </w:rPr>
        <w:t xml:space="preserve">Contrary to popular fiction, </w:t>
      </w:r>
      <w:r w:rsidRPr="00E3202C">
        <w:rPr>
          <w:rStyle w:val="Emphasis"/>
          <w:sz w:val="24"/>
          <w:highlight w:val="green"/>
        </w:rPr>
        <w:t>unconscious racism is neither inevitable nor unalterable.</w:t>
      </w:r>
      <w:r w:rsidRPr="00E3202C">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E3202C">
        <w:rPr>
          <w:rStyle w:val="Emphasis"/>
          <w:sz w:val="24"/>
          <w:highlight w:val="green"/>
        </w:rPr>
        <w:t>responding to this crisis is not only a moral responsibility, but also</w:t>
      </w:r>
      <w:r w:rsidRPr="00CB65BE">
        <w:rPr>
          <w:sz w:val="16"/>
        </w:rPr>
        <w:t xml:space="preserve"> appropriately </w:t>
      </w:r>
      <w:r w:rsidRPr="00E3202C">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E3202C">
        <w:rPr>
          <w:rStyle w:val="Emphasis"/>
          <w:sz w:val="24"/>
          <w:highlight w:val="green"/>
        </w:rPr>
        <w:t>other avenues will</w:t>
      </w:r>
      <w:r w:rsidRPr="00CB65BE">
        <w:rPr>
          <w:sz w:val="16"/>
        </w:rPr>
        <w:t xml:space="preserve"> simply </w:t>
      </w:r>
      <w:r w:rsidRPr="00E3202C">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E3202C">
        <w:rPr>
          <w:rStyle w:val="Emphasis"/>
          <w:sz w:val="24"/>
          <w:highlight w:val="green"/>
        </w:rPr>
        <w:t>legal reforms</w:t>
      </w:r>
      <w:r w:rsidRPr="00CB65BE">
        <w:rPr>
          <w:sz w:val="16"/>
        </w:rPr>
        <w:t xml:space="preserve"> I propose will </w:t>
      </w:r>
      <w:r w:rsidRPr="00E3202C">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0E7714B8" w14:textId="77777777" w:rsidR="001337CA" w:rsidRPr="00B55AD5" w:rsidRDefault="001337CA" w:rsidP="00B55AD5"/>
    <w:sectPr w:rsidR="001337C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E036D6"/>
    <w:rsid w:val="000139A3"/>
    <w:rsid w:val="00100833"/>
    <w:rsid w:val="00104529"/>
    <w:rsid w:val="00105942"/>
    <w:rsid w:val="00107396"/>
    <w:rsid w:val="001337CA"/>
    <w:rsid w:val="00144A4C"/>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8158C"/>
    <w:rsid w:val="003902BA"/>
    <w:rsid w:val="003A09E2"/>
    <w:rsid w:val="00407037"/>
    <w:rsid w:val="00454AC9"/>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122B"/>
    <w:rsid w:val="0097032B"/>
    <w:rsid w:val="009D2EAD"/>
    <w:rsid w:val="009D54B2"/>
    <w:rsid w:val="009E1922"/>
    <w:rsid w:val="009E193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36D6"/>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779C0"/>
  <w15:chartTrackingRefBased/>
  <w15:docId w15:val="{58230E41-FF21-4A26-9770-184F751A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4AC9"/>
    <w:rPr>
      <w:rFonts w:ascii="Calibri" w:hAnsi="Calibri" w:cs="Calibri"/>
    </w:rPr>
  </w:style>
  <w:style w:type="paragraph" w:styleId="Heading1">
    <w:name w:val="heading 1"/>
    <w:aliases w:val="Pocket"/>
    <w:basedOn w:val="Normal"/>
    <w:next w:val="Normal"/>
    <w:link w:val="Heading1Char"/>
    <w:qFormat/>
    <w:rsid w:val="00E036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36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36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036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36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6D6"/>
  </w:style>
  <w:style w:type="character" w:customStyle="1" w:styleId="Heading1Char">
    <w:name w:val="Heading 1 Char"/>
    <w:aliases w:val="Pocket Char"/>
    <w:basedOn w:val="DefaultParagraphFont"/>
    <w:link w:val="Heading1"/>
    <w:rsid w:val="00E036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36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36D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036D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036D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36D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E036D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036D6"/>
    <w:rPr>
      <w:color w:val="auto"/>
      <w:u w:val="none"/>
    </w:rPr>
  </w:style>
  <w:style w:type="character" w:styleId="FollowedHyperlink">
    <w:name w:val="FollowedHyperlink"/>
    <w:basedOn w:val="DefaultParagraphFont"/>
    <w:uiPriority w:val="99"/>
    <w:semiHidden/>
    <w:unhideWhenUsed/>
    <w:rsid w:val="00E036D6"/>
    <w:rPr>
      <w:color w:val="auto"/>
      <w:u w:val="none"/>
    </w:rPr>
  </w:style>
  <w:style w:type="paragraph" w:customStyle="1" w:styleId="textbold">
    <w:name w:val="text bold"/>
    <w:basedOn w:val="Normal"/>
    <w:link w:val="Emphasis"/>
    <w:uiPriority w:val="7"/>
    <w:qFormat/>
    <w:rsid w:val="00454AC9"/>
    <w:pPr>
      <w:ind w:left="720"/>
      <w:jc w:val="both"/>
    </w:pPr>
    <w:rPr>
      <w:b/>
      <w:iCs/>
      <w:u w:val="single"/>
    </w:rPr>
  </w:style>
  <w:style w:type="paragraph" w:styleId="ListParagraph">
    <w:name w:val="List Paragraph"/>
    <w:aliases w:val="6 font"/>
    <w:basedOn w:val="Normal"/>
    <w:uiPriority w:val="99"/>
    <w:unhideWhenUsed/>
    <w:qFormat/>
    <w:rsid w:val="00454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project-syndicate.org/onpoint/the-invisible-killers-by-edoardo-campanella-2020-04"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14217</Words>
  <Characters>81040</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3</cp:revision>
  <dcterms:created xsi:type="dcterms:W3CDTF">2021-09-05T01:12:00Z</dcterms:created>
  <dcterms:modified xsi:type="dcterms:W3CDTF">2021-09-05T01:50:00Z</dcterms:modified>
</cp:coreProperties>
</file>