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99332" w14:textId="195B7F48" w:rsidR="00E42E4C" w:rsidRDefault="00646E89" w:rsidP="00646E89">
      <w:pPr>
        <w:pStyle w:val="Heading4"/>
      </w:pPr>
      <w:r>
        <w:t>Interpretation: if a debater is permitted to have a page on the NDCA wiki, they must post contact information</w:t>
      </w:r>
    </w:p>
    <w:p w14:paraId="662EB709" w14:textId="2930B1DB" w:rsidR="00646E89" w:rsidRDefault="00646E89" w:rsidP="00646E89"/>
    <w:p w14:paraId="4C23F361" w14:textId="213750B1" w:rsidR="00646E89" w:rsidRDefault="00646E89" w:rsidP="00646E89">
      <w:pPr>
        <w:pStyle w:val="Heading4"/>
      </w:pPr>
      <w:r>
        <w:t xml:space="preserve">Violation: they have a </w:t>
      </w:r>
      <w:proofErr w:type="gramStart"/>
      <w:r>
        <w:t>wiki</w:t>
      </w:r>
      <w:proofErr w:type="gramEnd"/>
      <w:r>
        <w:t xml:space="preserve"> and they didn’t, I have screenshots</w:t>
      </w:r>
    </w:p>
    <w:p w14:paraId="130DCC93" w14:textId="4F195ACB" w:rsidR="00646E89" w:rsidRDefault="00646E89" w:rsidP="00646E89"/>
    <w:p w14:paraId="1ABCEAA0" w14:textId="7851208F" w:rsidR="00646E89" w:rsidRDefault="00646E89" w:rsidP="00646E89">
      <w:r>
        <w:rPr>
          <w:noProof/>
        </w:rPr>
        <w:drawing>
          <wp:inline distT="0" distB="0" distL="0" distR="0" wp14:anchorId="5B5B0E73" wp14:editId="768C3B37">
            <wp:extent cx="11722100" cy="5740400"/>
            <wp:effectExtent l="0" t="0" r="0" b="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9"/>
                    <a:stretch>
                      <a:fillRect/>
                    </a:stretch>
                  </pic:blipFill>
                  <pic:spPr>
                    <a:xfrm>
                      <a:off x="0" y="0"/>
                      <a:ext cx="11722100" cy="5740400"/>
                    </a:xfrm>
                    <a:prstGeom prst="rect">
                      <a:avLst/>
                    </a:prstGeom>
                  </pic:spPr>
                </pic:pic>
              </a:graphicData>
            </a:graphic>
          </wp:inline>
        </w:drawing>
      </w:r>
    </w:p>
    <w:p w14:paraId="797FD465" w14:textId="38042E76" w:rsidR="00646E89" w:rsidRDefault="00646E89" w:rsidP="00646E89"/>
    <w:p w14:paraId="137743CE" w14:textId="04D1F635" w:rsidR="00646E89" w:rsidRDefault="00646E89" w:rsidP="00646E89">
      <w:pPr>
        <w:pStyle w:val="Heading4"/>
      </w:pPr>
      <w:r>
        <w:t>Standards:</w:t>
      </w:r>
    </w:p>
    <w:p w14:paraId="05DF07D4" w14:textId="583C08CF" w:rsidR="00646E89" w:rsidRDefault="00646E89" w:rsidP="00646E89"/>
    <w:p w14:paraId="122AE144" w14:textId="4B27B8D4" w:rsidR="00646E89" w:rsidRDefault="00646E89" w:rsidP="00646E89">
      <w:pPr>
        <w:pStyle w:val="Heading4"/>
        <w:numPr>
          <w:ilvl w:val="0"/>
          <w:numId w:val="12"/>
        </w:numPr>
      </w:pPr>
      <w:r>
        <w:t>Safety – contact information is key to communicating before the round about trigger warnings or other accommodations for disabled debaters, which could cause serious in round violence. That’s an independent voter to inclusion since we can’t have debate unless ppl are included within the space</w:t>
      </w:r>
    </w:p>
    <w:p w14:paraId="27DE02EF" w14:textId="77777777" w:rsidR="00646E89" w:rsidRDefault="00646E89" w:rsidP="00646E89">
      <w:pPr>
        <w:pStyle w:val="Heading4"/>
        <w:numPr>
          <w:ilvl w:val="0"/>
          <w:numId w:val="12"/>
        </w:numPr>
      </w:pPr>
      <w:r>
        <w:t xml:space="preserve">Depth of clash: I can’t learn anything about the aff before the debate if I can’t contact them for information. That means we have worse debates since im forced to read generics and couldn’t properly engage with the aff – controls the internal link to education since clash is the only unique impact we get from debate. </w:t>
      </w:r>
    </w:p>
    <w:p w14:paraId="688E4426" w14:textId="36335DA7" w:rsidR="00646E89" w:rsidRDefault="00646E89" w:rsidP="00646E89">
      <w:pPr>
        <w:pStyle w:val="Heading4"/>
        <w:numPr>
          <w:ilvl w:val="0"/>
          <w:numId w:val="12"/>
        </w:numPr>
      </w:pPr>
      <w:r>
        <w:t xml:space="preserve">Strat skew - moots my prep time since I don’t get to tailor my strat to the aff – that’s key to reciprocal burdens since the aff gets to set the terms of the debate. Controls the internal link to fairness debate is a </w:t>
      </w:r>
      <w:proofErr w:type="gramStart"/>
      <w:r>
        <w:t>prep based</w:t>
      </w:r>
      <w:proofErr w:type="gramEnd"/>
      <w:r>
        <w:t xml:space="preserve"> activity – means it’s structurally impossible for me to come up with a good strat</w:t>
      </w:r>
    </w:p>
    <w:p w14:paraId="6B9CB365" w14:textId="7BD1BA96" w:rsidR="00646E89" w:rsidRDefault="00646E89" w:rsidP="00646E89"/>
    <w:p w14:paraId="37EFFDDC" w14:textId="04CB6144" w:rsidR="009C6A63" w:rsidRDefault="009C6A63" w:rsidP="009C6A63">
      <w:pPr>
        <w:pStyle w:val="Heading4"/>
      </w:pPr>
      <w:r>
        <w:t>Fairness: it’s constitutive of activities with wins and losses</w:t>
      </w:r>
    </w:p>
    <w:p w14:paraId="51223551" w14:textId="10B32BE3" w:rsidR="009C6A63" w:rsidRDefault="009C6A63" w:rsidP="009C6A63">
      <w:pPr>
        <w:pStyle w:val="Heading4"/>
      </w:pPr>
      <w:r>
        <w:t xml:space="preserve">Education – it’s the only reason school fund debate and host tournaments </w:t>
      </w:r>
    </w:p>
    <w:p w14:paraId="44A765ED" w14:textId="3D7D7E12" w:rsidR="009C6A63" w:rsidRDefault="009C6A63" w:rsidP="009C6A63">
      <w:pPr>
        <w:pStyle w:val="Heading4"/>
      </w:pPr>
      <w:r>
        <w:t>DTD – a) deter future abuse and set norms b) my strat has already been skewed</w:t>
      </w:r>
    </w:p>
    <w:p w14:paraId="125A4425" w14:textId="4BA3253A" w:rsidR="009C6A63" w:rsidRDefault="009C6A63" w:rsidP="009C6A63">
      <w:pPr>
        <w:pStyle w:val="Heading4"/>
      </w:pPr>
      <w:r>
        <w:t>CI: a) reasonability arbirtrary and causes judge intervention since we don’t know you abuse meter b) creates a race to the top where we set the best norms for debate</w:t>
      </w:r>
    </w:p>
    <w:p w14:paraId="4CD7ED4C" w14:textId="07FC9E5F" w:rsidR="009C6A63" w:rsidRDefault="009C6A63" w:rsidP="009C6A63">
      <w:pPr>
        <w:pStyle w:val="Heading4"/>
      </w:pPr>
      <w:r>
        <w:t xml:space="preserve">No RVIS a) illogical – you don’t win for proving you’re fair b) incentivizze baiting theory and prepping it out which leads to abusive practices c) creates a chilling effect where people are scared to check real abuse </w:t>
      </w:r>
    </w:p>
    <w:p w14:paraId="01545D69" w14:textId="1C902FC8" w:rsidR="00725501" w:rsidRDefault="00725501" w:rsidP="00725501"/>
    <w:p w14:paraId="6285CCB2" w14:textId="420AA11E" w:rsidR="00725501" w:rsidRPr="00725501" w:rsidRDefault="00725501" w:rsidP="00725501">
      <w:r>
        <w:t>2</w:t>
      </w:r>
    </w:p>
    <w:p w14:paraId="0A98F5F4" w14:textId="29204E7C" w:rsidR="00725501" w:rsidRDefault="00725501" w:rsidP="00725501"/>
    <w:p w14:paraId="72F5ABC2" w14:textId="77777777" w:rsidR="00725501" w:rsidRDefault="00725501" w:rsidP="00725501">
      <w:pPr>
        <w:pStyle w:val="Heading4"/>
        <w:rPr>
          <w:rFonts w:eastAsia="Times New Roman"/>
        </w:rPr>
      </w:pPr>
      <w:r w:rsidRPr="00F767F1">
        <w:t xml:space="preserve">Interp: </w:t>
      </w:r>
      <w:r w:rsidRPr="00F767F1">
        <w:rPr>
          <w:rFonts w:eastAsia="Times New Roman"/>
        </w:rPr>
        <w:t xml:space="preserve">The affirmative must </w:t>
      </w:r>
      <w:r>
        <w:rPr>
          <w:rFonts w:eastAsia="Times New Roman"/>
        </w:rPr>
        <w:t xml:space="preserve">defend the resolution: </w:t>
      </w:r>
      <w:r w:rsidRPr="003C0174">
        <w:rPr>
          <w:rFonts w:eastAsia="Times New Roman"/>
        </w:rPr>
        <w:t>Resolved: The member nations of the World Trade Organization ought to reduce intellectual property protections for medicines.</w:t>
      </w:r>
    </w:p>
    <w:p w14:paraId="55CB2E88" w14:textId="77777777" w:rsidR="00725501" w:rsidRPr="002C7F76" w:rsidRDefault="00725501" w:rsidP="00725501"/>
    <w:p w14:paraId="6EC4F763" w14:textId="77777777" w:rsidR="00725501" w:rsidRDefault="00725501" w:rsidP="00725501">
      <w:pPr>
        <w:pStyle w:val="Heading4"/>
      </w:pPr>
      <w:r>
        <w:t>Violation:</w:t>
      </w:r>
      <w:r w:rsidRPr="0068420A">
        <w:t xml:space="preserve"> </w:t>
      </w:r>
      <w:r>
        <w:t>they defend removal patent protections on agricultural medicine.</w:t>
      </w:r>
    </w:p>
    <w:p w14:paraId="155384F5" w14:textId="77777777" w:rsidR="00725501" w:rsidRDefault="00725501" w:rsidP="00725501"/>
    <w:p w14:paraId="40206560" w14:textId="77777777" w:rsidR="00725501" w:rsidRDefault="00725501" w:rsidP="00725501">
      <w:pPr>
        <w:pStyle w:val="Heading4"/>
      </w:pPr>
      <w:r>
        <w:t>Standards</w:t>
      </w:r>
    </w:p>
    <w:p w14:paraId="35DDDA75" w14:textId="77777777" w:rsidR="00725501" w:rsidRDefault="00725501" w:rsidP="00725501"/>
    <w:p w14:paraId="1B129864" w14:textId="77777777" w:rsidR="00725501" w:rsidRDefault="00725501" w:rsidP="00725501">
      <w:pPr>
        <w:pStyle w:val="Heading4"/>
        <w:numPr>
          <w:ilvl w:val="0"/>
          <w:numId w:val="13"/>
        </w:numPr>
      </w:pPr>
      <w:r>
        <w:t xml:space="preserve">Limits – the resolution is the only thing that defines our prep burdens. Their interp incentivizes affirmatives to be as far from the resolution as possible to minimize the negative’s ability to engage – outweighs since that controls the internal link to clash since you could moot all my pre-round prep, which puts me at a structural disadvantage going into the round. All other limits are arbitrary and would favor the aff in terms of literature bases leading to a structural skew. That means we should presume all of your arguments false since I couldn’t have been expected to have the prep to contest it, so it hasn’t been subject to any scrutiny </w:t>
      </w:r>
      <w:proofErr w:type="gramStart"/>
      <w:r>
        <w:t>–  also</w:t>
      </w:r>
      <w:proofErr w:type="gramEnd"/>
      <w:r>
        <w:t xml:space="preserve"> means they can’t weigh case. </w:t>
      </w:r>
    </w:p>
    <w:p w14:paraId="336CFEA8" w14:textId="77777777" w:rsidR="00725501" w:rsidRDefault="00725501" w:rsidP="00725501">
      <w:pPr>
        <w:pStyle w:val="Heading4"/>
        <w:numPr>
          <w:ilvl w:val="0"/>
          <w:numId w:val="13"/>
        </w:numPr>
      </w:pPr>
      <w:r>
        <w:t>Switch side debate – if your stance doesn’t affirm, you can read it on the negative which solves all your offense. A limited topic forces us to contest our beliefs from different angles which controls the internal link to advocacy skills since it forces you to scrutinize your own beliefs, which spills over and makes real world change. Undermining switch-side debate forces me to argue for terrible norms since you could affirm “racism is bad” and I would have to argue against it, which is an independent reason to drop them since it creates psychological violence for minority debaters and invites violent arguments in the debate space.</w:t>
      </w:r>
    </w:p>
    <w:p w14:paraId="7772540F" w14:textId="77777777" w:rsidR="00725501" w:rsidRPr="002C7F76" w:rsidRDefault="00725501" w:rsidP="00725501">
      <w:pPr>
        <w:pStyle w:val="Heading4"/>
        <w:numPr>
          <w:ilvl w:val="0"/>
          <w:numId w:val="13"/>
        </w:numPr>
      </w:pPr>
      <w:r>
        <w:t>TVA – all your offense links to whole res, solves all your offense</w:t>
      </w:r>
    </w:p>
    <w:p w14:paraId="780FCC44" w14:textId="77777777" w:rsidR="00725501" w:rsidRPr="002C7F76" w:rsidRDefault="00725501" w:rsidP="00725501">
      <w:pPr>
        <w:pStyle w:val="Heading4"/>
      </w:pPr>
    </w:p>
    <w:p w14:paraId="111C409F" w14:textId="77777777" w:rsidR="00725501" w:rsidRPr="002C7F76" w:rsidRDefault="00725501" w:rsidP="00725501"/>
    <w:p w14:paraId="5C6B04C4" w14:textId="2CD3D2F7" w:rsidR="00725501" w:rsidRPr="00F767F1" w:rsidRDefault="00725501" w:rsidP="00725501">
      <w:pPr>
        <w:pStyle w:val="Heading4"/>
        <w:rPr>
          <w:rFonts w:cs="Calibri"/>
        </w:rPr>
      </w:pPr>
      <w:r w:rsidRPr="00F767F1">
        <w:rPr>
          <w:rFonts w:cs="Calibri"/>
        </w:rPr>
        <w:t xml:space="preserve">Use competing interps – </w:t>
      </w:r>
      <w:r>
        <w:rPr>
          <w:rFonts w:cs="Calibri"/>
        </w:rPr>
        <w:t xml:space="preserve">a. </w:t>
      </w:r>
      <w:r w:rsidRPr="00F767F1">
        <w:rPr>
          <w:rFonts w:cs="Calibri"/>
        </w:rPr>
        <w:t xml:space="preserve">topicality is question of models of debate which they should have to proactively justify </w:t>
      </w:r>
    </w:p>
    <w:p w14:paraId="10A2C7DF" w14:textId="55512A1E" w:rsidR="00725501" w:rsidRPr="00F767F1" w:rsidRDefault="00725501" w:rsidP="00725501">
      <w:pPr>
        <w:pStyle w:val="Heading4"/>
        <w:rPr>
          <w:rFonts w:cs="Calibri"/>
        </w:rPr>
      </w:pPr>
      <w:r w:rsidRPr="00F767F1">
        <w:rPr>
          <w:rFonts w:cs="Calibri"/>
        </w:rPr>
        <w:t>Drop the debater</w:t>
      </w:r>
      <w:r>
        <w:rPr>
          <w:rFonts w:cs="Calibri"/>
        </w:rPr>
        <w:t>: dropping the arg on T is nonsensical since we indict your whole advocacy</w:t>
      </w:r>
    </w:p>
    <w:p w14:paraId="576FB167" w14:textId="25C99951" w:rsidR="00725501" w:rsidRDefault="00725501" w:rsidP="00725501"/>
    <w:p w14:paraId="420B78CA" w14:textId="132093C9" w:rsidR="00725501" w:rsidRDefault="00725501" w:rsidP="00725501">
      <w:r>
        <w:t>3</w:t>
      </w:r>
    </w:p>
    <w:p w14:paraId="63D24183" w14:textId="142820F9" w:rsidR="00725501" w:rsidRDefault="00725501" w:rsidP="00725501"/>
    <w:p w14:paraId="3EC618C7" w14:textId="77777777" w:rsidR="00725501" w:rsidRPr="00E30850" w:rsidRDefault="00725501" w:rsidP="00725501">
      <w:pPr>
        <w:pStyle w:val="Heading4"/>
        <w:rPr>
          <w:rFonts w:cs="Calibri"/>
        </w:rPr>
      </w:pPr>
      <w:r w:rsidRPr="00E30850">
        <w:rPr>
          <w:rFonts w:cs="Calibri"/>
        </w:rPr>
        <w:t xml:space="preserve">Morality must be derived a priori: </w:t>
      </w:r>
    </w:p>
    <w:p w14:paraId="50B15CDD" w14:textId="77777777" w:rsidR="00725501" w:rsidRPr="00E30850" w:rsidRDefault="00725501" w:rsidP="00725501">
      <w:pPr>
        <w:pStyle w:val="Heading4"/>
        <w:rPr>
          <w:rFonts w:cs="Calibri"/>
        </w:rPr>
      </w:pPr>
      <w:r w:rsidRPr="00E30850">
        <w:rPr>
          <w:rFonts w:cs="Calibri"/>
        </w:rPr>
        <w:t xml:space="preserve">1] </w:t>
      </w:r>
      <w:r w:rsidRPr="00E30850">
        <w:rPr>
          <w:rFonts w:cs="Calibri"/>
          <w:u w:val="single"/>
        </w:rPr>
        <w:t>Naturalistic Fallacy</w:t>
      </w:r>
      <w:r w:rsidRPr="00E30850">
        <w:rPr>
          <w:rFonts w:cs="Calibri"/>
        </w:rPr>
        <w:t xml:space="preserve"> – Evaluative conclusions require at least one evaluative premise—purely factual premises about the naturalist “goodness” do not entail evaluative conclusions.</w:t>
      </w:r>
    </w:p>
    <w:p w14:paraId="3F446A92" w14:textId="77777777" w:rsidR="00725501" w:rsidRPr="00E30850" w:rsidRDefault="00725501" w:rsidP="00725501">
      <w:pPr>
        <w:pStyle w:val="Heading4"/>
        <w:rPr>
          <w:rFonts w:cs="Calibri"/>
        </w:rPr>
      </w:pPr>
      <w:r w:rsidRPr="00E30850">
        <w:rPr>
          <w:rFonts w:cs="Calibri"/>
        </w:rPr>
        <w:t xml:space="preserve">2] </w:t>
      </w:r>
      <w:r w:rsidRPr="00E30850">
        <w:rPr>
          <w:rFonts w:cs="Calibri"/>
          <w:u w:val="single"/>
        </w:rPr>
        <w:t>Uncertainty</w:t>
      </w:r>
      <w:r w:rsidRPr="00E30850">
        <w:rPr>
          <w:rFonts w:cs="Calibri"/>
        </w:rPr>
        <w:t xml:space="preserve"> – inability to know others’ experience due to a limited perception makes empiricism unreliable for universal ethics.  </w:t>
      </w:r>
    </w:p>
    <w:p w14:paraId="3EB9262D" w14:textId="77777777" w:rsidR="00725501" w:rsidRPr="00E30850" w:rsidRDefault="00725501" w:rsidP="00725501">
      <w:pPr>
        <w:pStyle w:val="Heading4"/>
        <w:rPr>
          <w:rFonts w:cs="Calibri"/>
        </w:rPr>
      </w:pPr>
      <w:r w:rsidRPr="00E30850">
        <w:rPr>
          <w:rFonts w:cs="Calibri"/>
        </w:rPr>
        <w:t xml:space="preserve">3] </w:t>
      </w:r>
      <w:r w:rsidRPr="00E30850">
        <w:rPr>
          <w:rFonts w:cs="Calibri"/>
          <w:u w:val="single"/>
        </w:rPr>
        <w:t>Verification</w:t>
      </w:r>
      <w:r w:rsidRPr="00E30850">
        <w:rPr>
          <w:rFonts w:cs="Calibri"/>
        </w:rPr>
        <w:t xml:space="preserve"> – </w:t>
      </w:r>
      <w:r w:rsidRPr="00E30850">
        <w:rPr>
          <w:rFonts w:cs="Calibri"/>
          <w:shd w:val="clear" w:color="auto" w:fill="FFFFFF"/>
        </w:rPr>
        <w:t xml:space="preserve">The logic of evaluating consequences is circular because it relies on the assumption that nature will hold </w:t>
      </w:r>
      <w:proofErr w:type="gramStart"/>
      <w:r w:rsidRPr="00E30850">
        <w:rPr>
          <w:rFonts w:cs="Calibri"/>
          <w:shd w:val="clear" w:color="auto" w:fill="FFFFFF"/>
        </w:rPr>
        <w:t>uniform</w:t>
      </w:r>
      <w:proofErr w:type="gramEnd"/>
      <w:r w:rsidRPr="00E30850">
        <w:rPr>
          <w:rFonts w:cs="Calibri"/>
          <w:shd w:val="clear" w:color="auto" w:fill="FFFFFF"/>
        </w:rPr>
        <w:t xml:space="preserve"> but we could only reach that conclusion through an observation of past events.</w:t>
      </w:r>
    </w:p>
    <w:p w14:paraId="5FFA5C98" w14:textId="77777777" w:rsidR="00725501" w:rsidRPr="00E30850" w:rsidRDefault="00725501" w:rsidP="00725501">
      <w:pPr>
        <w:pStyle w:val="Heading4"/>
        <w:rPr>
          <w:rFonts w:cs="Calibri"/>
        </w:rPr>
      </w:pPr>
    </w:p>
    <w:p w14:paraId="22BF21AA" w14:textId="77777777" w:rsidR="00725501" w:rsidRPr="00E30850" w:rsidRDefault="00725501" w:rsidP="00725501">
      <w:pPr>
        <w:pStyle w:val="Heading4"/>
        <w:rPr>
          <w:rFonts w:cs="Calibri"/>
        </w:rPr>
      </w:pPr>
      <w:r w:rsidRPr="00E30850">
        <w:rPr>
          <w:rFonts w:cs="Calibri"/>
        </w:rPr>
        <w:t>Ethics must answer “why should I follow this” else people could opt out of it and be skeptics. Only reason solves:</w:t>
      </w:r>
    </w:p>
    <w:p w14:paraId="197B468F" w14:textId="77777777" w:rsidR="00725501" w:rsidRPr="00E30850" w:rsidRDefault="00725501" w:rsidP="00725501">
      <w:pPr>
        <w:pStyle w:val="Heading4"/>
        <w:rPr>
          <w:rFonts w:cs="Calibri"/>
        </w:rPr>
      </w:pPr>
      <w:r w:rsidRPr="00E30850">
        <w:rPr>
          <w:rFonts w:cs="Calibri"/>
        </w:rPr>
        <w:t xml:space="preserve">1] </w:t>
      </w:r>
      <w:r w:rsidRPr="00E30850">
        <w:rPr>
          <w:rFonts w:cs="Calibri"/>
          <w:u w:val="single"/>
        </w:rPr>
        <w:t>Inescapability</w:t>
      </w:r>
      <w:r w:rsidRPr="00E30850">
        <w:rPr>
          <w:rFonts w:cs="Calibri"/>
        </w:rPr>
        <w:t xml:space="preserve"> – asking why reason is important cedes authority to reason itself – it’s constitutive of our agency</w:t>
      </w:r>
    </w:p>
    <w:p w14:paraId="294EA096" w14:textId="77777777" w:rsidR="00725501" w:rsidRPr="00E30850" w:rsidRDefault="00725501" w:rsidP="00725501">
      <w:pPr>
        <w:pStyle w:val="Heading4"/>
        <w:rPr>
          <w:rFonts w:cs="Calibri"/>
          <w:color w:val="000000" w:themeColor="text1"/>
        </w:rPr>
      </w:pPr>
      <w:r w:rsidRPr="00E30850">
        <w:rPr>
          <w:rFonts w:cs="Calibri"/>
        </w:rPr>
        <w:t xml:space="preserve">2] </w:t>
      </w:r>
      <w:r w:rsidRPr="00E30850">
        <w:rPr>
          <w:rFonts w:cs="Calibri"/>
          <w:color w:val="000000" w:themeColor="text1"/>
          <w:u w:val="single"/>
        </w:rPr>
        <w:t xml:space="preserve">Action Theory </w:t>
      </w:r>
      <w:r w:rsidRPr="00E30850">
        <w:rPr>
          <w:rFonts w:cs="Calibri"/>
          <w:color w:val="000000" w:themeColor="text1"/>
        </w:rPr>
        <w:t xml:space="preserve">– Every action can be broken down to infinite amounts of movements, </w:t>
      </w:r>
      <w:proofErr w:type="gramStart"/>
      <w:r w:rsidRPr="00E30850">
        <w:rPr>
          <w:rFonts w:cs="Calibri"/>
          <w:color w:val="000000" w:themeColor="text1"/>
        </w:rPr>
        <w:t>i.e.</w:t>
      </w:r>
      <w:proofErr w:type="gramEnd"/>
      <w:r w:rsidRPr="00E30850">
        <w:rPr>
          <w:rFonts w:cs="Calibri"/>
          <w:color w:val="000000" w:themeColor="text1"/>
        </w:rPr>
        <w:t xml:space="preserve"> me moving my arm can be broken down to every state my arm is in. Only reason can unify these movements because we use practical reason to achieve our goals, means all actions collapse to reason</w:t>
      </w:r>
    </w:p>
    <w:p w14:paraId="48735CA7" w14:textId="77777777" w:rsidR="00725501" w:rsidRPr="00E30850" w:rsidRDefault="00725501" w:rsidP="00725501">
      <w:pPr>
        <w:pStyle w:val="Heading4"/>
        <w:rPr>
          <w:rFonts w:cs="Calibri"/>
        </w:rPr>
      </w:pPr>
      <w:proofErr w:type="gramStart"/>
      <w:r w:rsidRPr="00E30850">
        <w:rPr>
          <w:rFonts w:cs="Calibri"/>
        </w:rPr>
        <w:t>Thus</w:t>
      </w:r>
      <w:proofErr w:type="gramEnd"/>
      <w:r w:rsidRPr="00E30850">
        <w:rPr>
          <w:rFonts w:cs="Calibri"/>
        </w:rPr>
        <w:t xml:space="preserve"> the standard is consistency with universalizibility. If the constitutive principle of agency is merely agency, then any valid practical judgment must be true of every practical agent and for every agent. Our judgements are authoritative and can’t apply to only ourselves any more than 2+2=4 can be true only for me, which makes noncontradiction a constraint.</w:t>
      </w:r>
    </w:p>
    <w:p w14:paraId="0CB65B6C" w14:textId="77777777" w:rsidR="00725501" w:rsidRPr="00E30850" w:rsidRDefault="00725501" w:rsidP="00725501"/>
    <w:p w14:paraId="4ADDEF2A" w14:textId="77777777" w:rsidR="00725501" w:rsidRPr="00E30850" w:rsidRDefault="00725501" w:rsidP="00725501">
      <w:pPr>
        <w:pStyle w:val="Heading4"/>
        <w:spacing w:line="240" w:lineRule="auto"/>
        <w:rPr>
          <w:rFonts w:cs="Calibri"/>
        </w:rPr>
      </w:pPr>
      <w:r w:rsidRPr="00E30850">
        <w:rPr>
          <w:rFonts w:cs="Calibri"/>
          <w:u w:val="single"/>
        </w:rPr>
        <w:t>Performativity</w:t>
      </w:r>
      <w:r w:rsidRPr="00E30850">
        <w:rPr>
          <w:rFonts w:cs="Calibri"/>
        </w:rPr>
        <w:t xml:space="preserve"> – Argumentation presupposes one’s own freedom to act – if I violated your freedom, you wouldn’t be able to debate – this means contestations of my framework prove it true</w:t>
      </w:r>
    </w:p>
    <w:p w14:paraId="3F2CE930" w14:textId="7BEBAA46" w:rsidR="00725501" w:rsidRDefault="00725501" w:rsidP="00725501"/>
    <w:p w14:paraId="0B369917" w14:textId="77777777" w:rsidR="00725501" w:rsidRDefault="00725501" w:rsidP="00725501">
      <w:pPr>
        <w:pStyle w:val="Heading4"/>
      </w:pPr>
      <w:bookmarkStart w:id="0" w:name="_Hlk13215846"/>
      <w:bookmarkStart w:id="1" w:name="_Hlk32402429"/>
      <w:r>
        <w:t xml:space="preserve">4] Consequentialism fails </w:t>
      </w:r>
    </w:p>
    <w:p w14:paraId="489BADDE" w14:textId="77777777" w:rsidR="00725501" w:rsidRDefault="00725501" w:rsidP="00725501">
      <w:pPr>
        <w:pStyle w:val="Heading4"/>
      </w:pPr>
      <w:r>
        <w:t xml:space="preserve">A] moral culpability: double bind, </w:t>
      </w:r>
      <w:proofErr w:type="gramStart"/>
      <w:r>
        <w:t>either 1</w:t>
      </w:r>
      <w:proofErr w:type="gramEnd"/>
      <w:r>
        <w:t>. we can never evaluate the ethicality of an action until after we observe the effects of the action, making consq not action guiding or 2. people can claim they acted justly based on a subjective prediction even if they committed a blatantly immoral act. outweighs–ethics cannot function absent a system that holds people accountable.</w:t>
      </w:r>
    </w:p>
    <w:p w14:paraId="176A056D" w14:textId="77777777" w:rsidR="00725501" w:rsidRDefault="00725501" w:rsidP="00725501">
      <w:pPr>
        <w:pStyle w:val="Heading4"/>
      </w:pPr>
      <w:r>
        <w:t xml:space="preserve">B] Predictions impossible – there is so non-arbitrary cutoff to calculations when analyzes the effects of actions. When one action is done, that results in an infinite of other chain events which eventually makes any two actions the same. </w:t>
      </w:r>
    </w:p>
    <w:p w14:paraId="595EF007" w14:textId="77777777" w:rsidR="00725501" w:rsidRPr="003808AB" w:rsidRDefault="00725501" w:rsidP="00725501">
      <w:pPr>
        <w:pStyle w:val="Heading4"/>
      </w:pPr>
      <w:r>
        <w:t>C] no way to evaluate predictions – 1. we need a metric to determine a probability of certain actions occurring, but we also need a metric to determine the probability of the prior metric being true and so on to infinite 2. there is no reason for why past trends continue – that is justified by experiencing the fact that past trends continue which is in it itself a past trend</w:t>
      </w:r>
    </w:p>
    <w:bookmarkEnd w:id="0"/>
    <w:p w14:paraId="2A2B16AF" w14:textId="77777777" w:rsidR="00725501" w:rsidRPr="00A47F00" w:rsidRDefault="00725501" w:rsidP="00725501">
      <w:pPr>
        <w:pStyle w:val="Heading4"/>
        <w:rPr>
          <w:rFonts w:asciiTheme="minorHAnsi" w:hAnsiTheme="minorHAnsi" w:cstheme="minorHAnsi"/>
        </w:rPr>
      </w:pPr>
      <w:r>
        <w:t>D] Aggregation impossible – multiple chemicals in the brain can make me happy. No way to compare them.</w:t>
      </w:r>
    </w:p>
    <w:bookmarkEnd w:id="1"/>
    <w:p w14:paraId="1AF02E8D" w14:textId="77777777" w:rsidR="00725501" w:rsidRPr="00E30850" w:rsidRDefault="00725501" w:rsidP="00725501"/>
    <w:p w14:paraId="38FAA27E" w14:textId="77777777" w:rsidR="00725501" w:rsidRPr="00E30850" w:rsidRDefault="00725501" w:rsidP="00725501"/>
    <w:p w14:paraId="02387D44" w14:textId="77777777" w:rsidR="00725501" w:rsidRPr="00E30850" w:rsidRDefault="00725501" w:rsidP="00725501">
      <w:pPr>
        <w:pStyle w:val="Heading3"/>
        <w:rPr>
          <w:rFonts w:cs="Calibri"/>
        </w:rPr>
      </w:pPr>
      <w:r w:rsidRPr="00E30850">
        <w:rPr>
          <w:rFonts w:cs="Calibri"/>
        </w:rPr>
        <w:t>Offense</w:t>
      </w:r>
    </w:p>
    <w:p w14:paraId="4C2A43BD" w14:textId="77777777" w:rsidR="00725501" w:rsidRPr="00E30850" w:rsidRDefault="00725501" w:rsidP="00725501">
      <w:pPr>
        <w:pStyle w:val="Heading4"/>
        <w:rPr>
          <w:rFonts w:cs="Calibri"/>
        </w:rPr>
      </w:pPr>
      <w:r w:rsidRPr="00E30850">
        <w:rPr>
          <w:rFonts w:cs="Calibri"/>
        </w:rPr>
        <w:t>[1] Intellectual property is part of our metaphysical construction that preserves agency – anything else robs us of innate property</w:t>
      </w:r>
    </w:p>
    <w:p w14:paraId="0C757FAF" w14:textId="77777777" w:rsidR="00725501" w:rsidRPr="00E30850" w:rsidRDefault="00725501" w:rsidP="00725501">
      <w:pPr>
        <w:rPr>
          <w:sz w:val="18"/>
          <w:szCs w:val="18"/>
        </w:rPr>
      </w:pPr>
      <w:r w:rsidRPr="00E30850">
        <w:rPr>
          <w:rStyle w:val="Heading4Char"/>
          <w:rFonts w:cs="Calibri"/>
        </w:rPr>
        <w:t>Pozzo 06</w:t>
      </w:r>
      <w:r w:rsidRPr="00E30850">
        <w:t xml:space="preserve"> </w:t>
      </w:r>
      <w:r w:rsidRPr="00E30850">
        <w:rPr>
          <w:sz w:val="18"/>
          <w:szCs w:val="18"/>
        </w:rPr>
        <w:t xml:space="preserve">[Riccardo Pozzo, Immanuel Kant sobre propriedade intelectual. Trans/Form/Ação, (São Paulo), v.29(2), 2006, p.11-18, </w:t>
      </w:r>
      <w:hyperlink r:id="rId10" w:history="1">
        <w:r w:rsidRPr="00E30850">
          <w:rPr>
            <w:rStyle w:val="Hyperlink"/>
            <w:sz w:val="18"/>
            <w:szCs w:val="18"/>
          </w:rPr>
          <w:t>https://www.scielo.br/j/trans/a/rLfb3yPN3p4KPsYpxp8LQCp/?format=pdf&amp;lang=en</w:t>
        </w:r>
      </w:hyperlink>
      <w:r w:rsidRPr="00E30850">
        <w:rPr>
          <w:sz w:val="18"/>
          <w:szCs w:val="18"/>
        </w:rPr>
        <w:t xml:space="preserve"> // JB]</w:t>
      </w:r>
    </w:p>
    <w:p w14:paraId="12B014C6" w14:textId="77777777" w:rsidR="00725501" w:rsidRPr="00E30850" w:rsidRDefault="00725501" w:rsidP="00725501">
      <w:pPr>
        <w:rPr>
          <w:sz w:val="16"/>
        </w:rPr>
      </w:pPr>
      <w:r w:rsidRPr="00E30850">
        <w:rPr>
          <w:sz w:val="16"/>
        </w:rPr>
        <w:t xml:space="preserve">The peculiarity of </w:t>
      </w:r>
      <w:r w:rsidRPr="00E30850">
        <w:rPr>
          <w:rStyle w:val="StyleUnderline"/>
          <w:bCs/>
          <w:highlight w:val="green"/>
        </w:rPr>
        <w:t>intellectual</w:t>
      </w:r>
      <w:r w:rsidRPr="00E30850">
        <w:rPr>
          <w:rStyle w:val="StyleUnderline"/>
          <w:bCs/>
        </w:rPr>
        <w:t xml:space="preserve"> property </w:t>
      </w:r>
      <w:r w:rsidRPr="00E30850">
        <w:rPr>
          <w:rStyle w:val="StyleUnderline"/>
          <w:bCs/>
          <w:highlight w:val="green"/>
        </w:rPr>
        <w:t>consists</w:t>
      </w:r>
      <w:r w:rsidRPr="00E30850">
        <w:rPr>
          <w:sz w:val="16"/>
        </w:rPr>
        <w:t xml:space="preserve"> thus </w:t>
      </w:r>
      <w:r w:rsidRPr="00E30850">
        <w:rPr>
          <w:rStyle w:val="StyleUnderline"/>
          <w:bCs/>
          <w:highlight w:val="green"/>
        </w:rPr>
        <w:t>first</w:t>
      </w:r>
      <w:r w:rsidRPr="00E30850">
        <w:rPr>
          <w:rStyle w:val="StyleUnderline"/>
          <w:bCs/>
        </w:rPr>
        <w:t xml:space="preserve"> in </w:t>
      </w:r>
      <w:r w:rsidRPr="00E30850">
        <w:rPr>
          <w:rStyle w:val="StyleUnderline"/>
          <w:bCs/>
          <w:highlight w:val="green"/>
        </w:rPr>
        <w:t>being</w:t>
      </w:r>
      <w:r w:rsidRPr="00E30850">
        <w:rPr>
          <w:rStyle w:val="StyleUnderline"/>
          <w:bCs/>
        </w:rPr>
        <w:t xml:space="preserve"> indeed </w:t>
      </w:r>
      <w:r w:rsidRPr="00E30850">
        <w:rPr>
          <w:rStyle w:val="StyleUnderline"/>
          <w:bCs/>
          <w:highlight w:val="green"/>
        </w:rPr>
        <w:t>a property</w:t>
      </w:r>
      <w:r w:rsidRPr="00E30850">
        <w:rPr>
          <w:sz w:val="16"/>
        </w:rPr>
        <w:t xml:space="preserve">, but property </w:t>
      </w:r>
      <w:r w:rsidRPr="00E30850">
        <w:rPr>
          <w:rStyle w:val="StyleUnderline"/>
          <w:bCs/>
          <w:highlight w:val="green"/>
        </w:rPr>
        <w:t>of an action; and</w:t>
      </w:r>
      <w:r w:rsidRPr="00E30850">
        <w:rPr>
          <w:sz w:val="16"/>
        </w:rPr>
        <w:t xml:space="preserve"> </w:t>
      </w:r>
      <w:r w:rsidRPr="00E30850">
        <w:rPr>
          <w:rStyle w:val="StyleUnderline"/>
          <w:bCs/>
        </w:rPr>
        <w:t>second</w:t>
      </w:r>
      <w:r w:rsidRPr="00E30850">
        <w:rPr>
          <w:sz w:val="16"/>
        </w:rPr>
        <w:t xml:space="preserve"> in </w:t>
      </w:r>
      <w:r w:rsidRPr="00E30850">
        <w:rPr>
          <w:rStyle w:val="StyleUnderline"/>
          <w:bCs/>
          <w:highlight w:val="green"/>
        </w:rPr>
        <w:t>being</w:t>
      </w:r>
      <w:r w:rsidRPr="00E30850">
        <w:rPr>
          <w:sz w:val="16"/>
        </w:rPr>
        <w:t xml:space="preserve"> indeed </w:t>
      </w:r>
      <w:r w:rsidRPr="00E30850">
        <w:rPr>
          <w:rStyle w:val="StyleUnderline"/>
          <w:bCs/>
          <w:highlight w:val="green"/>
        </w:rPr>
        <w:t>inalienable</w:t>
      </w:r>
      <w:r w:rsidRPr="00E30850">
        <w:rPr>
          <w:rStyle w:val="StyleUnderline"/>
          <w:bCs/>
        </w:rPr>
        <w:t>, but also transferable in commission</w:t>
      </w:r>
      <w:r w:rsidRPr="00E30850">
        <w:rPr>
          <w:sz w:val="16"/>
        </w:rPr>
        <w:t xml:space="preserve"> and license to a publisher. </w:t>
      </w:r>
      <w:r w:rsidRPr="00E30850">
        <w:rPr>
          <w:rStyle w:val="StyleUnderline"/>
          <w:bCs/>
          <w:highlight w:val="green"/>
        </w:rPr>
        <w:t>The bond the author has on</w:t>
      </w:r>
      <w:r w:rsidRPr="00E30850">
        <w:rPr>
          <w:sz w:val="16"/>
        </w:rPr>
        <w:t xml:space="preserve"> his </w:t>
      </w:r>
      <w:r w:rsidRPr="00E30850">
        <w:rPr>
          <w:rStyle w:val="StyleUnderline"/>
          <w:bCs/>
          <w:highlight w:val="green"/>
        </w:rPr>
        <w:t>work confers</w:t>
      </w:r>
      <w:r w:rsidRPr="00E30850">
        <w:rPr>
          <w:sz w:val="16"/>
        </w:rPr>
        <w:t xml:space="preserve"> him a </w:t>
      </w:r>
      <w:r w:rsidRPr="00E30850">
        <w:rPr>
          <w:rStyle w:val="StyleUnderline"/>
          <w:bCs/>
          <w:highlight w:val="green"/>
        </w:rPr>
        <w:t>moral right that is</w:t>
      </w:r>
      <w:r w:rsidRPr="00E30850">
        <w:rPr>
          <w:rStyle w:val="StyleUnderline"/>
          <w:bCs/>
        </w:rPr>
        <w:t xml:space="preserve"> indeed a </w:t>
      </w:r>
      <w:r w:rsidRPr="00E30850">
        <w:rPr>
          <w:rStyle w:val="StyleUnderline"/>
          <w:bCs/>
          <w:highlight w:val="green"/>
        </w:rPr>
        <w:t>personal right</w:t>
      </w:r>
      <w:r w:rsidRPr="00E30850">
        <w:rPr>
          <w:rStyle w:val="StyleUnderline"/>
          <w:bCs/>
        </w:rPr>
        <w:t>. It is</w:t>
      </w:r>
      <w:r w:rsidRPr="00E30850">
        <w:rPr>
          <w:sz w:val="16"/>
        </w:rPr>
        <w:t xml:space="preserve"> also a </w:t>
      </w:r>
      <w:r w:rsidRPr="00E30850">
        <w:rPr>
          <w:rStyle w:val="StyleUnderline"/>
          <w:bCs/>
        </w:rPr>
        <w:t>right to exploit</w:t>
      </w:r>
      <w:r w:rsidRPr="00E30850">
        <w:rPr>
          <w:sz w:val="16"/>
        </w:rPr>
        <w:t xml:space="preserve"> economically his </w:t>
      </w:r>
      <w:r w:rsidRPr="00E30850">
        <w:rPr>
          <w:rStyle w:val="StyleUnderline"/>
          <w:bCs/>
        </w:rPr>
        <w:t>work in all possible ways</w:t>
      </w:r>
      <w:r w:rsidRPr="00E30850">
        <w:rPr>
          <w:sz w:val="16"/>
        </w:rPr>
        <w:t xml:space="preserve">, a right of </w:t>
      </w:r>
      <w:r w:rsidRPr="00E30850">
        <w:rPr>
          <w:rStyle w:val="StyleUnderline"/>
          <w:bCs/>
        </w:rPr>
        <w:t>economic use, which is a patrimonial right. Kant</w:t>
      </w:r>
      <w:r w:rsidRPr="00E30850">
        <w:rPr>
          <w:sz w:val="16"/>
        </w:rPr>
        <w:t xml:space="preserve"> and Fichte </w:t>
      </w:r>
      <w:r w:rsidRPr="00E30850">
        <w:rPr>
          <w:rStyle w:val="StyleUnderline"/>
          <w:bCs/>
        </w:rPr>
        <w:t>argued</w:t>
      </w:r>
      <w:r w:rsidRPr="00E30850">
        <w:rPr>
          <w:sz w:val="16"/>
        </w:rPr>
        <w:t xml:space="preserve"> that </w:t>
      </w:r>
      <w:r w:rsidRPr="00E30850">
        <w:rPr>
          <w:rStyle w:val="StyleUnderline"/>
          <w:bCs/>
        </w:rPr>
        <w:t>moral right</w:t>
      </w:r>
      <w:r w:rsidRPr="00E30850">
        <w:rPr>
          <w:sz w:val="16"/>
        </w:rPr>
        <w:t xml:space="preserve"> and the right </w:t>
      </w:r>
      <w:r w:rsidRPr="00E30850">
        <w:rPr>
          <w:rStyle w:val="StyleUnderline"/>
          <w:bCs/>
        </w:rPr>
        <w:t>of economic use are</w:t>
      </w:r>
      <w:r w:rsidRPr="00E30850">
        <w:rPr>
          <w:sz w:val="16"/>
        </w:rPr>
        <w:t xml:space="preserve"> strictly </w:t>
      </w:r>
      <w:r w:rsidRPr="00E30850">
        <w:rPr>
          <w:rStyle w:val="StyleUnderline"/>
          <w:bCs/>
        </w:rPr>
        <w:t>connected</w:t>
      </w:r>
      <w:r w:rsidRPr="00E30850">
        <w:rPr>
          <w:sz w:val="16"/>
        </w:rPr>
        <w:t xml:space="preserve">, and </w:t>
      </w:r>
      <w:r w:rsidRPr="00E30850">
        <w:rPr>
          <w:rStyle w:val="StyleUnderline"/>
          <w:bCs/>
        </w:rPr>
        <w:t>that the offense</w:t>
      </w:r>
      <w:r w:rsidRPr="00E30850">
        <w:rPr>
          <w:sz w:val="16"/>
        </w:rPr>
        <w:t xml:space="preserve"> to one </w:t>
      </w:r>
      <w:r w:rsidRPr="00E30850">
        <w:rPr>
          <w:rStyle w:val="StyleUnderline"/>
          <w:bCs/>
        </w:rPr>
        <w:t>implies inevitably offense to the other</w:t>
      </w:r>
      <w:r w:rsidRPr="00E30850">
        <w:rPr>
          <w:sz w:val="16"/>
        </w:rPr>
        <w:t xml:space="preserve">. In eighteenth-century Germany, </w:t>
      </w:r>
      <w:r w:rsidRPr="00E30850">
        <w:rPr>
          <w:rStyle w:val="StyleUnderline"/>
          <w:bCs/>
        </w:rPr>
        <w:t>the free use came into discussion among</w:t>
      </w:r>
      <w:r w:rsidRPr="00E30850">
        <w:rPr>
          <w:sz w:val="16"/>
        </w:rPr>
        <w:t xml:space="preserve">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sidRPr="00E30850">
        <w:rPr>
          <w:rStyle w:val="StyleUnderline"/>
          <w:bCs/>
          <w:highlight w:val="green"/>
        </w:rPr>
        <w:t>Kant</w:t>
      </w:r>
      <w:r w:rsidRPr="00E30850">
        <w:rPr>
          <w:sz w:val="16"/>
        </w:rPr>
        <w:t xml:space="preserve">, however, </w:t>
      </w:r>
      <w:r w:rsidRPr="00E30850">
        <w:rPr>
          <w:rStyle w:val="StyleUnderline"/>
          <w:bCs/>
          <w:highlight w:val="green"/>
        </w:rPr>
        <w:t>was firm in embracing intellectual property</w:t>
      </w:r>
      <w:r w:rsidRPr="00E30850">
        <w:rPr>
          <w:sz w:val="16"/>
        </w:rPr>
        <w:t xml:space="preserve">. Referring himself to Roman Law, he asked for its legislative formulation not only as patrimonial right, but also as a personal right. In </w:t>
      </w:r>
      <w:r w:rsidRPr="00E30850">
        <w:rPr>
          <w:rStyle w:val="StyleUnderline"/>
          <w:bCs/>
        </w:rPr>
        <w:t>Of the Illegitimity of Pirate Publishing, he considered</w:t>
      </w:r>
      <w:r w:rsidRPr="00E30850">
        <w:rPr>
          <w:sz w:val="16"/>
        </w:rPr>
        <w:t xml:space="preserve"> the </w:t>
      </w:r>
      <w:r w:rsidRPr="00E30850">
        <w:rPr>
          <w:rStyle w:val="StyleUnderline"/>
          <w:bCs/>
          <w:highlight w:val="green"/>
        </w:rPr>
        <w:t>moral faculties</w:t>
      </w:r>
      <w:r w:rsidRPr="00E30850">
        <w:rPr>
          <w:rStyle w:val="StyleUnderline"/>
          <w:bCs/>
        </w:rPr>
        <w:t xml:space="preserve"> related </w:t>
      </w:r>
      <w:r w:rsidRPr="00E30850">
        <w:rPr>
          <w:rStyle w:val="StyleUnderline"/>
          <w:bCs/>
          <w:highlight w:val="green"/>
        </w:rPr>
        <w:t>to intellectual property</w:t>
      </w:r>
      <w:r w:rsidRPr="00E30850">
        <w:rPr>
          <w:rStyle w:val="StyleUnderline"/>
          <w:bCs/>
        </w:rPr>
        <w:t xml:space="preserve"> as </w:t>
      </w:r>
      <w:r w:rsidRPr="00E30850">
        <w:rPr>
          <w:rStyle w:val="StyleUnderline"/>
          <w:bCs/>
          <w:highlight w:val="green"/>
        </w:rPr>
        <w:t>an “inalienable right</w:t>
      </w:r>
      <w:r w:rsidRPr="00E30850">
        <w:rPr>
          <w:sz w:val="16"/>
        </w:rPr>
        <w:t xml:space="preserve"> (ius personalissimum) </w:t>
      </w:r>
      <w:r w:rsidRPr="00E30850">
        <w:rPr>
          <w:rStyle w:val="StyleUnderline"/>
          <w:bCs/>
        </w:rPr>
        <w:t>always himself to speak through anyone else, the right, that is, that no one may deliver the same speech to the public other than in his (the author’s) name”</w:t>
      </w:r>
      <w:r w:rsidRPr="00E30850">
        <w:rPr>
          <w:sz w:val="16"/>
        </w:rPr>
        <w:t xml:space="preserve"> (Kant, 1902, t.8, p.85). Fichte went farther in the Demonstration of the Illegitimity of Pirate Publishing. </w:t>
      </w:r>
      <w:r w:rsidRPr="00E30850">
        <w:rPr>
          <w:rStyle w:val="StyleUnderline"/>
          <w:bCs/>
        </w:rPr>
        <w:t xml:space="preserve">He saw </w:t>
      </w:r>
      <w:r w:rsidRPr="00E30850">
        <w:rPr>
          <w:rStyle w:val="StyleUnderline"/>
          <w:bCs/>
          <w:highlight w:val="green"/>
        </w:rPr>
        <w:t>intellectual property as a part of his metaphysical construction of intellectual activity</w:t>
      </w:r>
      <w:r w:rsidRPr="00E30850">
        <w:rPr>
          <w:sz w:val="16"/>
        </w:rPr>
        <w:t xml:space="preserve">, which was based on the principle that thoughts “are not transmitted hand to hand, </w:t>
      </w:r>
      <w:r w:rsidRPr="00E30850">
        <w:rPr>
          <w:rStyle w:val="StyleUnderline"/>
          <w:bCs/>
        </w:rPr>
        <w:t>they are not paid with shining cash, neither are they transmitted to us if we take home the book that contains them and put it into our library</w:t>
      </w:r>
      <w:r w:rsidRPr="00E30850">
        <w:rPr>
          <w:sz w:val="16"/>
        </w:rPr>
        <w:t xml:space="preserve">. In order </w:t>
      </w:r>
      <w:r w:rsidRPr="00E30850">
        <w:rPr>
          <w:rStyle w:val="StyleUnderline"/>
          <w:bCs/>
        </w:rPr>
        <w:t>to make those</w:t>
      </w:r>
      <w:r w:rsidRPr="00E30850">
        <w:rPr>
          <w:sz w:val="16"/>
        </w:rPr>
        <w:t xml:space="preserve"> thoughts </w:t>
      </w:r>
      <w:r w:rsidRPr="00E30850">
        <w:rPr>
          <w:rStyle w:val="StyleUnderline"/>
          <w:bCs/>
        </w:rPr>
        <w:t xml:space="preserve">our own an action is still </w:t>
      </w:r>
      <w:proofErr w:type="gramStart"/>
      <w:r w:rsidRPr="00E30850">
        <w:rPr>
          <w:rStyle w:val="StyleUnderline"/>
          <w:bCs/>
        </w:rPr>
        <w:t>missing:</w:t>
      </w:r>
      <w:proofErr w:type="gramEnd"/>
      <w:r w:rsidRPr="00E30850">
        <w:rPr>
          <w:rStyle w:val="StyleUnderline"/>
          <w:bCs/>
        </w:rPr>
        <w:t xml:space="preserve"> we must read the book, meditate – provided it is not completely trivial – on its content, consider it under different aspects and eventually accept it within our connections of ideas</w:t>
      </w:r>
      <w:r w:rsidRPr="00E30850">
        <w:rPr>
          <w:sz w:val="16"/>
        </w:rPr>
        <w:t>” (Fichte, 1964, t.I/1, p.411).</w:t>
      </w:r>
    </w:p>
    <w:p w14:paraId="0819AC40" w14:textId="77777777" w:rsidR="00725501" w:rsidRPr="00E30850" w:rsidRDefault="00725501" w:rsidP="00725501">
      <w:pPr>
        <w:pStyle w:val="Heading4"/>
        <w:rPr>
          <w:rFonts w:cs="Calibri"/>
        </w:rPr>
      </w:pPr>
      <w:r w:rsidRPr="00E30850">
        <w:rPr>
          <w:rFonts w:cs="Calibri"/>
        </w:rPr>
        <w:t>Means the state can’t remove protections.</w:t>
      </w:r>
    </w:p>
    <w:p w14:paraId="5BF1CF31" w14:textId="77777777" w:rsidR="00725501" w:rsidRPr="00E30850" w:rsidRDefault="00725501" w:rsidP="00725501">
      <w:r w:rsidRPr="00E30850">
        <w:rPr>
          <w:rStyle w:val="Style13ptBold"/>
        </w:rPr>
        <w:t>Zeidman et al. 2</w:t>
      </w:r>
      <w:r w:rsidRPr="00E30850">
        <w:t xml:space="preserve"> </w:t>
      </w:r>
      <w:r w:rsidRPr="00E30850">
        <w:rPr>
          <w:sz w:val="16"/>
          <w:szCs w:val="16"/>
        </w:rPr>
        <w:t>[Bob Zeidman &amp;amp; Eashan Gupta, "Why Libertarians Should Support a Strong Patent System", IPWatchdog, 1-5-2016, https://www.ipwatchdog.com/2016/01/05/why-libertarians-should-support-a-strong-patent-system/id=64438/, accessed: 8-9-2021.] //Lex VM</w:t>
      </w:r>
    </w:p>
    <w:p w14:paraId="66A670A0" w14:textId="77777777" w:rsidR="00725501" w:rsidRPr="00E30850" w:rsidRDefault="00725501" w:rsidP="00725501">
      <w:pPr>
        <w:rPr>
          <w:sz w:val="14"/>
        </w:rPr>
      </w:pPr>
      <w:r w:rsidRPr="00E30850">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E30850">
        <w:rPr>
          <w:rStyle w:val="StyleUnderline"/>
          <w:highlight w:val="green"/>
        </w:rPr>
        <w:t>I</w:t>
      </w:r>
      <w:r w:rsidRPr="00E30850">
        <w:rPr>
          <w:rStyle w:val="StyleUnderline"/>
        </w:rPr>
        <w:t xml:space="preserve">ntellectual </w:t>
      </w:r>
      <w:r w:rsidRPr="00E30850">
        <w:rPr>
          <w:rStyle w:val="StyleUnderline"/>
          <w:highlight w:val="green"/>
        </w:rPr>
        <w:t>p</w:t>
      </w:r>
      <w:r w:rsidRPr="00E30850">
        <w:rPr>
          <w:rStyle w:val="StyleUnderline"/>
        </w:rPr>
        <w:t xml:space="preserve">roperty </w:t>
      </w:r>
      <w:r w:rsidRPr="00E30850">
        <w:rPr>
          <w:rStyle w:val="StyleUnderline"/>
          <w:highlight w:val="green"/>
        </w:rPr>
        <w:t>is property</w:t>
      </w:r>
      <w:r w:rsidRPr="00E30850">
        <w:rPr>
          <w:rStyle w:val="StyleUnderline"/>
        </w:rPr>
        <w:t xml:space="preserve"> like other forms of property, and </w:t>
      </w:r>
      <w:r w:rsidRPr="00E30850">
        <w:rPr>
          <w:rStyle w:val="StyleUnderline"/>
          <w:highlight w:val="green"/>
        </w:rPr>
        <w:t>so government</w:t>
      </w:r>
      <w:r w:rsidRPr="00E30850">
        <w:rPr>
          <w:sz w:val="14"/>
        </w:rPr>
        <w:t xml:space="preserve"> must protect IP as it protects other forms of property because it too leads to competition and trade and prosperity. </w:t>
      </w:r>
      <w:r w:rsidRPr="00E30850">
        <w:rPr>
          <w:rStyle w:val="Emphasis"/>
        </w:rPr>
        <w:t xml:space="preserve">Libertarians </w:t>
      </w:r>
      <w:r w:rsidRPr="00E30850">
        <w:rPr>
          <w:rStyle w:val="Emphasis"/>
          <w:highlight w:val="green"/>
        </w:rPr>
        <w:t>should</w:t>
      </w:r>
      <w:r w:rsidRPr="00E30850">
        <w:rPr>
          <w:rStyle w:val="StyleUnderline"/>
        </w:rPr>
        <w:t xml:space="preserve"> encourage a strong patent system and </w:t>
      </w:r>
      <w:r w:rsidRPr="00E30850">
        <w:rPr>
          <w:rStyle w:val="Emphasis"/>
          <w:highlight w:val="green"/>
        </w:rPr>
        <w:t>object to any “reforms”</w:t>
      </w:r>
      <w:r w:rsidRPr="00E30850">
        <w:rPr>
          <w:rStyle w:val="StyleUnderline"/>
          <w:highlight w:val="green"/>
        </w:rPr>
        <w:t xml:space="preserve"> that limit</w:t>
      </w:r>
      <w:r w:rsidRPr="00E30850">
        <w:rPr>
          <w:rStyle w:val="StyleUnderline"/>
        </w:rPr>
        <w:t xml:space="preserve"> intellectual property </w:t>
      </w:r>
      <w:r w:rsidRPr="00E30850">
        <w:rPr>
          <w:rStyle w:val="Emphasis"/>
          <w:highlight w:val="green"/>
        </w:rPr>
        <w:t>ownership</w:t>
      </w:r>
      <w:r w:rsidRPr="00E30850">
        <w:rPr>
          <w:rStyle w:val="StyleUnderline"/>
        </w:rPr>
        <w:t xml:space="preserve"> </w:t>
      </w:r>
      <w:r w:rsidRPr="00E30850">
        <w:rPr>
          <w:sz w:val="14"/>
        </w:rPr>
        <w:t>or introduce more government regulation than is required.</w:t>
      </w:r>
    </w:p>
    <w:p w14:paraId="1A3BA48F" w14:textId="77777777" w:rsidR="00725501" w:rsidRPr="00E30850" w:rsidRDefault="00725501" w:rsidP="00725501">
      <w:pPr>
        <w:pStyle w:val="Heading4"/>
        <w:rPr>
          <w:rFonts w:cs="Calibri"/>
        </w:rPr>
      </w:pPr>
      <w:r w:rsidRPr="00E30850">
        <w:rPr>
          <w:rFonts w:cs="Calibri"/>
        </w:rPr>
        <w:t xml:space="preserve">Reducing IP is a form of </w:t>
      </w:r>
      <w:proofErr w:type="gramStart"/>
      <w:r w:rsidRPr="00E30850">
        <w:rPr>
          <w:rFonts w:cs="Calibri"/>
        </w:rPr>
        <w:t>free-riding</w:t>
      </w:r>
      <w:proofErr w:type="gramEnd"/>
      <w:r w:rsidRPr="00E30850">
        <w:rPr>
          <w:rFonts w:cs="Calibri"/>
        </w:rPr>
        <w:t xml:space="preserve"> that fails the universality test, but also uses the creators of the medicine as means to an end.</w:t>
      </w:r>
    </w:p>
    <w:p w14:paraId="7D24D424" w14:textId="77777777" w:rsidR="00725501" w:rsidRPr="00E30850" w:rsidRDefault="00725501" w:rsidP="00725501">
      <w:r w:rsidRPr="00E30850">
        <w:rPr>
          <w:rStyle w:val="Style13ptBold"/>
        </w:rPr>
        <w:t>Dyke 18</w:t>
      </w:r>
      <w:r w:rsidRPr="00E30850">
        <w:t xml:space="preserve"> Dyke, Raymond. “The Categorical Imperative for Innovation and Patenting - IPWatchdog.com: Patents &amp;amp; Patent Law.” IPWatchdog.com | Patents &amp;amp; Patent Law, 1 Oct. 2018, www.ipwatchdog.com/2018/07/17/categorical-imperative-innovation-patenting/id=99178/.//dhsNJ</w:t>
      </w:r>
    </w:p>
    <w:p w14:paraId="08EB7340" w14:textId="77777777" w:rsidR="00725501" w:rsidRPr="00E30850" w:rsidRDefault="00725501" w:rsidP="00725501">
      <w:pPr>
        <w:rPr>
          <w:b/>
          <w:iCs/>
          <w:u w:val="single"/>
        </w:rPr>
      </w:pPr>
      <w:r w:rsidRPr="00E30850">
        <w:rPr>
          <w:sz w:val="10"/>
        </w:rPr>
        <w:t xml:space="preserve">As we shall see, </w:t>
      </w:r>
      <w:r w:rsidRPr="00E30850">
        <w:rPr>
          <w:rStyle w:val="Emphasis"/>
        </w:rPr>
        <w:t xml:space="preserve">applying </w:t>
      </w:r>
      <w:r w:rsidRPr="00E30850">
        <w:rPr>
          <w:rStyle w:val="Emphasis"/>
          <w:highlight w:val="green"/>
        </w:rPr>
        <w:t>Kantian logic entails</w:t>
      </w:r>
      <w:r w:rsidRPr="00E30850">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E30850">
        <w:rPr>
          <w:rStyle w:val="Emphasis"/>
          <w:highlight w:val="green"/>
        </w:rPr>
        <w:t>an inventor</w:t>
      </w:r>
      <w:r w:rsidRPr="00E30850">
        <w:rPr>
          <w:rStyle w:val="Emphasis"/>
        </w:rPr>
        <w:t xml:space="preserve"> or creator </w:t>
      </w:r>
      <w:r w:rsidRPr="00E30850">
        <w:rPr>
          <w:rStyle w:val="Emphasis"/>
          <w:highlight w:val="green"/>
        </w:rPr>
        <w:t>has a right</w:t>
      </w:r>
      <w:r w:rsidRPr="00E30850">
        <w:rPr>
          <w:rStyle w:val="Emphasis"/>
        </w:rPr>
        <w:t xml:space="preserve"> </w:t>
      </w:r>
      <w:r w:rsidRPr="00E30850">
        <w:rPr>
          <w:rStyle w:val="Emphasis"/>
          <w:highlight w:val="green"/>
        </w:rPr>
        <w:t>in their</w:t>
      </w:r>
      <w:r w:rsidRPr="00E30850">
        <w:rPr>
          <w:rStyle w:val="Emphasis"/>
        </w:rPr>
        <w:t xml:space="preserve"> own </w:t>
      </w:r>
      <w:r w:rsidRPr="00E30850">
        <w:rPr>
          <w:rStyle w:val="Emphasis"/>
          <w:highlight w:val="green"/>
        </w:rPr>
        <w:t>creation, which cannot be taken</w:t>
      </w:r>
      <w:r w:rsidRPr="00E30850">
        <w:rPr>
          <w:rStyle w:val="Emphasis"/>
        </w:rPr>
        <w:t xml:space="preserve"> from them </w:t>
      </w:r>
      <w:r w:rsidRPr="00E30850">
        <w:rPr>
          <w:rStyle w:val="Emphasis"/>
          <w:highlight w:val="green"/>
        </w:rPr>
        <w:t>without</w:t>
      </w:r>
      <w:r w:rsidRPr="00E30850">
        <w:rPr>
          <w:rStyle w:val="Emphasis"/>
        </w:rPr>
        <w:t xml:space="preserve"> their </w:t>
      </w:r>
      <w:r w:rsidRPr="00E30850">
        <w:rPr>
          <w:rStyle w:val="Emphasis"/>
          <w:highlight w:val="green"/>
        </w:rPr>
        <w:t>consent</w:t>
      </w:r>
      <w:r w:rsidRPr="00E30850">
        <w:rPr>
          <w:rStyle w:val="Emphasis"/>
        </w:rPr>
        <w:t>.</w:t>
      </w:r>
      <w:r w:rsidRPr="00E30850">
        <w:rPr>
          <w:sz w:val="10"/>
        </w:rPr>
        <w:t xml:space="preserve"> So, employing this canon, </w:t>
      </w:r>
      <w:r w:rsidRPr="00E30850">
        <w:rPr>
          <w:rStyle w:val="Emphasis"/>
        </w:rPr>
        <w:t xml:space="preserve">a proposed Categorical Imperative (CI) is </w:t>
      </w:r>
      <w:r w:rsidRPr="00E30850">
        <w:rPr>
          <w:rStyle w:val="Emphasis"/>
          <w:highlight w:val="green"/>
        </w:rPr>
        <w:t>the</w:t>
      </w:r>
      <w:r w:rsidRPr="00E30850">
        <w:rPr>
          <w:rStyle w:val="Emphasis"/>
        </w:rPr>
        <w:t xml:space="preserve"> following </w:t>
      </w:r>
      <w:r w:rsidRPr="00E30850">
        <w:rPr>
          <w:rStyle w:val="Emphasis"/>
          <w:highlight w:val="green"/>
        </w:rPr>
        <w:t>Statement: creators should be protected against</w:t>
      </w:r>
      <w:r w:rsidRPr="00E30850">
        <w:rPr>
          <w:rStyle w:val="Emphasis"/>
        </w:rPr>
        <w:t xml:space="preserve"> the unlawful </w:t>
      </w:r>
      <w:r w:rsidRPr="00E30850">
        <w:rPr>
          <w:rStyle w:val="Emphasis"/>
          <w:highlight w:val="green"/>
        </w:rPr>
        <w:t>taking of their creation</w:t>
      </w:r>
      <w:r w:rsidRPr="00E30850">
        <w:rPr>
          <w:rStyle w:val="Emphasis"/>
        </w:rPr>
        <w:t xml:space="preserve"> by others. </w:t>
      </w:r>
      <w:r w:rsidRPr="00E30850">
        <w:rPr>
          <w:rStyle w:val="Emphasis"/>
          <w:highlight w:val="green"/>
        </w:rPr>
        <w:t>Applying this</w:t>
      </w:r>
      <w:r w:rsidRPr="00E30850">
        <w:rPr>
          <w:rStyle w:val="Emphasis"/>
        </w:rPr>
        <w:t xml:space="preserve"> Statement </w:t>
      </w:r>
      <w:r w:rsidRPr="00E30850">
        <w:rPr>
          <w:rStyle w:val="Emphasis"/>
          <w:highlight w:val="green"/>
        </w:rPr>
        <w:t>to everyone</w:t>
      </w:r>
      <w:r w:rsidRPr="00E30850">
        <w:rPr>
          <w:rStyle w:val="Emphasis"/>
        </w:rPr>
        <w:t>, i</w:t>
      </w:r>
      <w:r w:rsidRPr="00E30850">
        <w:rPr>
          <w:sz w:val="10"/>
        </w:rPr>
        <w:t xml:space="preserve">.e., does the Statement hold water if everyone does this, leads to a yes determination. Whether a child, a book or a prototype, creations of all sorts should be protected, and </w:t>
      </w:r>
      <w:r w:rsidRPr="00E30850">
        <w:rPr>
          <w:rStyle w:val="Emphasis"/>
        </w:rPr>
        <w:t xml:space="preserve">this CI </w:t>
      </w:r>
      <w:r w:rsidRPr="00E30850">
        <w:rPr>
          <w:rStyle w:val="Emphasis"/>
          <w:highlight w:val="green"/>
        </w:rPr>
        <w:t>stands</w:t>
      </w:r>
      <w:r w:rsidRPr="00E30850">
        <w:rPr>
          <w:rStyle w:val="Emphasis"/>
        </w:rPr>
        <w:t>.</w:t>
      </w:r>
      <w:r w:rsidRPr="00E30850">
        <w:rPr>
          <w:sz w:val="10"/>
        </w:rPr>
        <w:t xml:space="preserve"> This result also dovetails with the purpose of government: to protect the people and their possessions by providing laws to that effect, whether for the protection of tangible or intangible things. However</w:t>
      </w:r>
      <w:r w:rsidRPr="00E30850">
        <w:rPr>
          <w:rStyle w:val="Emphasis"/>
        </w:rPr>
        <w:t xml:space="preserve">, a </w:t>
      </w:r>
      <w:r w:rsidRPr="00E30850">
        <w:rPr>
          <w:rStyle w:val="Emphasis"/>
          <w:highlight w:val="green"/>
        </w:rPr>
        <w:t>contrary</w:t>
      </w:r>
      <w:r w:rsidRPr="00E30850">
        <w:rPr>
          <w:rStyle w:val="Emphasis"/>
        </w:rPr>
        <w:t xml:space="preserve"> proposal </w:t>
      </w:r>
      <w:r w:rsidRPr="00E30850">
        <w:rPr>
          <w:rStyle w:val="Emphasis"/>
          <w:highlight w:val="green"/>
        </w:rPr>
        <w:t>can be postulated</w:t>
      </w:r>
      <w:r w:rsidRPr="00E30850">
        <w:rPr>
          <w:rStyle w:val="Emphasis"/>
        </w:rPr>
        <w:t xml:space="preserve">: </w:t>
      </w:r>
      <w:r w:rsidRPr="00E30850">
        <w:rPr>
          <w:rStyle w:val="Emphasis"/>
          <w:highlight w:val="green"/>
        </w:rPr>
        <w:t>everyone should be able to use</w:t>
      </w:r>
      <w:r w:rsidRPr="00E30850">
        <w:rPr>
          <w:rStyle w:val="Emphasis"/>
        </w:rPr>
        <w:t xml:space="preserve"> the </w:t>
      </w:r>
      <w:r w:rsidRPr="00E30850">
        <w:rPr>
          <w:rStyle w:val="Emphasis"/>
          <w:highlight w:val="green"/>
        </w:rPr>
        <w:t>creations of</w:t>
      </w:r>
      <w:r w:rsidRPr="00E30850">
        <w:rPr>
          <w:rStyle w:val="Emphasis"/>
        </w:rPr>
        <w:t xml:space="preserve"> </w:t>
      </w:r>
      <w:r w:rsidRPr="00E30850">
        <w:rPr>
          <w:rStyle w:val="Emphasis"/>
          <w:highlight w:val="green"/>
        </w:rPr>
        <w:t>another</w:t>
      </w:r>
      <w:r w:rsidRPr="00E30850">
        <w:rPr>
          <w:rStyle w:val="Emphasis"/>
        </w:rPr>
        <w:t xml:space="preserve"> </w:t>
      </w:r>
      <w:r w:rsidRPr="00E30850">
        <w:rPr>
          <w:rStyle w:val="Emphasis"/>
          <w:highlight w:val="green"/>
        </w:rPr>
        <w:t>without charge</w:t>
      </w:r>
      <w:r w:rsidRPr="00E30850">
        <w:rPr>
          <w:rStyle w:val="Emphasis"/>
        </w:rPr>
        <w:t>.</w:t>
      </w:r>
      <w:r w:rsidRPr="00E30850">
        <w:rPr>
          <w:sz w:val="10"/>
        </w:rPr>
        <w:t xml:space="preserve"> Can this Statement rise to the level of a CI</w:t>
      </w:r>
      <w:r w:rsidRPr="00E30850">
        <w:rPr>
          <w:rStyle w:val="Emphasis"/>
        </w:rPr>
        <w:t xml:space="preserve">? </w:t>
      </w:r>
      <w:r w:rsidRPr="00E30850">
        <w:rPr>
          <w:rStyle w:val="Emphasis"/>
          <w:highlight w:val="green"/>
        </w:rPr>
        <w:t>This</w:t>
      </w:r>
      <w:r w:rsidRPr="00E30850">
        <w:rPr>
          <w:rStyle w:val="Emphasis"/>
        </w:rPr>
        <w:t xml:space="preserve"> proposal, upon analysis </w:t>
      </w:r>
      <w:r w:rsidRPr="00E30850">
        <w:rPr>
          <w:rStyle w:val="Emphasis"/>
          <w:highlight w:val="green"/>
        </w:rPr>
        <w:t>would</w:t>
      </w:r>
      <w:r w:rsidRPr="00E30850">
        <w:rPr>
          <w:rStyle w:val="Emphasis"/>
        </w:rPr>
        <w:t xml:space="preserve"> also </w:t>
      </w:r>
      <w:r w:rsidRPr="00E30850">
        <w:rPr>
          <w:rStyle w:val="Emphasis"/>
          <w:highlight w:val="green"/>
        </w:rPr>
        <w:t>lead to chaos</w:t>
      </w:r>
      <w:r w:rsidRPr="00E30850">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E30850">
        <w:rPr>
          <w:rStyle w:val="Emphasis"/>
          <w:highlight w:val="green"/>
        </w:rPr>
        <w:t>inventors, unable to license</w:t>
      </w:r>
      <w:r w:rsidRPr="00E30850">
        <w:rPr>
          <w:rStyle w:val="Emphasis"/>
        </w:rPr>
        <w:t xml:space="preserve"> or sell their </w:t>
      </w:r>
      <w:r w:rsidRPr="00E30850">
        <w:rPr>
          <w:rStyle w:val="Emphasis"/>
          <w:highlight w:val="green"/>
        </w:rPr>
        <w:t>innovations or make</w:t>
      </w:r>
      <w:r w:rsidRPr="00E30850">
        <w:rPr>
          <w:rStyle w:val="Emphasis"/>
        </w:rPr>
        <w:t xml:space="preserve"> any </w:t>
      </w:r>
      <w:r w:rsidRPr="00E30850">
        <w:rPr>
          <w:rStyle w:val="Emphasis"/>
          <w:highlight w:val="green"/>
        </w:rPr>
        <w:t>money</w:t>
      </w:r>
      <w:r w:rsidRPr="00E30850">
        <w:rPr>
          <w:rStyle w:val="Emphasis"/>
        </w:rPr>
        <w:t xml:space="preserve"> to cover R&amp;D, </w:t>
      </w:r>
      <w:r w:rsidRPr="00E30850">
        <w:rPr>
          <w:rStyle w:val="Emphasis"/>
          <w:highlight w:val="green"/>
        </w:rPr>
        <w:t>would not bother to invent</w:t>
      </w:r>
      <w:r w:rsidRPr="00E30850">
        <w:rPr>
          <w:rStyle w:val="Emphasis"/>
        </w:rPr>
        <w:t xml:space="preserve"> or also resort to strong trade secret. </w:t>
      </w:r>
      <w:r w:rsidRPr="00E30850">
        <w:rPr>
          <w:rStyle w:val="Emphasis"/>
          <w:highlight w:val="green"/>
        </w:rPr>
        <w:t>Why even create</w:t>
      </w:r>
      <w:r w:rsidRPr="00E30850">
        <w:rPr>
          <w:rStyle w:val="Emphasis"/>
        </w:rPr>
        <w:t xml:space="preserve">? </w:t>
      </w:r>
      <w:r w:rsidRPr="00E30850">
        <w:rPr>
          <w:rStyle w:val="Emphasis"/>
          <w:highlight w:val="green"/>
        </w:rPr>
        <w:t>This approach</w:t>
      </w:r>
      <w:r w:rsidRPr="00E30850">
        <w:rPr>
          <w:rStyle w:val="Emphasis"/>
        </w:rPr>
        <w:t xml:space="preserve"> thus undermines and greatly </w:t>
      </w:r>
      <w:r w:rsidRPr="00E30850">
        <w:rPr>
          <w:rStyle w:val="Emphasis"/>
          <w:highlight w:val="green"/>
        </w:rPr>
        <w:t>hinders</w:t>
      </w:r>
      <w:r w:rsidRPr="00E30850">
        <w:rPr>
          <w:rStyle w:val="Emphasis"/>
        </w:rPr>
        <w:t xml:space="preserve"> the </w:t>
      </w:r>
      <w:r w:rsidRPr="00E30850">
        <w:rPr>
          <w:rStyle w:val="Emphasis"/>
          <w:highlight w:val="green"/>
        </w:rPr>
        <w:t>distribution of ideas in a free society</w:t>
      </w:r>
      <w:r w:rsidRPr="00E30850">
        <w:rPr>
          <w:rStyle w:val="Emphasis"/>
        </w:rPr>
        <w:t xml:space="preserve">, </w:t>
      </w:r>
      <w:r w:rsidRPr="00E30850">
        <w:rPr>
          <w:sz w:val="10"/>
        </w:rPr>
        <w:t xml:space="preserve">which is contrary to the paradigm of the U.S. patent and copyright systems, which promotes dissemination. </w:t>
      </w:r>
      <w:r w:rsidRPr="00E30850">
        <w:rPr>
          <w:rStyle w:val="Emphasis"/>
        </w:rPr>
        <w:t xml:space="preserve">By </w:t>
      </w:r>
      <w:r w:rsidRPr="00E30850">
        <w:rPr>
          <w:rStyle w:val="Emphasis"/>
          <w:highlight w:val="green"/>
        </w:rPr>
        <w:t>allowing freeriding</w:t>
      </w:r>
      <w:r w:rsidRPr="00E30850">
        <w:rPr>
          <w:rStyle w:val="Emphasis"/>
        </w:rPr>
        <w:t>, innovation and creativity would be thwarted (or at least not encouraged) and trade secret protection would become the mainstay for society with the heightened distrust.</w:t>
      </w:r>
    </w:p>
    <w:p w14:paraId="6285B6E3" w14:textId="77777777" w:rsidR="00725501" w:rsidRPr="00725501" w:rsidRDefault="00725501" w:rsidP="00725501"/>
    <w:p w14:paraId="5B4737A9" w14:textId="588D0DD5" w:rsidR="00646E89" w:rsidRPr="00646E89" w:rsidRDefault="00646E89" w:rsidP="00646E89"/>
    <w:p w14:paraId="055B6B82" w14:textId="1F3805C3" w:rsidR="00646E89" w:rsidRDefault="00646E89" w:rsidP="00646E89"/>
    <w:p w14:paraId="4341D1C5" w14:textId="77777777" w:rsidR="00646E89" w:rsidRPr="00646E89" w:rsidRDefault="00646E89" w:rsidP="00646E89"/>
    <w:sectPr w:rsidR="00646E89" w:rsidRPr="00646E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8C2460"/>
    <w:multiLevelType w:val="hybridMultilevel"/>
    <w:tmpl w:val="848C4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BC5A48"/>
    <w:multiLevelType w:val="hybridMultilevel"/>
    <w:tmpl w:val="113CA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6E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11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FB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E89"/>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01"/>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A63"/>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48F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B654D5"/>
  <w14:defaultImageDpi w14:val="300"/>
  <w15:docId w15:val="{04BC2C71-29AB-714A-98BD-9898D69C0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6E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46E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6E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6E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9"/>
    <w:unhideWhenUsed/>
    <w:qFormat/>
    <w:rsid w:val="00646E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6E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E89"/>
  </w:style>
  <w:style w:type="character" w:customStyle="1" w:styleId="Heading1Char">
    <w:name w:val="Heading 1 Char"/>
    <w:aliases w:val="Pocket Char"/>
    <w:basedOn w:val="DefaultParagraphFont"/>
    <w:link w:val="Heading1"/>
    <w:uiPriority w:val="9"/>
    <w:rsid w:val="00646E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6E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6E8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646E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46E89"/>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646E89"/>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646E8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46E89"/>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46E89"/>
    <w:rPr>
      <w:color w:val="auto"/>
      <w:u w:val="none"/>
    </w:rPr>
  </w:style>
  <w:style w:type="paragraph" w:styleId="DocumentMap">
    <w:name w:val="Document Map"/>
    <w:basedOn w:val="Normal"/>
    <w:link w:val="DocumentMapChar"/>
    <w:uiPriority w:val="99"/>
    <w:semiHidden/>
    <w:unhideWhenUsed/>
    <w:rsid w:val="00646E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6E89"/>
    <w:rPr>
      <w:rFonts w:ascii="Lucida Grande" w:hAnsi="Lucida Grande" w:cs="Lucida Grande"/>
    </w:rPr>
  </w:style>
  <w:style w:type="paragraph" w:customStyle="1" w:styleId="textbold">
    <w:name w:val="text bold"/>
    <w:basedOn w:val="Normal"/>
    <w:link w:val="Emphasis"/>
    <w:uiPriority w:val="20"/>
    <w:qFormat/>
    <w:rsid w:val="0072550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Clear,No Spacing3"/>
    <w:basedOn w:val="Heading1"/>
    <w:link w:val="Hyperlink"/>
    <w:autoRedefine/>
    <w:uiPriority w:val="99"/>
    <w:qFormat/>
    <w:rsid w:val="007255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cielo.br/j/trans/a/rLfb3yPN3p4KPsYpxp8LQCp/?format=pdf&amp;lang=en"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yaler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7920F31F-921C-8B4C-8A67-64814377C95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1887</Words>
  <Characters>10759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Lerman</dc:creator>
  <cp:keywords>5.2</cp:keywords>
  <dc:description/>
  <cp:lastModifiedBy>Maya Lerman</cp:lastModifiedBy>
  <cp:revision>1</cp:revision>
  <dcterms:created xsi:type="dcterms:W3CDTF">2021-09-17T22:16:00Z</dcterms:created>
  <dcterms:modified xsi:type="dcterms:W3CDTF">2021-09-17T22:50:00Z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