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6E20" w:rsidRPr="006948C8" w:rsidRDefault="004E6E20" w:rsidP="004E6E20">
      <w:pPr>
        <w:pStyle w:val="Heading2"/>
        <w:rPr>
          <w:rFonts w:cs="Calibri"/>
          <w:color w:val="000000" w:themeColor="text1"/>
        </w:rPr>
      </w:pPr>
      <w:bookmarkStart w:id="0" w:name="OLE_LINK11"/>
      <w:bookmarkStart w:id="1" w:name="OLE_LINK12"/>
      <w:r>
        <w:rPr>
          <w:rFonts w:cs="Calibri"/>
          <w:color w:val="000000" w:themeColor="text1"/>
        </w:rPr>
        <w:t>1</w:t>
      </w:r>
    </w:p>
    <w:p w:rsidR="004E6E20" w:rsidRPr="006948C8" w:rsidRDefault="004E6E20" w:rsidP="004E6E20">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4E6E20" w:rsidRPr="006948C8" w:rsidRDefault="004E6E20" w:rsidP="004E6E20">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4E6E20" w:rsidRPr="006948C8" w:rsidRDefault="004E6E20" w:rsidP="004E6E20">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4E6E20" w:rsidRPr="006948C8" w:rsidRDefault="004E6E20" w:rsidP="004E6E20">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4E6E20" w:rsidRPr="006948C8" w:rsidRDefault="004E6E20" w:rsidP="004E6E20">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4E6E20" w:rsidRDefault="004E6E20" w:rsidP="004E6E20">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4E6E20" w:rsidRPr="0089796E" w:rsidRDefault="004E6E20" w:rsidP="004E6E20">
      <w:pPr>
        <w:pStyle w:val="Heading4"/>
        <w:spacing w:before="0" w:line="276" w:lineRule="auto"/>
        <w:rPr>
          <w:rFonts w:cs="Calibri"/>
        </w:rPr>
      </w:pPr>
      <w:r>
        <w:rPr>
          <w:rFonts w:cs="Calibri"/>
        </w:rPr>
        <w:t xml:space="preserve">The affirmative’s scenario planning through the invocation of fiat is a voting issue – engagement with simulation forces disability to contemplate the nature of ability and disability which fosters internalized ableism and necessitates </w:t>
      </w:r>
      <w:proofErr w:type="spellStart"/>
      <w:r>
        <w:rPr>
          <w:rFonts w:cs="Calibri"/>
        </w:rPr>
        <w:t>crip</w:t>
      </w:r>
      <w:proofErr w:type="spellEnd"/>
      <w:r>
        <w:rPr>
          <w:rFonts w:cs="Calibri"/>
        </w:rPr>
        <w:t xml:space="preserve"> death.</w:t>
      </w:r>
    </w:p>
    <w:p w:rsidR="004E6E20" w:rsidRPr="00A35A28" w:rsidRDefault="004E6E20" w:rsidP="004E6E20">
      <w:pPr>
        <w:spacing w:line="276" w:lineRule="auto"/>
      </w:pPr>
      <w:r w:rsidRPr="00A35A28">
        <w:rPr>
          <w:rStyle w:val="Style13ptBold"/>
        </w:rPr>
        <w:t>Campbell 08</w:t>
      </w:r>
      <w:r w:rsidRPr="00A35A28">
        <w:t xml:space="preserve"> </w:t>
      </w:r>
      <w:r w:rsidRPr="00A35A28">
        <w:rPr>
          <w:sz w:val="16"/>
          <w:szCs w:val="16"/>
        </w:rPr>
        <w:t xml:space="preserve">(Dr Fiona Kumari </w:t>
      </w:r>
      <w:proofErr w:type="spellStart"/>
      <w:r w:rsidRPr="00A35A28">
        <w:rPr>
          <w:sz w:val="16"/>
          <w:szCs w:val="16"/>
        </w:rPr>
        <w:t>Campbellis</w:t>
      </w:r>
      <w:proofErr w:type="spellEnd"/>
      <w:r w:rsidRPr="00A35A28">
        <w:rPr>
          <w:sz w:val="16"/>
          <w:szCs w:val="16"/>
        </w:rPr>
        <w:t xml:space="preserve"> a Senior Lecturer in the School of Health and Wellbeing at the University of South Queensland </w:t>
      </w:r>
      <w:hyperlink r:id="rId11" w:history="1">
        <w:r w:rsidRPr="00490E60">
          <w:rPr>
            <w:rStyle w:val="Hyperlink"/>
            <w:sz w:val="16"/>
            <w:szCs w:val="16"/>
          </w:rPr>
          <w:t>http://www98.griffith.edu.au/dspace/bitstream/handle/10072/21024/50540_1.pdf</w:t>
        </w:r>
      </w:hyperlink>
      <w:r>
        <w:rPr>
          <w:rStyle w:val="Hyperlink"/>
          <w:sz w:val="16"/>
          <w:szCs w:val="16"/>
        </w:rPr>
        <w:t xml:space="preserve"> </w:t>
      </w:r>
      <w:r w:rsidRPr="00A35A28">
        <w:rPr>
          <w:sz w:val="16"/>
          <w:szCs w:val="16"/>
        </w:rPr>
        <w:t>“Exploring Internalized Ableism using Critical Race Theory” Disability and Society, Vol. 23 (2), p. 151-162) //</w:t>
      </w:r>
      <w:r>
        <w:rPr>
          <w:sz w:val="16"/>
          <w:szCs w:val="16"/>
        </w:rPr>
        <w:t>ACCS JM</w:t>
      </w:r>
    </w:p>
    <w:p w:rsidR="004E6E20" w:rsidRPr="00185FCF" w:rsidRDefault="004E6E20" w:rsidP="004E6E20">
      <w:pPr>
        <w:rPr>
          <w:sz w:val="16"/>
        </w:rPr>
      </w:pPr>
      <w:r w:rsidRPr="00F55A49">
        <w:rPr>
          <w:rStyle w:val="Emphasis"/>
          <w:highlight w:val="green"/>
        </w:rPr>
        <w:t>Internalized oppression</w:t>
      </w:r>
      <w:r w:rsidRPr="00F55A49">
        <w:rPr>
          <w:rStyle w:val="StyleUnderline"/>
        </w:rPr>
        <w:t xml:space="preserve"> is not the cause of our mistreatment; it </w:t>
      </w:r>
      <w:r w:rsidRPr="00F55A49">
        <w:rPr>
          <w:rStyle w:val="Emphasis"/>
          <w:highlight w:val="green"/>
        </w:rPr>
        <w:t>is the result of</w:t>
      </w:r>
      <w:r w:rsidRPr="00F55A49">
        <w:rPr>
          <w:rStyle w:val="Emphasis"/>
        </w:rPr>
        <w:t xml:space="preserve"> our </w:t>
      </w:r>
      <w:r w:rsidRPr="00F55A49">
        <w:rPr>
          <w:rStyle w:val="Emphasis"/>
          <w:highlight w:val="green"/>
        </w:rPr>
        <w:t>mistreatment.</w:t>
      </w:r>
      <w:r w:rsidRPr="00603C72">
        <w:rPr>
          <w:sz w:val="16"/>
        </w:rPr>
        <w:t xml:space="preserve"> </w:t>
      </w:r>
      <w:r w:rsidRPr="00F55A49">
        <w:rPr>
          <w:rStyle w:val="StyleUnderline"/>
        </w:rPr>
        <w:t>It would not exist without the real external oppression that forms the social climate in which we exist.</w:t>
      </w:r>
      <w:r w:rsidRPr="00603C72">
        <w:rPr>
          <w:sz w:val="16"/>
        </w:rPr>
        <w:t xml:space="preserve"> Once oppression has been internalized, little force is needed to keep us submissive. </w:t>
      </w:r>
      <w:r w:rsidRPr="00F55A49">
        <w:rPr>
          <w:rStyle w:val="Emphasis"/>
          <w:highlight w:val="green"/>
        </w:rPr>
        <w:t xml:space="preserve">We </w:t>
      </w:r>
      <w:proofErr w:type="spellStart"/>
      <w:r w:rsidRPr="00F55A49">
        <w:rPr>
          <w:rStyle w:val="Emphasis"/>
          <w:highlight w:val="green"/>
        </w:rPr>
        <w:t>harbour</w:t>
      </w:r>
      <w:proofErr w:type="spellEnd"/>
      <w:r w:rsidRPr="00F55A49">
        <w:rPr>
          <w:rStyle w:val="StyleUnderline"/>
        </w:rPr>
        <w:t xml:space="preserve"> inside ourselves the </w:t>
      </w:r>
      <w:r w:rsidRPr="00F55A49">
        <w:rPr>
          <w:rStyle w:val="Emphasis"/>
          <w:highlight w:val="green"/>
        </w:rPr>
        <w:t>pain and</w:t>
      </w:r>
      <w:r w:rsidRPr="00F55A49">
        <w:rPr>
          <w:rStyle w:val="StyleUnderline"/>
        </w:rPr>
        <w:t xml:space="preserve"> the memories, the </w:t>
      </w:r>
      <w:r w:rsidRPr="00F55A49">
        <w:rPr>
          <w:rStyle w:val="Emphasis"/>
          <w:highlight w:val="green"/>
        </w:rPr>
        <w:t>fears</w:t>
      </w:r>
      <w:r w:rsidRPr="00F55A49">
        <w:rPr>
          <w:rStyle w:val="StyleUnderline"/>
        </w:rPr>
        <w:t xml:space="preserve"> and the confusions, the negative self-images and the low expectations, </w:t>
      </w:r>
      <w:r w:rsidRPr="00F55A49">
        <w:rPr>
          <w:rStyle w:val="Emphasis"/>
          <w:highlight w:val="green"/>
        </w:rPr>
        <w:t>turning them into weapons</w:t>
      </w:r>
      <w:r w:rsidRPr="00F55A49">
        <w:rPr>
          <w:rStyle w:val="StyleUnderline"/>
        </w:rPr>
        <w:t xml:space="preserve"> with </w:t>
      </w:r>
      <w:r w:rsidRPr="00F55A49">
        <w:rPr>
          <w:rStyle w:val="Emphasis"/>
        </w:rPr>
        <w:t>which</w:t>
      </w:r>
      <w:r w:rsidRPr="00F55A49">
        <w:rPr>
          <w:rStyle w:val="StyleUnderline"/>
        </w:rPr>
        <w:t xml:space="preserve"> to </w:t>
      </w:r>
      <w:r w:rsidRPr="00F55A49">
        <w:rPr>
          <w:rStyle w:val="Emphasis"/>
        </w:rPr>
        <w:t>re-injure ourselves</w:t>
      </w:r>
      <w:r w:rsidRPr="00F55A49">
        <w:rPr>
          <w:rStyle w:val="StyleUnderline"/>
        </w:rPr>
        <w:t xml:space="preserve">, </w:t>
      </w:r>
      <w:r w:rsidRPr="00F55A49">
        <w:rPr>
          <w:rStyle w:val="Emphasis"/>
        </w:rPr>
        <w:t>every day of our lives.</w:t>
      </w:r>
      <w:r w:rsidRPr="00603C72">
        <w:rPr>
          <w:sz w:val="16"/>
        </w:rPr>
        <w:t xml:space="preserve"> (Mason, as cited Marks, 1999, p.25). </w:t>
      </w:r>
      <w:proofErr w:type="spellStart"/>
      <w:r w:rsidRPr="00900FBB">
        <w:rPr>
          <w:rStyle w:val="Emphasis"/>
          <w:highlight w:val="green"/>
        </w:rPr>
        <w:t>Internalised</w:t>
      </w:r>
      <w:proofErr w:type="spellEnd"/>
      <w:r w:rsidRPr="00900FBB">
        <w:rPr>
          <w:rStyle w:val="Emphasis"/>
          <w:highlight w:val="green"/>
        </w:rPr>
        <w:t xml:space="preserve"> ableism means that to assimilate into the norm</w:t>
      </w:r>
      <w:r w:rsidRPr="002C528E">
        <w:rPr>
          <w:rStyle w:val="StyleUnderline"/>
        </w:rPr>
        <w:t xml:space="preserve"> the </w:t>
      </w:r>
      <w:r w:rsidRPr="00F55A49">
        <w:rPr>
          <w:rStyle w:val="StyleUnderline"/>
        </w:rPr>
        <w:t xml:space="preserve">referentially disabled individual is required to embrace, </w:t>
      </w:r>
      <w:proofErr w:type="gramStart"/>
      <w:r w:rsidRPr="00F55A49">
        <w:rPr>
          <w:rStyle w:val="StyleUnderline"/>
        </w:rPr>
        <w:t>indeed</w:t>
      </w:r>
      <w:proofErr w:type="gramEnd"/>
      <w:r w:rsidRPr="00F55A49">
        <w:rPr>
          <w:rStyle w:val="StyleUnderline"/>
        </w:rPr>
        <w:t xml:space="preserve"> to assume an ‘identity’ other than one’s own</w:t>
      </w:r>
      <w:r w:rsidRPr="00603C72">
        <w:rPr>
          <w:sz w:val="16"/>
        </w:rPr>
        <w:t xml:space="preserve"> – and </w:t>
      </w:r>
      <w:r w:rsidRPr="00F55A49">
        <w:rPr>
          <w:rStyle w:val="StyleUnderline"/>
        </w:rPr>
        <w:t xml:space="preserve">this subject is repeatedly reminded by epistemological formations and individuals with hegemonic </w:t>
      </w:r>
      <w:proofErr w:type="spellStart"/>
      <w:r w:rsidRPr="00F55A49">
        <w:rPr>
          <w:rStyle w:val="StyleUnderline"/>
        </w:rPr>
        <w:t>subjectifications</w:t>
      </w:r>
      <w:proofErr w:type="spellEnd"/>
      <w:r w:rsidRPr="00F55A49">
        <w:rPr>
          <w:rStyle w:val="StyleUnderline"/>
        </w:rPr>
        <w:t xml:space="preserve"> of their provisional and (real) identity.</w:t>
      </w:r>
      <w:r w:rsidRPr="00603C72">
        <w:rPr>
          <w:sz w:val="16"/>
        </w:rPr>
        <w:t xml:space="preserve"> I am not implying that subjects have a true or real essence. </w:t>
      </w:r>
      <w:proofErr w:type="gramStart"/>
      <w:r w:rsidRPr="00603C72">
        <w:rPr>
          <w:sz w:val="16"/>
        </w:rPr>
        <w:t>Indeed</w:t>
      </w:r>
      <w:proofErr w:type="gramEnd"/>
      <w:r w:rsidRPr="00603C72">
        <w:rPr>
          <w:sz w:val="16"/>
        </w:rPr>
        <w:t xml:space="preserve"> the subjects' formation is in a constant state of fluidity, multiplicity and (re)formation. However, </w:t>
      </w:r>
      <w:r w:rsidRPr="00900FBB">
        <w:rPr>
          <w:rStyle w:val="Emphasis"/>
          <w:highlight w:val="green"/>
        </w:rPr>
        <w:t>disabled people</w:t>
      </w:r>
      <w:r w:rsidRPr="00F55A49">
        <w:rPr>
          <w:rStyle w:val="StyleUnderline"/>
        </w:rPr>
        <w:t xml:space="preserve"> often </w:t>
      </w:r>
      <w:r w:rsidRPr="00900FBB">
        <w:rPr>
          <w:rStyle w:val="Emphasis"/>
          <w:highlight w:val="green"/>
        </w:rPr>
        <w:t>feel compelled to fabricate ‘who’ they are</w:t>
      </w:r>
      <w:r w:rsidRPr="00603C72">
        <w:rPr>
          <w:sz w:val="16"/>
        </w:rPr>
        <w:t xml:space="preserve"> – </w:t>
      </w:r>
      <w:r w:rsidRPr="00F55A49">
        <w:rPr>
          <w:rStyle w:val="StyleUnderline"/>
        </w:rPr>
        <w:t>to adopt postures and comportments that are additional to self.</w:t>
      </w:r>
      <w:r w:rsidRPr="00603C72">
        <w:rPr>
          <w:sz w:val="16"/>
        </w:rPr>
        <w:t xml:space="preserve"> The formation of </w:t>
      </w:r>
      <w:proofErr w:type="spellStart"/>
      <w:r w:rsidRPr="00603C72">
        <w:rPr>
          <w:sz w:val="16"/>
        </w:rPr>
        <w:t>internalised</w:t>
      </w:r>
      <w:proofErr w:type="spellEnd"/>
      <w:r w:rsidRPr="00603C72">
        <w:rPr>
          <w:sz w:val="16"/>
        </w:rPr>
        <w:t xml:space="preserve"> ableism cannot be simply deduced by assessing the responses of individuals to Althusser’s famous interpolative hailing “Hey you, there” (Althusser &amp; </w:t>
      </w:r>
      <w:proofErr w:type="spellStart"/>
      <w:r w:rsidRPr="00603C72">
        <w:rPr>
          <w:sz w:val="16"/>
        </w:rPr>
        <w:t>Balibar</w:t>
      </w:r>
      <w:proofErr w:type="spellEnd"/>
      <w:r w:rsidRPr="00603C72">
        <w:rPr>
          <w:sz w:val="16"/>
        </w:rPr>
        <w:t xml:space="preserve">, 1979). Whilst a subject may respond to “Hey you there, </w:t>
      </w:r>
      <w:proofErr w:type="spellStart"/>
      <w:r w:rsidRPr="00603C72">
        <w:rPr>
          <w:sz w:val="16"/>
        </w:rPr>
        <w:t>crip</w:t>
      </w:r>
      <w:proofErr w:type="spellEnd"/>
      <w:r w:rsidRPr="00603C72">
        <w:rPr>
          <w:sz w:val="16"/>
        </w:rPr>
        <w:t xml:space="preserve">!” – it is naïve to assume that an affirmative response to this hailing repressively inaugurates negative disabled subjectification. In </w:t>
      </w:r>
      <w:proofErr w:type="gramStart"/>
      <w:r w:rsidRPr="00603C72">
        <w:rPr>
          <w:sz w:val="16"/>
        </w:rPr>
        <w:t>fact</w:t>
      </w:r>
      <w:proofErr w:type="gramEnd"/>
      <w:r w:rsidRPr="00603C72">
        <w:rPr>
          <w:sz w:val="16"/>
        </w:rPr>
        <w:t xml:space="preserve">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w:t>
      </w:r>
      <w:r w:rsidRPr="00900FBB">
        <w:rPr>
          <w:rStyle w:val="Emphasis"/>
        </w:rPr>
        <w:t>If abnormal</w:t>
      </w:r>
      <w:r w:rsidRPr="00603C72">
        <w:rPr>
          <w:sz w:val="16"/>
        </w:rPr>
        <w:t xml:space="preserve"> [sic] </w:t>
      </w:r>
      <w:r w:rsidRPr="00900FBB">
        <w:rPr>
          <w:rStyle w:val="Emphasis"/>
        </w:rPr>
        <w:t>bodies must</w:t>
      </w:r>
      <w:r w:rsidRPr="00900FBB">
        <w:rPr>
          <w:rStyle w:val="StyleUnderline"/>
        </w:rPr>
        <w:t xml:space="preserve"> be fixed to </w:t>
      </w:r>
      <w:r w:rsidRPr="00900FBB">
        <w:rPr>
          <w:rStyle w:val="Emphasis"/>
        </w:rPr>
        <w:t>fit within dominant</w:t>
      </w:r>
      <w:r w:rsidRPr="00900FBB">
        <w:rPr>
          <w:rStyle w:val="StyleUnderline"/>
        </w:rPr>
        <w:t xml:space="preserve"> cultural </w:t>
      </w:r>
      <w:r w:rsidRPr="00900FBB">
        <w:rPr>
          <w:rStyle w:val="Emphasis"/>
        </w:rPr>
        <w:t>views</w:t>
      </w:r>
      <w:r w:rsidRPr="00900FBB">
        <w:rPr>
          <w:rStyle w:val="StyleUnderline"/>
        </w:rPr>
        <w:t xml:space="preserve"> of appropriateness </w:t>
      </w:r>
      <w:r w:rsidRPr="00900FBB">
        <w:rPr>
          <w:rStyle w:val="Emphasis"/>
        </w:rPr>
        <w:t>then</w:t>
      </w:r>
      <w:r w:rsidRPr="00900FBB">
        <w:rPr>
          <w:rStyle w:val="StyleUnderline"/>
        </w:rPr>
        <w:t xml:space="preserve"> the</w:t>
      </w:r>
      <w:r w:rsidRPr="00603C72">
        <w:rPr>
          <w:sz w:val="16"/>
        </w:rPr>
        <w:t xml:space="preserve"> Deaf </w:t>
      </w:r>
      <w:r w:rsidRPr="00900FBB">
        <w:rPr>
          <w:rStyle w:val="Emphasis"/>
        </w:rPr>
        <w:t>celebration of</w:t>
      </w:r>
      <w:r w:rsidRPr="00900FBB">
        <w:rPr>
          <w:rStyle w:val="StyleUnderline"/>
        </w:rPr>
        <w:t xml:space="preserve"> their </w:t>
      </w:r>
      <w:r w:rsidRPr="00900FBB">
        <w:rPr>
          <w:rStyle w:val="Emphasis"/>
        </w:rPr>
        <w:t>differences must be</w:t>
      </w:r>
      <w:r w:rsidRPr="00900FBB">
        <w:rPr>
          <w:rStyle w:val="StyleUnderline"/>
        </w:rPr>
        <w:t xml:space="preserve"> read as an </w:t>
      </w:r>
      <w:r w:rsidRPr="00900FBB">
        <w:rPr>
          <w:rStyle w:val="Emphasis"/>
        </w:rPr>
        <w:t>illegitimate</w:t>
      </w:r>
      <w:r w:rsidRPr="00900FBB">
        <w:rPr>
          <w:rStyle w:val="StyleUnderline"/>
        </w:rPr>
        <w:t xml:space="preserve"> model of advocacy</w:t>
      </w:r>
      <w:r w:rsidRPr="00603C72">
        <w:rPr>
          <w:sz w:val="16"/>
        </w:rPr>
        <w:t xml:space="preserve">”. (Cherney, 1999, p. 33). Foucault’s (1976; 1980) </w:t>
      </w:r>
      <w:proofErr w:type="spellStart"/>
      <w:r w:rsidRPr="00603C72">
        <w:rPr>
          <w:sz w:val="16"/>
        </w:rPr>
        <w:t>theorisation</w:t>
      </w:r>
      <w:proofErr w:type="spellEnd"/>
      <w:r w:rsidRPr="00603C72">
        <w:rPr>
          <w:sz w:val="16"/>
        </w:rPr>
        <w:t xml:space="preserve"> of power as productive may provide some offerings from which to build a conversation about </w:t>
      </w:r>
      <w:proofErr w:type="spellStart"/>
      <w:r w:rsidRPr="00603C72">
        <w:rPr>
          <w:sz w:val="16"/>
        </w:rPr>
        <w:t>internalised</w:t>
      </w:r>
      <w:proofErr w:type="spellEnd"/>
      <w:r w:rsidRPr="00603C72">
        <w:rPr>
          <w:sz w:val="16"/>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sidRPr="00603C72">
        <w:rPr>
          <w:sz w:val="16"/>
        </w:rPr>
        <w:t>subjectifying</w:t>
      </w:r>
      <w:proofErr w:type="spellEnd"/>
      <w:r w:rsidRPr="00603C72">
        <w:rPr>
          <w:sz w:val="16"/>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w:t>
      </w:r>
      <w:proofErr w:type="spellStart"/>
      <w:r w:rsidRPr="00603C72">
        <w:rPr>
          <w:sz w:val="16"/>
        </w:rPr>
        <w:t>mnemic</w:t>
      </w:r>
      <w:proofErr w:type="spellEnd"/>
      <w:r w:rsidRPr="00603C72">
        <w:rPr>
          <w:sz w:val="16"/>
        </w:rPr>
        <w:t xml:space="preserve"> trace”: One need only consider the way in which the history of having been called an injurious name is embodied, how the words enter the limbs, craft the gesture, bend the spine …how these slurs </w:t>
      </w:r>
      <w:r w:rsidRPr="00603C72">
        <w:rPr>
          <w:sz w:val="16"/>
        </w:rPr>
        <w:lastRenderedPageBreak/>
        <w:t xml:space="preserve">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sidRPr="00603C72">
        <w:rPr>
          <w:sz w:val="16"/>
        </w:rPr>
        <w:t>Wolfensberger</w:t>
      </w:r>
      <w:proofErr w:type="spellEnd"/>
      <w:r w:rsidRPr="00603C72">
        <w:rPr>
          <w:sz w:val="16"/>
        </w:rPr>
        <w:t xml:space="preserve"> (1972) in his seven core themes of SRV, identified role circularity as a significant obstacle to be overcome by disabled people wanting socially valued roles. Philosopher Linda Purdy contends </w:t>
      </w:r>
      <w:r w:rsidRPr="00900FBB">
        <w:rPr>
          <w:rStyle w:val="Emphasis"/>
        </w:rPr>
        <w:t>it is important to resist conflating disability with the disabled person.</w:t>
      </w:r>
      <w:r w:rsidRPr="00603C72">
        <w:rPr>
          <w:sz w:val="16"/>
        </w:rPr>
        <w:t xml:space="preserve"> She writes My disability is not me, no matter how much it may affect my choices. With this point firmly in mind, </w:t>
      </w:r>
      <w:r w:rsidRPr="00712CDB">
        <w:rPr>
          <w:rStyle w:val="StyleUnderline"/>
        </w:rPr>
        <w:t xml:space="preserve">it should be possible mentally </w:t>
      </w:r>
      <w:r w:rsidRPr="00712CDB">
        <w:rPr>
          <w:rStyle w:val="Emphasis"/>
          <w:highlight w:val="green"/>
        </w:rPr>
        <w:t>to separate</w:t>
      </w:r>
      <w:r w:rsidRPr="00603C72">
        <w:rPr>
          <w:rStyle w:val="Emphasis"/>
        </w:rPr>
        <w:t xml:space="preserve"> my </w:t>
      </w:r>
      <w:r w:rsidRPr="00712CDB">
        <w:rPr>
          <w:rStyle w:val="Emphasis"/>
          <w:highlight w:val="green"/>
        </w:rPr>
        <w:t>existence</w:t>
      </w:r>
      <w:r w:rsidRPr="00712CDB">
        <w:rPr>
          <w:rStyle w:val="StyleUnderline"/>
        </w:rPr>
        <w:t xml:space="preserve">s </w:t>
      </w:r>
      <w:r w:rsidRPr="00712CDB">
        <w:rPr>
          <w:rStyle w:val="Emphasis"/>
          <w:highlight w:val="green"/>
        </w:rPr>
        <w:t>from</w:t>
      </w:r>
      <w:r w:rsidRPr="00712CDB">
        <w:rPr>
          <w:rStyle w:val="StyleUnderline"/>
        </w:rPr>
        <w:t xml:space="preserve"> the existence of </w:t>
      </w:r>
      <w:r w:rsidRPr="00603C72">
        <w:rPr>
          <w:rStyle w:val="Emphasis"/>
        </w:rPr>
        <w:t xml:space="preserve">my </w:t>
      </w:r>
      <w:r w:rsidRPr="00712CDB">
        <w:rPr>
          <w:rStyle w:val="Emphasis"/>
          <w:highlight w:val="green"/>
        </w:rPr>
        <w:t>disability</w:t>
      </w:r>
      <w:r w:rsidRPr="00712CDB">
        <w:rPr>
          <w:rStyle w:val="StyleUnderline"/>
        </w:rPr>
        <w:t>.</w:t>
      </w:r>
      <w:r w:rsidRPr="00603C72">
        <w:rPr>
          <w:sz w:val="16"/>
        </w:rPr>
        <w:t xml:space="preserve"> (Purdy, 1996, p. 68). </w:t>
      </w:r>
      <w:r w:rsidRPr="00712CDB">
        <w:rPr>
          <w:rStyle w:val="StyleUnderline"/>
        </w:rPr>
        <w:t>The problem</w:t>
      </w:r>
      <w:r w:rsidRPr="00603C72">
        <w:rPr>
          <w:sz w:val="16"/>
        </w:rPr>
        <w:t xml:space="preserve"> with Purdy’s conclusion </w:t>
      </w:r>
      <w:r w:rsidRPr="00712CDB">
        <w:rPr>
          <w:rStyle w:val="StyleUnderline"/>
        </w:rPr>
        <w:t>is that it</w:t>
      </w:r>
      <w:r w:rsidRPr="00900FBB">
        <w:rPr>
          <w:rStyle w:val="Emphasis"/>
        </w:rPr>
        <w:t xml:space="preserve"> </w:t>
      </w:r>
      <w:r w:rsidRPr="00712CDB">
        <w:rPr>
          <w:rStyle w:val="Emphasis"/>
          <w:highlight w:val="green"/>
        </w:rPr>
        <w:t>is</w:t>
      </w:r>
      <w:r w:rsidRPr="00900FBB">
        <w:rPr>
          <w:rStyle w:val="Emphasis"/>
        </w:rPr>
        <w:t xml:space="preserve"> psychically </w:t>
      </w:r>
      <w:r w:rsidRPr="00712CDB">
        <w:rPr>
          <w:rStyle w:val="Emphasis"/>
          <w:highlight w:val="green"/>
        </w:rPr>
        <w:t>untenable</w:t>
      </w:r>
      <w:r w:rsidRPr="00712CDB">
        <w:rPr>
          <w:rStyle w:val="Emphasis"/>
        </w:rPr>
        <w:t>,</w:t>
      </w:r>
      <w:r w:rsidRPr="00603C72">
        <w:rPr>
          <w:sz w:val="16"/>
        </w:rPr>
        <w:t xml:space="preserve"> not only because it is posited around a type of Cartesian dualism that simply separates being-ness from embodiment, but also because this kind of reasoning disregards the dynamics of subjectivity formation to which Butler (1997a; 1997b) has referred. </w:t>
      </w:r>
      <w:r w:rsidRPr="000E5B78">
        <w:rPr>
          <w:rStyle w:val="StyleUnderline"/>
        </w:rPr>
        <w:t>Whilst the ‘outputs’ of subjectivity are variable the experience of impairment within an ableist context</w:t>
      </w:r>
      <w:r w:rsidRPr="00603C72">
        <w:rPr>
          <w:sz w:val="16"/>
        </w:rPr>
        <w:t xml:space="preserve"> can and </w:t>
      </w:r>
      <w:r w:rsidRPr="000E5B78">
        <w:rPr>
          <w:rStyle w:val="StyleUnderline"/>
        </w:rPr>
        <w:t>does effect formation of self</w:t>
      </w:r>
      <w:r w:rsidRPr="00603C72">
        <w:rPr>
          <w:sz w:val="16"/>
        </w:rPr>
        <w:t xml:space="preserve"> – in other words ‘</w:t>
      </w:r>
      <w:r w:rsidRPr="000E5B78">
        <w:rPr>
          <w:rStyle w:val="StyleUnderline"/>
        </w:rPr>
        <w:t>disability is me</w:t>
      </w:r>
      <w:r w:rsidRPr="00603C72">
        <w:rPr>
          <w:sz w:val="16"/>
        </w:rPr>
        <w:t>’,</w:t>
      </w:r>
      <w:r w:rsidRPr="00603C72">
        <w:rPr>
          <w:rStyle w:val="StyleUnderline"/>
        </w:rPr>
        <w:t xml:space="preserve"> but that ‘me’ does not need to be </w:t>
      </w:r>
      <w:proofErr w:type="spellStart"/>
      <w:r w:rsidRPr="00603C72">
        <w:rPr>
          <w:rStyle w:val="StyleUnderline"/>
        </w:rPr>
        <w:t>enfleshed</w:t>
      </w:r>
      <w:proofErr w:type="spellEnd"/>
      <w:r w:rsidRPr="00603C72">
        <w:rPr>
          <w:rStyle w:val="StyleUnderline"/>
        </w:rPr>
        <w:t xml:space="preserve"> with negative ontologies of subjectivity.</w:t>
      </w:r>
      <w:r w:rsidRPr="00603C72">
        <w:rPr>
          <w:sz w:val="16"/>
        </w:rPr>
        <w:t xml:space="preserve"> Purdy’s </w:t>
      </w:r>
      <w:r w:rsidRPr="00603C72">
        <w:rPr>
          <w:rStyle w:val="Emphasis"/>
          <w:highlight w:val="green"/>
        </w:rPr>
        <w:t>bodily detachment</w:t>
      </w:r>
      <w:r w:rsidRPr="00603C72">
        <w:rPr>
          <w:rStyle w:val="StyleUnderline"/>
        </w:rPr>
        <w:t xml:space="preserve"> appears locked into a loop that </w:t>
      </w:r>
      <w:r w:rsidRPr="00603C72">
        <w:rPr>
          <w:rStyle w:val="Emphasis"/>
          <w:highlight w:val="green"/>
        </w:rPr>
        <w:t xml:space="preserve">is filled with </w:t>
      </w:r>
      <w:proofErr w:type="spellStart"/>
      <w:r w:rsidRPr="00603C72">
        <w:rPr>
          <w:rStyle w:val="Emphasis"/>
          <w:highlight w:val="green"/>
        </w:rPr>
        <w:t>internalised</w:t>
      </w:r>
      <w:proofErr w:type="spellEnd"/>
      <w:r w:rsidRPr="00603C72">
        <w:rPr>
          <w:rStyle w:val="Emphasis"/>
          <w:highlight w:val="green"/>
        </w:rPr>
        <w:t xml:space="preserve"> ableism</w:t>
      </w:r>
      <w:r w:rsidRPr="00603C72">
        <w:rPr>
          <w:rStyle w:val="StyleUnderline"/>
        </w:rPr>
        <w:t xml:space="preserve">, a state with negative views of impairment, </w:t>
      </w:r>
      <w:r w:rsidRPr="00603C72">
        <w:rPr>
          <w:rStyle w:val="Emphasis"/>
        </w:rPr>
        <w:t>from which the only escape is disembodiment</w:t>
      </w:r>
      <w:r w:rsidRPr="00603C72">
        <w:rPr>
          <w:sz w:val="16"/>
        </w:rPr>
        <w:t xml:space="preserve">; the penalty of denial is a flight from her body. This finds agreement in the reasoning of Jean Baudrillard (1983) who posits that it is the simulation, the appearance (representation) that matters. </w:t>
      </w:r>
      <w:r w:rsidRPr="00603C72">
        <w:rPr>
          <w:rStyle w:val="Emphasis"/>
          <w:highlight w:val="green"/>
        </w:rPr>
        <w:t>The subject simulates what it is to be</w:t>
      </w:r>
      <w:r w:rsidRPr="00603C72">
        <w:rPr>
          <w:rStyle w:val="Emphasis"/>
        </w:rPr>
        <w:t xml:space="preserve"> ‘disabled’</w:t>
      </w:r>
      <w:r w:rsidRPr="00603C72">
        <w:rPr>
          <w:rStyle w:val="StyleUnderline"/>
        </w:rPr>
        <w:t xml:space="preserve"> and by inference </w:t>
      </w:r>
      <w:r w:rsidRPr="00603C72">
        <w:rPr>
          <w:rStyle w:val="Emphasis"/>
          <w:highlight w:val="green"/>
        </w:rPr>
        <w:t>‘abled’</w:t>
      </w:r>
      <w:r w:rsidRPr="00603C72">
        <w:rPr>
          <w:rStyle w:val="StyleUnderline"/>
        </w:rPr>
        <w:t xml:space="preserve"> and </w:t>
      </w:r>
      <w:r w:rsidRPr="00603C72">
        <w:rPr>
          <w:rStyle w:val="Emphasis"/>
          <w:highlight w:val="green"/>
        </w:rPr>
        <w:t>whilst morphing ableist imperatives</w:t>
      </w:r>
      <w:r w:rsidRPr="00603C72">
        <w:rPr>
          <w:sz w:val="16"/>
        </w:rPr>
        <w:t>, in effect performs a new hyper reality of be-</w:t>
      </w:r>
      <w:proofErr w:type="spellStart"/>
      <w:r w:rsidRPr="00603C72">
        <w:rPr>
          <w:sz w:val="16"/>
        </w:rPr>
        <w:t>ing</w:t>
      </w:r>
      <w:proofErr w:type="spellEnd"/>
      <w:r w:rsidRPr="00603C72">
        <w:rPr>
          <w:sz w:val="16"/>
        </w:rPr>
        <w:t xml:space="preserve"> disabled. </w:t>
      </w:r>
      <w:r w:rsidRPr="00603C72">
        <w:rPr>
          <w:rStyle w:val="StyleUnderline"/>
        </w:rPr>
        <w:t xml:space="preserve">By unwittingly performing ableism </w:t>
      </w:r>
      <w:r w:rsidRPr="00603C72">
        <w:rPr>
          <w:rStyle w:val="Emphasis"/>
          <w:highlight w:val="green"/>
        </w:rPr>
        <w:t>disabled people become complicit in their own demise</w:t>
      </w:r>
      <w:r w:rsidRPr="00603C72">
        <w:rPr>
          <w:rStyle w:val="StyleUnderline"/>
        </w:rPr>
        <w:t xml:space="preserve"> – reinforcing impairment as an outlaw ontology.</w:t>
      </w:r>
    </w:p>
    <w:p w:rsidR="004E6E20" w:rsidRPr="006948C8" w:rsidRDefault="004E6E20" w:rsidP="004E6E20">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4E6E20" w:rsidRPr="006948C8" w:rsidRDefault="004E6E20" w:rsidP="004E6E20">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rsidR="004E6E20" w:rsidRPr="006948C8" w:rsidRDefault="004E6E20" w:rsidP="004E6E20">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lastRenderedPageBreak/>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t>
      </w:r>
      <w:proofErr w:type="gramStart"/>
      <w:r w:rsidRPr="006948C8">
        <w:rPr>
          <w:rStyle w:val="Emphasis"/>
        </w:rPr>
        <w:t>ways</w:t>
      </w:r>
      <w:proofErr w:type="gramEnd"/>
      <w:r w:rsidRPr="006948C8">
        <w:rPr>
          <w:rStyle w:val="Emphasis"/>
        </w:rPr>
        <w:t xml:space="preserve">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4E6E20" w:rsidRPr="006948C8" w:rsidRDefault="004E6E20" w:rsidP="004E6E20">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4E6E20" w:rsidRPr="006948C8" w:rsidRDefault="004E6E20" w:rsidP="004E6E20">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rsidR="004E6E20" w:rsidRPr="006948C8" w:rsidRDefault="004E6E20" w:rsidP="004E6E20">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w:t>
      </w:r>
      <w:r w:rsidRPr="006948C8">
        <w:rPr>
          <w:sz w:val="14"/>
        </w:rPr>
        <w:lastRenderedPageBreak/>
        <w:t xml:space="preserve">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w:t>
      </w:r>
      <w:r w:rsidRPr="006948C8">
        <w:rPr>
          <w:sz w:val="14"/>
        </w:rPr>
        <w:lastRenderedPageBreak/>
        <w:t>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4E6E20" w:rsidRPr="006948C8" w:rsidRDefault="004E6E20" w:rsidP="004E6E20">
      <w:pPr>
        <w:pStyle w:val="Heading4"/>
        <w:rPr>
          <w:rFonts w:cs="Calibri"/>
        </w:rPr>
      </w:pPr>
      <w:r w:rsidRPr="006948C8">
        <w:rPr>
          <w:rFonts w:cs="Calibri"/>
        </w:rPr>
        <w:t>Psychoanalysis is both falsifiable and accurate – studies prove.</w:t>
      </w:r>
    </w:p>
    <w:p w:rsidR="004E6E20" w:rsidRPr="006948C8" w:rsidRDefault="004E6E20" w:rsidP="004E6E20">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4E6E20" w:rsidRDefault="004E6E20" w:rsidP="004E6E20">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4E6E20" w:rsidRDefault="004E6E20" w:rsidP="004E6E20">
      <w:pPr>
        <w:pStyle w:val="Heading4"/>
        <w:spacing w:line="276" w:lineRule="auto"/>
        <w:ind w:right="-43"/>
        <w:rPr>
          <w:color w:val="000000" w:themeColor="text1"/>
        </w:rPr>
      </w:pPr>
      <w:r>
        <w:rPr>
          <w:color w:val="000000" w:themeColor="text1"/>
        </w:rPr>
        <w:lastRenderedPageBreak/>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bookmarkEnd w:id="0"/>
    <w:bookmarkEnd w:id="1"/>
    <w:bookmarkEnd w:id="2"/>
    <w:bookmarkEnd w:id="3"/>
    <w:p w:rsidR="005B3459" w:rsidRDefault="005B3459" w:rsidP="005B3459"/>
    <w:p w:rsidR="004E6E20" w:rsidRPr="004E6E20" w:rsidRDefault="004E6E20" w:rsidP="004E6E20">
      <w:bookmarkStart w:id="4" w:name="_GoBack"/>
      <w:bookmarkEnd w:id="4"/>
    </w:p>
    <w:sectPr w:rsidR="004E6E20" w:rsidRPr="004E6E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8811CE"/>
    <w:multiLevelType w:val="multilevel"/>
    <w:tmpl w:val="6A640E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34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702"/>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E20"/>
    <w:rsid w:val="005028E5"/>
    <w:rsid w:val="00503735"/>
    <w:rsid w:val="00507C8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459"/>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213"/>
    <w:rsid w:val="007C22C5"/>
    <w:rsid w:val="007C57E1"/>
    <w:rsid w:val="007C5811"/>
    <w:rsid w:val="007D2DF5"/>
    <w:rsid w:val="007D451A"/>
    <w:rsid w:val="007D5E3E"/>
    <w:rsid w:val="007D7596"/>
    <w:rsid w:val="007E242C"/>
    <w:rsid w:val="007E6631"/>
    <w:rsid w:val="00803A12"/>
    <w:rsid w:val="00805417"/>
    <w:rsid w:val="0082202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060"/>
    <w:rsid w:val="009D15DB"/>
    <w:rsid w:val="009D3133"/>
    <w:rsid w:val="009E160D"/>
    <w:rsid w:val="009F1CBB"/>
    <w:rsid w:val="009F3305"/>
    <w:rsid w:val="009F6FB2"/>
    <w:rsid w:val="00A071C0"/>
    <w:rsid w:val="00A12E61"/>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104"/>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EA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EC8"/>
    <w:rsid w:val="00D01EDC"/>
    <w:rsid w:val="00D078AA"/>
    <w:rsid w:val="00D10058"/>
    <w:rsid w:val="00D11978"/>
    <w:rsid w:val="00D1286E"/>
    <w:rsid w:val="00D15E30"/>
    <w:rsid w:val="00D16129"/>
    <w:rsid w:val="00D25DBD"/>
    <w:rsid w:val="00D26929"/>
    <w:rsid w:val="00D30CBD"/>
    <w:rsid w:val="00D30D9E"/>
    <w:rsid w:val="00D33908"/>
    <w:rsid w:val="00D354F2"/>
    <w:rsid w:val="00D36C30"/>
    <w:rsid w:val="00D37C90"/>
    <w:rsid w:val="00D43A8C"/>
    <w:rsid w:val="00D4644E"/>
    <w:rsid w:val="00D53072"/>
    <w:rsid w:val="00D53A6D"/>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7E3E7BA8-CA36-7A49-83E5-14E2CF96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6E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34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34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5B34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9"/>
    <w:unhideWhenUsed/>
    <w:qFormat/>
    <w:rsid w:val="005B34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34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3459"/>
  </w:style>
  <w:style w:type="character" w:customStyle="1" w:styleId="Heading1Char">
    <w:name w:val="Heading 1 Char"/>
    <w:aliases w:val="Pocket Char"/>
    <w:basedOn w:val="DefaultParagraphFont"/>
    <w:link w:val="Heading1"/>
    <w:uiPriority w:val="9"/>
    <w:rsid w:val="005B34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345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B345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5B34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3459"/>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1"/>
    <w:qFormat/>
    <w:rsid w:val="005B345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5B34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3459"/>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5B3459"/>
    <w:rPr>
      <w:color w:val="auto"/>
      <w:u w:val="none"/>
    </w:rPr>
  </w:style>
  <w:style w:type="paragraph" w:styleId="DocumentMap">
    <w:name w:val="Document Map"/>
    <w:basedOn w:val="Normal"/>
    <w:link w:val="DocumentMapChar"/>
    <w:uiPriority w:val="99"/>
    <w:semiHidden/>
    <w:unhideWhenUsed/>
    <w:rsid w:val="005B34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3459"/>
    <w:rPr>
      <w:rFonts w:ascii="Lucida Grande" w:hAnsi="Lucida Grande" w:cs="Lucida Grande"/>
    </w:rPr>
  </w:style>
  <w:style w:type="paragraph" w:customStyle="1" w:styleId="textbold">
    <w:name w:val="text bold"/>
    <w:basedOn w:val="Normal"/>
    <w:link w:val="Emphasis"/>
    <w:uiPriority w:val="20"/>
    <w:qFormat/>
    <w:rsid w:val="004E6E20"/>
    <w:pPr>
      <w:spacing w:after="0" w:line="240" w:lineRule="auto"/>
      <w:ind w:left="720"/>
      <w:jc w:val="both"/>
    </w:pPr>
    <w:rPr>
      <w:b/>
      <w:iCs/>
      <w:u w:val="single"/>
    </w:rPr>
  </w:style>
  <w:style w:type="paragraph" w:customStyle="1" w:styleId="Emphasis1">
    <w:name w:val="Emphasis1"/>
    <w:basedOn w:val="Normal"/>
    <w:uiPriority w:val="20"/>
    <w:qFormat/>
    <w:rsid w:val="0082202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qFormat/>
    <w:rsid w:val="00822024"/>
    <w:rPr>
      <w:u w:val="single"/>
    </w:rPr>
  </w:style>
  <w:style w:type="paragraph" w:styleId="Title">
    <w:name w:val="Title"/>
    <w:aliases w:val="title,UNDERLINE,Cites and Cards,Bold Underlined,Read This,Block Heading"/>
    <w:basedOn w:val="Normal"/>
    <w:next w:val="Normal"/>
    <w:link w:val="TitleChar"/>
    <w:qFormat/>
    <w:rsid w:val="00822024"/>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82202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98.griffith.edu.au/dspace/bitstream/handle/10072/21024/50540_1.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912A6B-DCF2-4246-A2E2-B7D5DC488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10</Pages>
  <Words>8105</Words>
  <Characters>46201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2022-02-12T18:15:00Z</dcterms:created>
  <dcterms:modified xsi:type="dcterms:W3CDTF">2022-02-12T23:38:00Z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