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632C5" w:rsidRDefault="00F632C5" w:rsidP="00F632C5">
      <w:pPr>
        <w:pStyle w:val="Heading2"/>
        <w:rPr>
          <w:rFonts w:cs="Calibri"/>
          <w:color w:val="000000" w:themeColor="text1"/>
        </w:rPr>
      </w:pPr>
      <w:bookmarkStart w:id="0" w:name="OLE_LINK11"/>
      <w:bookmarkStart w:id="1" w:name="OLE_LINK12"/>
      <w:r>
        <w:rPr>
          <w:rFonts w:cs="Calibri"/>
          <w:color w:val="000000" w:themeColor="text1"/>
        </w:rPr>
        <w:t>1</w:t>
      </w:r>
    </w:p>
    <w:p w:rsidR="00F632C5" w:rsidRPr="0069043D" w:rsidRDefault="00F632C5" w:rsidP="00F632C5">
      <w:pPr>
        <w:pStyle w:val="Heading4"/>
        <w:rPr>
          <w:rFonts w:cs="Calibri"/>
        </w:rPr>
      </w:pPr>
      <w:r w:rsidRPr="0069043D">
        <w:rPr>
          <w:rFonts w:cs="Calibri"/>
        </w:rPr>
        <w:t xml:space="preserve">Kantian philosophy is homophobic – this is not </w:t>
      </w:r>
      <w:proofErr w:type="gramStart"/>
      <w:r w:rsidRPr="0069043D">
        <w:rPr>
          <w:rFonts w:cs="Calibri"/>
        </w:rPr>
        <w:t>an ad hominem</w:t>
      </w:r>
      <w:proofErr w:type="gramEnd"/>
      <w:r w:rsidRPr="0069043D">
        <w:rPr>
          <w:rFonts w:cs="Calibri"/>
        </w:rPr>
        <w:t xml:space="preserve"> - this is a conclusion of his ethics and the formula of humanity. </w:t>
      </w:r>
    </w:p>
    <w:p w:rsidR="00F632C5" w:rsidRPr="0069043D" w:rsidRDefault="00F632C5" w:rsidP="00F632C5">
      <w:pPr>
        <w:pStyle w:val="FootnoteText"/>
        <w:rPr>
          <w:rFonts w:ascii="Calibri" w:hAnsi="Calibri"/>
          <w:sz w:val="16"/>
          <w:szCs w:val="16"/>
        </w:rPr>
      </w:pPr>
      <w:proofErr w:type="spellStart"/>
      <w:r w:rsidRPr="0069043D">
        <w:rPr>
          <w:rStyle w:val="Style13ptBold"/>
          <w:rFonts w:ascii="Calibri" w:hAnsi="Calibri"/>
        </w:rPr>
        <w:t>Soble</w:t>
      </w:r>
      <w:proofErr w:type="spellEnd"/>
      <w:r w:rsidRPr="0069043D">
        <w:rPr>
          <w:rStyle w:val="Style13ptBold"/>
          <w:rFonts w:ascii="Calibri" w:hAnsi="Calibri"/>
        </w:rPr>
        <w:t xml:space="preserve"> 03 quotes Kant</w:t>
      </w:r>
      <w:r w:rsidRPr="0069043D">
        <w:rPr>
          <w:rFonts w:ascii="Calibri" w:hAnsi="Calibri"/>
        </w:rPr>
        <w:t xml:space="preserve"> [</w:t>
      </w:r>
      <w:r w:rsidRPr="0069043D">
        <w:rPr>
          <w:rFonts w:ascii="Calibri" w:hAnsi="Calibri"/>
          <w:sz w:val="16"/>
          <w:szCs w:val="16"/>
        </w:rPr>
        <w:t xml:space="preserve">Alan </w:t>
      </w:r>
      <w:proofErr w:type="spellStart"/>
      <w:r w:rsidRPr="0069043D">
        <w:rPr>
          <w:rFonts w:ascii="Calibri" w:hAnsi="Calibri"/>
          <w:sz w:val="16"/>
          <w:szCs w:val="16"/>
        </w:rPr>
        <w:t>Soble</w:t>
      </w:r>
      <w:proofErr w:type="spellEnd"/>
      <w:r w:rsidRPr="0069043D">
        <w:rPr>
          <w:rFonts w:ascii="Calibri" w:hAnsi="Calibri"/>
          <w:sz w:val="16"/>
          <w:szCs w:val="16"/>
        </w:rPr>
        <w:t>, The Monist 86:1 (Jan. 2003), pp. 55-89. Kant and Sexual Perversion]</w:t>
      </w:r>
    </w:p>
    <w:p w:rsidR="00F632C5" w:rsidRPr="00673B39" w:rsidRDefault="00F632C5" w:rsidP="00F632C5">
      <w:pPr>
        <w:rPr>
          <w:b/>
          <w:sz w:val="14"/>
          <w:szCs w:val="26"/>
        </w:rPr>
      </w:pPr>
      <w:r w:rsidRPr="0069043D">
        <w:rPr>
          <w:b/>
          <w:sz w:val="14"/>
          <w:szCs w:val="26"/>
        </w:rPr>
        <w:t xml:space="preserve">: </w:t>
      </w:r>
      <w:r w:rsidRPr="00F632C5">
        <w:rPr>
          <w:rStyle w:val="StyleUnderline"/>
          <w:sz w:val="26"/>
          <w:szCs w:val="26"/>
          <w:highlight w:val="green"/>
        </w:rPr>
        <w:t>Kant</w:t>
      </w:r>
      <w:r w:rsidRPr="0069043D">
        <w:rPr>
          <w:sz w:val="14"/>
          <w:szCs w:val="26"/>
        </w:rPr>
        <w:t xml:space="preserve"> immediately </w:t>
      </w:r>
      <w:r w:rsidRPr="00F632C5">
        <w:rPr>
          <w:rStyle w:val="StyleUnderline"/>
          <w:sz w:val="26"/>
          <w:szCs w:val="26"/>
          <w:highlight w:val="green"/>
        </w:rPr>
        <w:t>continues by completing his sparse inventory of three objectionable, sexually unnatural, practices</w:t>
      </w:r>
      <w:r w:rsidRPr="0069043D">
        <w:rPr>
          <w:sz w:val="14"/>
          <w:szCs w:val="26"/>
        </w:rPr>
        <w:t xml:space="preserve"> [quote begins here] “A second </w:t>
      </w:r>
      <w:proofErr w:type="spellStart"/>
      <w:r w:rsidRPr="0069043D">
        <w:rPr>
          <w:sz w:val="14"/>
          <w:szCs w:val="26"/>
        </w:rPr>
        <w:t>crimen</w:t>
      </w:r>
      <w:proofErr w:type="spellEnd"/>
      <w:r w:rsidRPr="0069043D">
        <w:rPr>
          <w:sz w:val="14"/>
          <w:szCs w:val="26"/>
        </w:rPr>
        <w:t xml:space="preserve"> </w:t>
      </w:r>
      <w:proofErr w:type="spellStart"/>
      <w:r w:rsidRPr="0069043D">
        <w:rPr>
          <w:sz w:val="14"/>
          <w:szCs w:val="26"/>
        </w:rPr>
        <w:t>carnis</w:t>
      </w:r>
      <w:proofErr w:type="spellEnd"/>
      <w:r w:rsidRPr="0069043D">
        <w:rPr>
          <w:sz w:val="14"/>
          <w:szCs w:val="26"/>
        </w:rPr>
        <w:t xml:space="preserve"> contra </w:t>
      </w:r>
      <w:proofErr w:type="spellStart"/>
      <w:r w:rsidRPr="0069043D">
        <w:rPr>
          <w:sz w:val="14"/>
          <w:szCs w:val="26"/>
        </w:rPr>
        <w:t>naturam</w:t>
      </w:r>
      <w:proofErr w:type="spellEnd"/>
      <w:r w:rsidRPr="0069043D">
        <w:rPr>
          <w:sz w:val="14"/>
          <w:szCs w:val="26"/>
        </w:rPr>
        <w:t xml:space="preserve"> is </w:t>
      </w:r>
      <w:r w:rsidRPr="00F632C5">
        <w:rPr>
          <w:rStyle w:val="StyleUnderline"/>
          <w:sz w:val="26"/>
          <w:szCs w:val="26"/>
          <w:highlight w:val="green"/>
        </w:rPr>
        <w:t>intercourse</w:t>
      </w:r>
      <w:r w:rsidRPr="0069043D">
        <w:rPr>
          <w:sz w:val="14"/>
          <w:szCs w:val="26"/>
        </w:rPr>
        <w:t xml:space="preserve"> between </w:t>
      </w:r>
      <w:proofErr w:type="spellStart"/>
      <w:r w:rsidRPr="0069043D">
        <w:rPr>
          <w:sz w:val="14"/>
          <w:szCs w:val="26"/>
        </w:rPr>
        <w:t>sexus</w:t>
      </w:r>
      <w:proofErr w:type="spellEnd"/>
      <w:r w:rsidRPr="0069043D">
        <w:rPr>
          <w:sz w:val="14"/>
          <w:szCs w:val="26"/>
        </w:rPr>
        <w:t xml:space="preserve"> </w:t>
      </w:r>
      <w:proofErr w:type="spellStart"/>
      <w:r w:rsidRPr="0069043D">
        <w:rPr>
          <w:sz w:val="14"/>
          <w:szCs w:val="26"/>
        </w:rPr>
        <w:t>homogenii</w:t>
      </w:r>
      <w:proofErr w:type="spellEnd"/>
      <w:r w:rsidRPr="0069043D">
        <w:rPr>
          <w:sz w:val="14"/>
          <w:szCs w:val="26"/>
        </w:rPr>
        <w:t xml:space="preserve">, </w:t>
      </w:r>
      <w:r w:rsidRPr="00F632C5">
        <w:rPr>
          <w:rStyle w:val="StyleUnderline"/>
          <w:sz w:val="26"/>
          <w:szCs w:val="26"/>
          <w:highlight w:val="green"/>
        </w:rPr>
        <w:t>in which the object of sexual impulse is a human being but there is homogeneity instead of heterogeneity of sex</w:t>
      </w:r>
      <w:proofErr w:type="gramStart"/>
      <w:r w:rsidRPr="0069043D">
        <w:rPr>
          <w:sz w:val="14"/>
          <w:szCs w:val="26"/>
        </w:rPr>
        <w:t>. . . .</w:t>
      </w:r>
      <w:proofErr w:type="gramEnd"/>
      <w:r w:rsidRPr="0069043D">
        <w:rPr>
          <w:sz w:val="14"/>
          <w:szCs w:val="26"/>
        </w:rPr>
        <w:t xml:space="preserve"> </w:t>
      </w:r>
      <w:r w:rsidRPr="00F632C5">
        <w:rPr>
          <w:rStyle w:val="StyleUnderline"/>
          <w:sz w:val="26"/>
          <w:szCs w:val="26"/>
          <w:highlight w:val="green"/>
        </w:rPr>
        <w:t>This practice</w:t>
      </w:r>
      <w:r w:rsidRPr="0069043D">
        <w:rPr>
          <w:sz w:val="14"/>
          <w:szCs w:val="26"/>
        </w:rPr>
        <w:t xml:space="preserve"> too </w:t>
      </w:r>
      <w:r w:rsidRPr="00F632C5">
        <w:rPr>
          <w:rStyle w:val="StyleUnderline"/>
          <w:sz w:val="26"/>
          <w:szCs w:val="26"/>
          <w:highlight w:val="green"/>
        </w:rPr>
        <w:t>is contrary to the ends of humanity</w:t>
      </w:r>
      <w:r w:rsidRPr="0069043D">
        <w:rPr>
          <w:sz w:val="14"/>
          <w:szCs w:val="26"/>
        </w:rPr>
        <w:t xml:space="preserve">; for the end of humanity in respect of sexuality is to preserve the species without debasing the person; but in this instance the species is not being preserved (as it can be by a </w:t>
      </w:r>
      <w:proofErr w:type="spellStart"/>
      <w:r w:rsidRPr="0069043D">
        <w:rPr>
          <w:sz w:val="14"/>
          <w:szCs w:val="26"/>
        </w:rPr>
        <w:t>crimen</w:t>
      </w:r>
      <w:proofErr w:type="spellEnd"/>
      <w:r w:rsidRPr="0069043D">
        <w:rPr>
          <w:sz w:val="14"/>
          <w:szCs w:val="26"/>
        </w:rPr>
        <w:t xml:space="preserve"> </w:t>
      </w:r>
      <w:proofErr w:type="spellStart"/>
      <w:r w:rsidRPr="0069043D">
        <w:rPr>
          <w:sz w:val="14"/>
          <w:szCs w:val="26"/>
        </w:rPr>
        <w:t>carnis</w:t>
      </w:r>
      <w:proofErr w:type="spellEnd"/>
      <w:r w:rsidRPr="0069043D">
        <w:rPr>
          <w:sz w:val="14"/>
          <w:szCs w:val="26"/>
        </w:rPr>
        <w:t xml:space="preserve"> </w:t>
      </w:r>
      <w:proofErr w:type="spellStart"/>
      <w:r w:rsidRPr="0069043D">
        <w:rPr>
          <w:sz w:val="14"/>
          <w:szCs w:val="26"/>
        </w:rPr>
        <w:t>secundum</w:t>
      </w:r>
      <w:proofErr w:type="spellEnd"/>
      <w:r w:rsidRPr="0069043D">
        <w:rPr>
          <w:sz w:val="14"/>
          <w:szCs w:val="26"/>
        </w:rPr>
        <w:t xml:space="preserve"> </w:t>
      </w:r>
      <w:proofErr w:type="spellStart"/>
      <w:r w:rsidRPr="0069043D">
        <w:rPr>
          <w:sz w:val="14"/>
          <w:szCs w:val="26"/>
        </w:rPr>
        <w:t>naturam</w:t>
      </w:r>
      <w:proofErr w:type="spellEnd"/>
      <w:r w:rsidRPr="0069043D">
        <w:rPr>
          <w:sz w:val="14"/>
          <w:szCs w:val="26"/>
        </w:rPr>
        <w:t xml:space="preserve">), but </w:t>
      </w:r>
      <w:r w:rsidRPr="00F632C5">
        <w:rPr>
          <w:rStyle w:val="StyleUnderline"/>
          <w:sz w:val="26"/>
          <w:szCs w:val="26"/>
          <w:highlight w:val="green"/>
        </w:rPr>
        <w:t xml:space="preserve">the person is set aside, the self is degraded below the level of the animals, and humanity is </w:t>
      </w:r>
      <w:proofErr w:type="spellStart"/>
      <w:r w:rsidRPr="00F632C5">
        <w:rPr>
          <w:rStyle w:val="StyleUnderline"/>
          <w:sz w:val="26"/>
          <w:szCs w:val="26"/>
          <w:highlight w:val="green"/>
        </w:rPr>
        <w:t>dishonoured</w:t>
      </w:r>
      <w:proofErr w:type="spellEnd"/>
      <w:r w:rsidRPr="0069043D">
        <w:rPr>
          <w:sz w:val="14"/>
          <w:szCs w:val="26"/>
        </w:rPr>
        <w:t xml:space="preserve">. The third </w:t>
      </w:r>
      <w:proofErr w:type="spellStart"/>
      <w:r w:rsidRPr="0069043D">
        <w:rPr>
          <w:sz w:val="14"/>
          <w:szCs w:val="26"/>
        </w:rPr>
        <w:t>crimen</w:t>
      </w:r>
      <w:proofErr w:type="spellEnd"/>
      <w:r w:rsidRPr="0069043D">
        <w:rPr>
          <w:sz w:val="14"/>
          <w:szCs w:val="26"/>
        </w:rPr>
        <w:t xml:space="preserve"> </w:t>
      </w:r>
      <w:proofErr w:type="spellStart"/>
      <w:r w:rsidRPr="0069043D">
        <w:rPr>
          <w:sz w:val="14"/>
          <w:szCs w:val="26"/>
        </w:rPr>
        <w:t>carnis</w:t>
      </w:r>
      <w:proofErr w:type="spellEnd"/>
      <w:r w:rsidRPr="0069043D">
        <w:rPr>
          <w:sz w:val="14"/>
          <w:szCs w:val="26"/>
        </w:rPr>
        <w:t xml:space="preserve"> contra </w:t>
      </w:r>
      <w:proofErr w:type="spellStart"/>
      <w:r w:rsidRPr="0069043D">
        <w:rPr>
          <w:sz w:val="14"/>
          <w:szCs w:val="26"/>
        </w:rPr>
        <w:t>naturam</w:t>
      </w:r>
      <w:proofErr w:type="spellEnd"/>
      <w:r w:rsidRPr="0069043D">
        <w:rPr>
          <w:sz w:val="14"/>
          <w:szCs w:val="26"/>
        </w:rPr>
        <w:t xml:space="preserve"> occurs when the object of the desire is in fact of the opposite sex but is not human. Such is sodomy, or intercourse with animals. This, too, is contrary to the ends of humanity and against our natural instinct. It degrades mankind below the level of animals, for no animal turns in this way from its own species.75</w:t>
      </w:r>
    </w:p>
    <w:p w:rsidR="00F632C5" w:rsidRPr="009F06C3" w:rsidRDefault="00F632C5" w:rsidP="00F632C5">
      <w:pPr>
        <w:pStyle w:val="Heading4"/>
        <w:rPr>
          <w:rFonts w:cs="Calibri"/>
        </w:rPr>
      </w:pPr>
      <w:r w:rsidRPr="0069043D">
        <w:rPr>
          <w:rFonts w:cs="Calibri"/>
        </w:rPr>
        <w:t xml:space="preserve">Reps matter – </w:t>
      </w:r>
      <w:r>
        <w:rPr>
          <w:rFonts w:cs="Calibri"/>
        </w:rPr>
        <w:t>that’s a prerequisite</w:t>
      </w:r>
      <w:r w:rsidRPr="0069043D">
        <w:rPr>
          <w:rFonts w:cs="Calibri"/>
        </w:rPr>
        <w:t xml:space="preserve"> to evaluating</w:t>
      </w:r>
      <w:r>
        <w:rPr>
          <w:rFonts w:cs="Calibri"/>
        </w:rPr>
        <w:t xml:space="preserve"> their</w:t>
      </w:r>
      <w:r w:rsidRPr="0069043D">
        <w:rPr>
          <w:rFonts w:cs="Calibri"/>
        </w:rPr>
        <w:t xml:space="preserve"> framework</w:t>
      </w:r>
      <w:r>
        <w:rPr>
          <w:rFonts w:cs="Calibri"/>
        </w:rPr>
        <w:t xml:space="preserve"> which outweighs since they kill accessibility – comes first since without accessibility we can’t debate.</w:t>
      </w:r>
    </w:p>
    <w:p w:rsidR="00F632C5" w:rsidRPr="00F632C5" w:rsidRDefault="00F632C5" w:rsidP="00F632C5"/>
    <w:p w:rsidR="00F632C5" w:rsidRPr="006948C8" w:rsidRDefault="00F632C5" w:rsidP="00F632C5">
      <w:pPr>
        <w:pStyle w:val="Heading2"/>
        <w:rPr>
          <w:rFonts w:cs="Calibri"/>
          <w:color w:val="000000" w:themeColor="text1"/>
        </w:rPr>
      </w:pPr>
      <w:r>
        <w:rPr>
          <w:rFonts w:cs="Calibri"/>
          <w:color w:val="000000" w:themeColor="text1"/>
        </w:rPr>
        <w:lastRenderedPageBreak/>
        <w:t>2</w:t>
      </w:r>
    </w:p>
    <w:p w:rsidR="00F632C5" w:rsidRPr="006948C8" w:rsidRDefault="00F632C5" w:rsidP="00F632C5">
      <w:pPr>
        <w:pStyle w:val="Heading4"/>
        <w:rPr>
          <w:rFonts w:cs="Calibri"/>
          <w:color w:val="000000" w:themeColor="text1"/>
        </w:rPr>
      </w:pPr>
      <w:bookmarkStart w:id="2" w:name="OLE_LINK1"/>
      <w:bookmarkStart w:id="3"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F632C5" w:rsidRPr="006948C8" w:rsidRDefault="00F632C5" w:rsidP="00F632C5">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F632C5" w:rsidRPr="006948C8" w:rsidRDefault="00F632C5" w:rsidP="00F632C5">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w:t>
      </w:r>
      <w:proofErr w:type="spellStart"/>
      <w:r w:rsidRPr="006948C8">
        <w:rPr>
          <w:rStyle w:val="Emphasis"/>
          <w:color w:val="000000" w:themeColor="text1"/>
        </w:rPr>
        <w:t>pitier</w:t>
      </w:r>
      <w:proofErr w:type="spellEnd"/>
      <w:r w:rsidRPr="006948C8">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xml:space="preserve">. In this schema, the pitied person is used as a vehicle for the </w:t>
      </w:r>
      <w:proofErr w:type="spellStart"/>
      <w:r w:rsidRPr="006948C8">
        <w:rPr>
          <w:rStyle w:val="Emphasis"/>
          <w:color w:val="000000" w:themeColor="text1"/>
        </w:rPr>
        <w:t>pitier</w:t>
      </w:r>
      <w:proofErr w:type="spellEnd"/>
      <w:r w:rsidRPr="006948C8">
        <w:rPr>
          <w:rStyle w:val="Emphasis"/>
          <w:color w:val="000000" w:themeColor="text1"/>
        </w:rPr>
        <w:t xml:space="preserve">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6948C8">
        <w:rPr>
          <w:rStyle w:val="Emphasis"/>
          <w:color w:val="000000" w:themeColor="text1"/>
        </w:rPr>
        <w:t>pitier</w:t>
      </w:r>
      <w:proofErr w:type="spellEnd"/>
      <w:r w:rsidRPr="006948C8">
        <w:rPr>
          <w:rStyle w:val="Emphasis"/>
          <w:color w:val="000000" w:themeColor="text1"/>
        </w:rPr>
        <w:t xml:space="preserve">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F632C5" w:rsidRPr="006948C8" w:rsidRDefault="00F632C5" w:rsidP="00F632C5">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F632C5" w:rsidRPr="006948C8" w:rsidRDefault="00F632C5" w:rsidP="00F632C5">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F632C5" w:rsidRDefault="00F632C5" w:rsidP="00F632C5">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F632C5" w:rsidRPr="0069043D" w:rsidRDefault="00F632C5" w:rsidP="00F632C5">
      <w:pPr>
        <w:pStyle w:val="Heading4"/>
        <w:rPr>
          <w:rFonts w:cs="Calibri"/>
          <w:color w:val="000000" w:themeColor="text1"/>
        </w:rPr>
      </w:pPr>
      <w:r w:rsidRPr="0069043D">
        <w:rPr>
          <w:rFonts w:cs="Calibri"/>
          <w:color w:val="000000" w:themeColor="text1"/>
        </w:rPr>
        <w:t xml:space="preserve">Kant’s criteria for personhood violently excludes the </w:t>
      </w:r>
      <w:proofErr w:type="gramStart"/>
      <w:r w:rsidRPr="0069043D">
        <w:rPr>
          <w:rFonts w:cs="Calibri"/>
          <w:color w:val="000000" w:themeColor="text1"/>
        </w:rPr>
        <w:t>disabled</w:t>
      </w:r>
      <w:r>
        <w:rPr>
          <w:rFonts w:cs="Calibri"/>
          <w:color w:val="000000" w:themeColor="text1"/>
        </w:rPr>
        <w:t xml:space="preserve">  -</w:t>
      </w:r>
      <w:proofErr w:type="gramEnd"/>
      <w:r>
        <w:rPr>
          <w:rFonts w:cs="Calibri"/>
          <w:color w:val="000000" w:themeColor="text1"/>
        </w:rPr>
        <w:t>takes out your mills card.</w:t>
      </w:r>
    </w:p>
    <w:p w:rsidR="00F632C5" w:rsidRPr="0069043D" w:rsidRDefault="00F632C5" w:rsidP="00F632C5">
      <w:pPr>
        <w:rPr>
          <w:color w:val="000000" w:themeColor="text1"/>
        </w:rPr>
      </w:pPr>
      <w:r w:rsidRPr="0069043D">
        <w:rPr>
          <w:color w:val="000000" w:themeColor="text1"/>
        </w:rPr>
        <w:t xml:space="preserve">Lucas G. </w:t>
      </w:r>
      <w:r w:rsidRPr="0069043D">
        <w:rPr>
          <w:rStyle w:val="Style13ptBold"/>
          <w:color w:val="000000" w:themeColor="text1"/>
        </w:rPr>
        <w:t>Pinheiro 17</w:t>
      </w:r>
      <w:r w:rsidRPr="0069043D">
        <w:rPr>
          <w:color w:val="000000" w:themeColor="text1"/>
        </w:rPr>
        <w:t xml:space="preserve"> [(Lucas G. Pinheiro</w:t>
      </w:r>
      <w:proofErr w:type="gramStart"/>
      <w:r w:rsidRPr="0069043D">
        <w:rPr>
          <w:color w:val="000000" w:themeColor="text1"/>
        </w:rPr>
        <w:t>, )</w:t>
      </w:r>
      <w:proofErr w:type="gramEnd"/>
      <w:r w:rsidRPr="0069043D">
        <w:rPr>
          <w:color w:val="000000" w:themeColor="text1"/>
        </w:rPr>
        <w:t xml:space="preserve"> The Ableist Contract Intellectual Disability and the Limits of Justice in Kant’s Political Thought, Cambridge Core Online publication date: March 2017, pp 43-78] AT</w:t>
      </w:r>
    </w:p>
    <w:p w:rsidR="00F632C5" w:rsidRDefault="00F632C5" w:rsidP="00F632C5">
      <w:pPr>
        <w:rPr>
          <w:color w:val="000000" w:themeColor="text1"/>
          <w:sz w:val="12"/>
        </w:rPr>
      </w:pPr>
      <w:r w:rsidRPr="0069043D">
        <w:rPr>
          <w:color w:val="000000" w:themeColor="text1"/>
          <w:sz w:val="12"/>
        </w:rPr>
        <w:t xml:space="preserve">With these theoretical considerations in mind, </w:t>
      </w:r>
      <w:r w:rsidRPr="0069043D">
        <w:rPr>
          <w:rStyle w:val="Emphasis"/>
        </w:rPr>
        <w:t>this chapter probes the political and moral spaces occupied by intellectually disabled subjects in the political, ethical, and moral thought of Immanuel Kant</w:t>
      </w:r>
      <w:r w:rsidRPr="0069043D">
        <w:rPr>
          <w:rStyle w:val="StyleUnderline"/>
          <w:color w:val="000000" w:themeColor="text1"/>
        </w:rPr>
        <w:t>.</w:t>
      </w:r>
      <w:r w:rsidRPr="0069043D">
        <w:rPr>
          <w:color w:val="000000" w:themeColor="text1"/>
          <w:sz w:val="12"/>
        </w:rPr>
        <w:t xml:space="preserve"> To this end, I place particular emphasis on the ways in which </w:t>
      </w:r>
      <w:r w:rsidRPr="0069043D">
        <w:rPr>
          <w:rStyle w:val="Emphasis"/>
          <w:highlight w:val="green"/>
        </w:rPr>
        <w:t>Kant’s “empirical” observations on disability</w:t>
      </w:r>
      <w:r w:rsidRPr="0069043D">
        <w:rPr>
          <w:rStyle w:val="Emphasis"/>
        </w:rPr>
        <w:t xml:space="preserve"> fundamentally </w:t>
      </w:r>
      <w:r w:rsidRPr="0069043D">
        <w:rPr>
          <w:rStyle w:val="Emphasis"/>
          <w:highlight w:val="green"/>
        </w:rPr>
        <w:t>impact his political formulations</w:t>
      </w:r>
      <w:r w:rsidRPr="0069043D">
        <w:rPr>
          <w:rStyle w:val="Emphasis"/>
        </w:rPr>
        <w:t xml:space="preserve"> of justice, freedom, citizenship, personhood, and the human species</w:t>
      </w:r>
      <w:r w:rsidRPr="0069043D">
        <w:rPr>
          <w:rStyle w:val="StyleUnderline"/>
          <w:color w:val="000000" w:themeColor="text1"/>
        </w:rPr>
        <w:t>.</w:t>
      </w:r>
      <w:r w:rsidRPr="0069043D">
        <w:rPr>
          <w:color w:val="000000" w:themeColor="text1"/>
          <w:sz w:val="12"/>
        </w:rPr>
        <w:t xml:space="preserve"> My approach to interpreting intellectual disability in Kant’s theory of justice begins with a close reading of his practical definitions of disability in lesser-known works on anthropology, physical geography, and natural history. I then deploy this reading as a source for contextualizing his political ideas and thus uncovering the meaning and political significance of his exclusionary terminology in the Metaphysics of Morals as it pertains to the treatment of intellectually disabled subjects in his theory of justice. It is important to note that, in the context of Kant’s political and moral philosophy, I use the term “contract” figuratively, since my argument applies broadly to contractarian ideas of rights, freedom, civil society, and justice in the history of modern political thought as a whole. So, with respect to Kant, “contract” operates as a placeholder for the totality of his political constituency which is composed by his moral laws, doctrines of rights and duties (private and public), theory of the state, scale of progress, and formulation of civil society. To be sure, Kant’s political ideas – including his definitions of justice, personhood, freedom, rights, duties, citizenship, and the state – are not limited to the Metaphysics of Morals, just as they are not exclusive to his writings on practical and transcendental philosophy. Much the contrary, in fact, Kant articulates his political theory through an expansive and eclectic array of sources, scattered across an impressively diverse range of fields and genres well beyond his strictly political writings and moral philosophy.8 Although perhaps unfamiliar to a contemporary political theory audience, Kant’s empirical works encompass a detailed, rich, and intricate sociopolitical system, whose relevance to his political ideas I attempt to recover by interpreting his onomasiology of intellectual disability. Indeed, as I will argue, </w:t>
      </w:r>
      <w:r w:rsidRPr="0069043D">
        <w:rPr>
          <w:rStyle w:val="Emphasis"/>
        </w:rPr>
        <w:t xml:space="preserve">Kant’s understanding of disability affects and informs his theory of justice in such constitutive ways that </w:t>
      </w:r>
      <w:r w:rsidRPr="0069043D">
        <w:rPr>
          <w:rStyle w:val="Emphasis"/>
          <w:highlight w:val="green"/>
        </w:rPr>
        <w:t>its continual neglect has resulted in an insufficiently critical and accurate interpretation of Kant’s political thought</w:t>
      </w:r>
      <w:r w:rsidRPr="0069043D">
        <w:rPr>
          <w:rStyle w:val="Emphasis"/>
        </w:rPr>
        <w:t xml:space="preserve"> writ large</w:t>
      </w:r>
      <w:r w:rsidRPr="0069043D">
        <w:rPr>
          <w:rStyle w:val="StyleUnderline"/>
          <w:color w:val="000000" w:themeColor="text1"/>
        </w:rPr>
        <w:t>.</w:t>
      </w:r>
      <w:r w:rsidRPr="0069043D">
        <w:rPr>
          <w:color w:val="000000" w:themeColor="text1"/>
          <w:sz w:val="12"/>
        </w:rPr>
        <w:t xml:space="preserve"> From a broader perspective, </w:t>
      </w:r>
      <w:r w:rsidRPr="0069043D">
        <w:rPr>
          <w:rStyle w:val="Emphasis"/>
        </w:rPr>
        <w:t>my interpretation of disability in Kant seeks to recast the political thrust of Kant’s theory by rearticulating its relationship to other strains of the Kantian corpus that, while less accepted, less philosophical, and undoubtedly less agreeable, are, on my account, no less politically and philosophically significant to his thought than the “strictly” political and philosophical works.</w:t>
      </w:r>
      <w:r w:rsidRPr="0069043D">
        <w:rPr>
          <w:rStyle w:val="StyleUnderline"/>
          <w:color w:val="000000" w:themeColor="text1"/>
        </w:rPr>
        <w:t xml:space="preserve"> </w:t>
      </w:r>
      <w:r w:rsidRPr="0069043D">
        <w:rPr>
          <w:color w:val="000000" w:themeColor="text1"/>
          <w:sz w:val="12"/>
        </w:rPr>
        <w:t xml:space="preserve">As of late, </w:t>
      </w:r>
      <w:r w:rsidRPr="0069043D">
        <w:rPr>
          <w:rStyle w:val="Emphasis"/>
        </w:rPr>
        <w:t xml:space="preserve">a host of </w:t>
      </w:r>
      <w:r w:rsidRPr="0069043D">
        <w:rPr>
          <w:rStyle w:val="Emphasis"/>
          <w:highlight w:val="green"/>
        </w:rPr>
        <w:t>scholars in</w:t>
      </w:r>
      <w:r w:rsidRPr="0069043D">
        <w:rPr>
          <w:rStyle w:val="Emphasis"/>
        </w:rPr>
        <w:t xml:space="preserve"> </w:t>
      </w:r>
      <w:r w:rsidRPr="0069043D">
        <w:rPr>
          <w:rStyle w:val="Emphasis"/>
          <w:highlight w:val="green"/>
        </w:rPr>
        <w:t>disability studies</w:t>
      </w:r>
      <w:r w:rsidRPr="0069043D">
        <w:rPr>
          <w:rStyle w:val="Emphasis"/>
        </w:rPr>
        <w:t xml:space="preserve"> have vocally </w:t>
      </w:r>
      <w:r w:rsidRPr="0069043D">
        <w:rPr>
          <w:rStyle w:val="Emphasis"/>
          <w:highlight w:val="green"/>
        </w:rPr>
        <w:t>contest</w:t>
      </w:r>
      <w:r w:rsidRPr="0069043D">
        <w:rPr>
          <w:rStyle w:val="Emphasis"/>
        </w:rPr>
        <w:t xml:space="preserve">ed </w:t>
      </w:r>
      <w:r w:rsidRPr="0069043D">
        <w:rPr>
          <w:rStyle w:val="Emphasis"/>
          <w:highlight w:val="green"/>
        </w:rPr>
        <w:t>Kant’s</w:t>
      </w:r>
      <w:r w:rsidRPr="0069043D">
        <w:rPr>
          <w:rStyle w:val="Emphasis"/>
          <w:color w:val="000000" w:themeColor="text1"/>
          <w:highlight w:val="green"/>
        </w:rPr>
        <w:t xml:space="preserve"> moral theory of personhood</w:t>
      </w:r>
      <w:r w:rsidRPr="0069043D">
        <w:rPr>
          <w:rStyle w:val="StyleUnderline"/>
          <w:color w:val="000000" w:themeColor="text1"/>
        </w:rPr>
        <w:t>.</w:t>
      </w:r>
      <w:r w:rsidRPr="0069043D">
        <w:rPr>
          <w:color w:val="000000" w:themeColor="text1"/>
          <w:sz w:val="12"/>
        </w:rPr>
        <w:t xml:space="preserve"> This burgeoning literature on Kant and disability is largely composed of critical responses to the works of Jeff McMahan (1995, 1996, 2002, 2005, 2009) and Peter Singer (1994, 2009), both of whom vindicate non-human moral standing by grounding the corporeal existence of animals within an ethically defensible, intra-species moral realm, akin to that of Kant’s person. In his work, McMahan (2009: 583–4) invokes cognitive disability as the premise of a reduction argument that figures the severely intellectually disabled as a rhetorical device tasked with exposing the logical contradiction of theories that grant moral status to the severely mentally disabled while denying it to non-human animals with commensurate cognitive capacities. Singer likewise argues that, since many non-human animals possess cognitive capacities that are often on a par with or superior to, those of severely intellectually disabled humans, it is altogether groundless and unjustifiable – that is, “</w:t>
      </w:r>
      <w:proofErr w:type="spellStart"/>
      <w:r w:rsidRPr="0069043D">
        <w:rPr>
          <w:color w:val="000000" w:themeColor="text1"/>
          <w:sz w:val="12"/>
        </w:rPr>
        <w:t>speciesist</w:t>
      </w:r>
      <w:proofErr w:type="spellEnd"/>
      <w:r w:rsidRPr="0069043D">
        <w:rPr>
          <w:color w:val="000000" w:themeColor="text1"/>
          <w:sz w:val="12"/>
        </w:rPr>
        <w:t xml:space="preserve">” – to deny the former group (animals) moral standing while extending it to the latter (the disabled) (1994, 2009: 567–8). In building their philosophical arguments for intra-species moral standing, both Singer (2009: 573–4) and McMahan (2002: 245–6, 252–5) rely prominently on Kant’s personhood–animality split as a means to support their formulations of extra-corporeal moral status, grounded on intellectual predispositions and cognitive capacities. Yet, both philosophers part ways with Kant insofar as they believe human animality and species membership should play no role as criteria for determining moral life (Singer 2009: 572–3; McMahan 2002: 148, 209–17).9 McMahan’s (2009: 604) idea that “differences of moral status are grounded in differences of psychological capacity” prefigures Singer’s (2009: 575) suggestion to “abandon the idea of the equal value of all humans” and replace it with a “graduated view in which moral status depends on some aspects of cognitive ability.” As a result, both Singer and McMahan advocate integrating non-human animals to a moral community of “persons” at the expense of denying personhood to humans who fall below a Kantian moral threshold rooted entirely in cognitive capacity as opposed to human animality. Unsurprisingly, Singer and McMahan have received ample criticism from scholars seeking to include or maintain the cognitively disabled within the bounds of our moral community of persons. As I see it, </w:t>
      </w:r>
      <w:r w:rsidRPr="0069043D">
        <w:rPr>
          <w:rStyle w:val="StyleUnderline"/>
          <w:color w:val="000000" w:themeColor="text1"/>
        </w:rPr>
        <w:t xml:space="preserve">the central and most politically salient aspect of these critiques resides in the Kantian discourse Singer and McMahan mobilize in support of their projects. Pushing back against rationalist conceptions of moral status, </w:t>
      </w:r>
      <w:r w:rsidRPr="0069043D">
        <w:rPr>
          <w:color w:val="000000" w:themeColor="text1"/>
          <w:sz w:val="12"/>
        </w:rPr>
        <w:t xml:space="preserve">philosopher </w:t>
      </w:r>
      <w:r w:rsidRPr="0069043D">
        <w:rPr>
          <w:color w:val="000000" w:themeColor="text1"/>
          <w:sz w:val="12"/>
        </w:rPr>
        <w:lastRenderedPageBreak/>
        <w:t>Eva</w:t>
      </w:r>
      <w:r w:rsidRPr="0069043D">
        <w:rPr>
          <w:rStyle w:val="StyleUnderline"/>
          <w:color w:val="000000" w:themeColor="text1"/>
        </w:rPr>
        <w:t xml:space="preserve"> </w:t>
      </w:r>
      <w:proofErr w:type="spellStart"/>
      <w:r w:rsidRPr="0069043D">
        <w:rPr>
          <w:rStyle w:val="StyleUnderline"/>
          <w:color w:val="000000" w:themeColor="text1"/>
        </w:rPr>
        <w:t>Kittay</w:t>
      </w:r>
      <w:proofErr w:type="spellEnd"/>
      <w:r w:rsidRPr="0069043D">
        <w:rPr>
          <w:color w:val="000000" w:themeColor="text1"/>
          <w:sz w:val="12"/>
        </w:rPr>
        <w:t xml:space="preserve"> (2001, 2005a, 2005b, 2009a, 2009b) </w:t>
      </w:r>
      <w:r w:rsidRPr="0069043D">
        <w:rPr>
          <w:rStyle w:val="StyleUnderline"/>
          <w:color w:val="000000" w:themeColor="text1"/>
        </w:rPr>
        <w:t>has argued that species membership alone should suffice as a criterion for equal moral status among human beings.</w:t>
      </w:r>
      <w:r w:rsidRPr="0069043D">
        <w:rPr>
          <w:color w:val="000000" w:themeColor="text1"/>
          <w:sz w:val="12"/>
        </w:rPr>
        <w:t xml:space="preserve"> </w:t>
      </w:r>
      <w:proofErr w:type="spellStart"/>
      <w:r w:rsidRPr="0069043D">
        <w:rPr>
          <w:color w:val="000000" w:themeColor="text1"/>
          <w:sz w:val="12"/>
        </w:rPr>
        <w:t>Licia</w:t>
      </w:r>
      <w:proofErr w:type="spellEnd"/>
      <w:r w:rsidRPr="0069043D">
        <w:rPr>
          <w:color w:val="000000" w:themeColor="text1"/>
          <w:sz w:val="12"/>
        </w:rPr>
        <w:t xml:space="preserve"> Carlson (2009, 2010), who furthers </w:t>
      </w:r>
      <w:proofErr w:type="spellStart"/>
      <w:r w:rsidRPr="0069043D">
        <w:rPr>
          <w:color w:val="000000" w:themeColor="text1"/>
          <w:sz w:val="12"/>
        </w:rPr>
        <w:t>Kittay’s</w:t>
      </w:r>
      <w:proofErr w:type="spellEnd"/>
      <w:r w:rsidRPr="0069043D">
        <w:rPr>
          <w:color w:val="000000" w:themeColor="text1"/>
          <w:sz w:val="12"/>
        </w:rPr>
        <w:t xml:space="preserve"> critique of reason-centric moral theories, questions the political discourse through which these conceptions of personhood have been articulated. She recalls, for example, that viewing humans as animals “is precisely the basis on which the most horrific atrocities are justified” (2010: 160). Carlson also outlines important ways in which critiques of speciesism, such as Singer’s, “rely on ableist assumptions and arguments” (2010: 157). Although </w:t>
      </w:r>
      <w:proofErr w:type="spellStart"/>
      <w:r w:rsidRPr="0069043D">
        <w:rPr>
          <w:color w:val="000000" w:themeColor="text1"/>
          <w:sz w:val="12"/>
        </w:rPr>
        <w:t>Kittay</w:t>
      </w:r>
      <w:proofErr w:type="spellEnd"/>
      <w:r w:rsidRPr="0069043D">
        <w:rPr>
          <w:color w:val="000000" w:themeColor="text1"/>
          <w:sz w:val="12"/>
        </w:rPr>
        <w:t xml:space="preserve"> and Carlson do not comment directly on Kant’s specific formulation of moral personhood, they effectively highlight how and why </w:t>
      </w:r>
      <w:r w:rsidRPr="0069043D">
        <w:rPr>
          <w:rStyle w:val="StyleUnderline"/>
          <w:color w:val="000000" w:themeColor="text1"/>
        </w:rPr>
        <w:t>elevating cognitive capacity to the role of arbiter for moral life, as is the case with Kant’s theory of personhood, has deeply problematic repercussions for the intellectually disabled.</w:t>
      </w:r>
      <w:r w:rsidRPr="0069043D">
        <w:rPr>
          <w:color w:val="000000" w:themeColor="text1"/>
          <w:sz w:val="12"/>
        </w:rPr>
        <w:t xml:space="preserve">10 </w:t>
      </w:r>
      <w:r w:rsidRPr="0069043D">
        <w:rPr>
          <w:rStyle w:val="StyleUnderline"/>
          <w:color w:val="000000" w:themeColor="text1"/>
        </w:rPr>
        <w:t>Other scholars writing on disability and political theory have also expressed profound skepticism toward rationalist formulations of moral personhood rooted in Kant’s categorical imperative.</w:t>
      </w:r>
      <w:r w:rsidRPr="0069043D">
        <w:rPr>
          <w:color w:val="000000" w:themeColor="text1"/>
          <w:sz w:val="12"/>
        </w:rPr>
        <w:t xml:space="preserve">11 One notable critic of Kantian personhood from the standpoint of disability is Barbara </w:t>
      </w:r>
      <w:proofErr w:type="spellStart"/>
      <w:r w:rsidRPr="0069043D">
        <w:rPr>
          <w:color w:val="000000" w:themeColor="text1"/>
          <w:sz w:val="12"/>
        </w:rPr>
        <w:t>Arneil</w:t>
      </w:r>
      <w:proofErr w:type="spellEnd"/>
      <w:r w:rsidRPr="0069043D">
        <w:rPr>
          <w:color w:val="000000" w:themeColor="text1"/>
          <w:sz w:val="12"/>
        </w:rPr>
        <w:t xml:space="preserve"> (2009), whose </w:t>
      </w:r>
      <w:r w:rsidRPr="0069043D">
        <w:rPr>
          <w:rStyle w:val="StyleUnderline"/>
          <w:color w:val="000000" w:themeColor="text1"/>
        </w:rPr>
        <w:t>key charge against Kant’s moral theory is his crowning of rational autonomy as the foundation for human dignity</w:t>
      </w:r>
      <w:r w:rsidRPr="0069043D">
        <w:rPr>
          <w:color w:val="000000" w:themeColor="text1"/>
          <w:sz w:val="12"/>
        </w:rPr>
        <w:t xml:space="preserve"> (2009: 224). </w:t>
      </w:r>
      <w:r w:rsidRPr="0069043D">
        <w:rPr>
          <w:rStyle w:val="Emphasis"/>
          <w:highlight w:val="green"/>
        </w:rPr>
        <w:t>In its quest to “protect human dignity through</w:t>
      </w:r>
      <w:r w:rsidRPr="0069043D">
        <w:rPr>
          <w:rStyle w:val="Emphasis"/>
        </w:rPr>
        <w:t xml:space="preserve"> the mutual </w:t>
      </w:r>
      <w:r w:rsidRPr="0069043D">
        <w:rPr>
          <w:rStyle w:val="Emphasis"/>
          <w:highlight w:val="green"/>
        </w:rPr>
        <w:t>recognition of others as rational</w:t>
      </w:r>
      <w:r w:rsidRPr="0069043D">
        <w:rPr>
          <w:rStyle w:val="Emphasis"/>
        </w:rPr>
        <w:t xml:space="preserve"> self-legislating ‘</w:t>
      </w:r>
      <w:r w:rsidRPr="0069043D">
        <w:rPr>
          <w:rStyle w:val="Emphasis"/>
          <w:highlight w:val="green"/>
        </w:rPr>
        <w:t>persons</w:t>
      </w:r>
      <w:r w:rsidRPr="0069043D">
        <w:rPr>
          <w:rStyle w:val="Emphasis"/>
        </w:rPr>
        <w:t xml:space="preserve">,’” </w:t>
      </w:r>
      <w:proofErr w:type="spellStart"/>
      <w:r w:rsidRPr="0069043D">
        <w:rPr>
          <w:rStyle w:val="Emphasis"/>
        </w:rPr>
        <w:t>Arneil</w:t>
      </w:r>
      <w:proofErr w:type="spellEnd"/>
      <w:r w:rsidRPr="0069043D">
        <w:rPr>
          <w:rStyle w:val="Emphasis"/>
        </w:rPr>
        <w:t xml:space="preserve"> remarks, </w:t>
      </w:r>
      <w:r w:rsidRPr="0069043D">
        <w:rPr>
          <w:rStyle w:val="Emphasis"/>
          <w:highlight w:val="green"/>
        </w:rPr>
        <w:t>Kant’s moral theory consequently figures the “irrational” as “not ‘autonomous</w:t>
      </w:r>
      <w:r w:rsidRPr="0069043D">
        <w:rPr>
          <w:rStyle w:val="Emphasis"/>
        </w:rPr>
        <w:t xml:space="preserve">’ and strictly speaking not ‘persons’ </w:t>
      </w:r>
      <w:r w:rsidRPr="0069043D">
        <w:rPr>
          <w:rStyle w:val="Emphasis"/>
          <w:highlight w:val="green"/>
        </w:rPr>
        <w:t>and therefore not due the dignity accorded to ‘rational beings</w:t>
      </w:r>
      <w:r w:rsidRPr="0069043D">
        <w:rPr>
          <w:rStyle w:val="Emphasis"/>
        </w:rPr>
        <w:t>’</w:t>
      </w:r>
      <w:r w:rsidRPr="0069043D">
        <w:rPr>
          <w:rStyle w:val="StyleUnderline"/>
          <w:color w:val="000000" w:themeColor="text1"/>
        </w:rPr>
        <w:t>”</w:t>
      </w:r>
      <w:r w:rsidRPr="0069043D">
        <w:rPr>
          <w:color w:val="000000" w:themeColor="text1"/>
          <w:sz w:val="12"/>
        </w:rPr>
        <w:t xml:space="preserve"> (2009: 224–5).12 Moreover, </w:t>
      </w:r>
      <w:proofErr w:type="spellStart"/>
      <w:r w:rsidRPr="0069043D">
        <w:rPr>
          <w:color w:val="000000" w:themeColor="text1"/>
          <w:sz w:val="12"/>
        </w:rPr>
        <w:t>Arneil</w:t>
      </w:r>
      <w:proofErr w:type="spellEnd"/>
      <w:r w:rsidRPr="0069043D">
        <w:rPr>
          <w:color w:val="000000" w:themeColor="text1"/>
          <w:sz w:val="12"/>
        </w:rPr>
        <w:t xml:space="preserve"> exposes how Kant’s formulation of personhood has pervasively found its way to the backdrop of influential political theories of justice by the likes of John Rawls and Charles Taylor. Because Kant locates personhood in the human ability to reason, </w:t>
      </w:r>
      <w:proofErr w:type="spellStart"/>
      <w:r w:rsidRPr="0069043D">
        <w:rPr>
          <w:color w:val="000000" w:themeColor="text1"/>
          <w:sz w:val="12"/>
        </w:rPr>
        <w:t>Arneil</w:t>
      </w:r>
      <w:proofErr w:type="spellEnd"/>
      <w:r w:rsidRPr="0069043D">
        <w:rPr>
          <w:color w:val="000000" w:themeColor="text1"/>
          <w:sz w:val="12"/>
        </w:rPr>
        <w:t xml:space="preserve"> argues that </w:t>
      </w:r>
      <w:r w:rsidRPr="0069043D">
        <w:rPr>
          <w:rStyle w:val="StyleUnderline"/>
          <w:color w:val="000000" w:themeColor="text1"/>
        </w:rPr>
        <w:t>contemporary authors who draw on Kant</w:t>
      </w:r>
      <w:r w:rsidRPr="0069043D">
        <w:rPr>
          <w:color w:val="000000" w:themeColor="text1"/>
          <w:sz w:val="12"/>
        </w:rPr>
        <w:t xml:space="preserve"> (such as Taylor) </w:t>
      </w:r>
      <w:r w:rsidRPr="0069043D">
        <w:rPr>
          <w:rStyle w:val="StyleUnderline"/>
          <w:color w:val="000000" w:themeColor="text1"/>
        </w:rPr>
        <w:t>are consequently “forced to define those incapable of ‘rationality’ as outside the ‘normal’ meaning of personhood,” as possessing an unrealizable potential to become human</w:t>
      </w:r>
      <w:r w:rsidRPr="0069043D">
        <w:rPr>
          <w:color w:val="000000" w:themeColor="text1"/>
          <w:sz w:val="12"/>
        </w:rPr>
        <w:t xml:space="preserve"> (2009: 225, 228). Together, these works by critical disability scholars illustrate how </w:t>
      </w:r>
      <w:r w:rsidRPr="0069043D">
        <w:rPr>
          <w:rStyle w:val="Emphasis"/>
          <w:color w:val="000000" w:themeColor="text1"/>
          <w:highlight w:val="green"/>
        </w:rPr>
        <w:t>Kant’s moral philosophy has sustained a political discourse that categorically exempts the disabled from the remits of justice.</w:t>
      </w:r>
      <w:r w:rsidRPr="0069043D">
        <w:rPr>
          <w:rStyle w:val="Emphasis"/>
          <w:color w:val="000000" w:themeColor="text1"/>
        </w:rPr>
        <w:t xml:space="preserve"> </w:t>
      </w:r>
      <w:r w:rsidRPr="0069043D">
        <w:rPr>
          <w:color w:val="000000" w:themeColor="text1"/>
          <w:sz w:val="12"/>
        </w:rPr>
        <w:t xml:space="preserve">Overall, three important conclusions can be drawn from the literature on Kant and disability. First, scholars working on intellectual disability and political theory have provided convincing arguments as to how </w:t>
      </w:r>
      <w:r w:rsidRPr="0069043D">
        <w:rPr>
          <w:rStyle w:val="Emphasis"/>
          <w:highlight w:val="green"/>
        </w:rPr>
        <w:t>Kantian conceptions of personhood misrecognize the inherent humanity of the intellectually disabled.</w:t>
      </w:r>
      <w:r w:rsidRPr="0069043D">
        <w:rPr>
          <w:color w:val="000000" w:themeColor="text1"/>
          <w:sz w:val="12"/>
        </w:rPr>
        <w:t xml:space="preserve"> Second, these scholars have compellingly identified why, </w:t>
      </w:r>
      <w:r w:rsidRPr="0069043D">
        <w:rPr>
          <w:rStyle w:val="StyleUnderline"/>
          <w:color w:val="000000" w:themeColor="text1"/>
        </w:rPr>
        <w:t xml:space="preserve">from a political standpoint of justice, liberty, and equality, it is desirable to move away from such reason-centric formulations of moral status that privilege the able-minded over the intellectually disabled. </w:t>
      </w:r>
      <w:r w:rsidRPr="0069043D">
        <w:rPr>
          <w:color w:val="000000" w:themeColor="text1"/>
          <w:sz w:val="12"/>
        </w:rPr>
        <w:t xml:space="preserve">Third, many of these commentators have conclusively outlined how </w:t>
      </w:r>
      <w:r w:rsidRPr="0069043D">
        <w:rPr>
          <w:rStyle w:val="Emphasis"/>
          <w:highlight w:val="green"/>
        </w:rPr>
        <w:t>Kant’s moral philosophy is conceptually</w:t>
      </w:r>
      <w:r w:rsidRPr="0069043D">
        <w:rPr>
          <w:color w:val="000000" w:themeColor="text1"/>
          <w:sz w:val="12"/>
        </w:rPr>
        <w:t>, albeit indirectly,</w:t>
      </w:r>
      <w:r w:rsidRPr="0069043D">
        <w:rPr>
          <w:rStyle w:val="StyleUnderline"/>
          <w:color w:val="000000" w:themeColor="text1"/>
        </w:rPr>
        <w:t xml:space="preserve"> </w:t>
      </w:r>
      <w:r w:rsidRPr="0069043D">
        <w:rPr>
          <w:rStyle w:val="Emphasis"/>
          <w:highlight w:val="green"/>
        </w:rPr>
        <w:t>implicated in the political marginalization of the disabled persons</w:t>
      </w:r>
      <w:r w:rsidRPr="0069043D">
        <w:rPr>
          <w:rStyle w:val="StyleUnderline"/>
          <w:color w:val="000000" w:themeColor="text1"/>
          <w:highlight w:val="green"/>
        </w:rPr>
        <w:t>.</w:t>
      </w:r>
      <w:r w:rsidRPr="0069043D">
        <w:rPr>
          <w:rStyle w:val="StyleUnderline"/>
          <w:color w:val="000000" w:themeColor="text1"/>
        </w:rPr>
        <w:t xml:space="preserve"> </w:t>
      </w:r>
      <w:r w:rsidRPr="0069043D">
        <w:rPr>
          <w:color w:val="000000" w:themeColor="text1"/>
          <w:sz w:val="12"/>
        </w:rPr>
        <w:t xml:space="preserve">Notwithstanding the merits of their projects, the authors in question have limited their critiques of Kant’s political thought to his moral and practical philosophies, or what is colloquially known as the “pure” segment of his work. Take Tobin </w:t>
      </w:r>
      <w:proofErr w:type="spellStart"/>
      <w:r w:rsidRPr="0069043D">
        <w:rPr>
          <w:color w:val="000000" w:themeColor="text1"/>
          <w:sz w:val="12"/>
        </w:rPr>
        <w:t>Siebers</w:t>
      </w:r>
      <w:proofErr w:type="spellEnd"/>
      <w:r w:rsidRPr="0069043D">
        <w:rPr>
          <w:color w:val="000000" w:themeColor="text1"/>
          <w:sz w:val="12"/>
        </w:rPr>
        <w:t xml:space="preserve">’ (2011: 89) following claim for instance: “Theories of rationality […] configure rationality itself in terms of the objective properties and identifying characteristics of those agents whom Kant called rational beings, and these characteristics do not allow for the inclusion of people with disabilities.” </w:t>
      </w:r>
      <w:proofErr w:type="spellStart"/>
      <w:r w:rsidRPr="0069043D">
        <w:rPr>
          <w:color w:val="000000" w:themeColor="text1"/>
          <w:sz w:val="12"/>
        </w:rPr>
        <w:t>Siebers</w:t>
      </w:r>
      <w:proofErr w:type="spellEnd"/>
      <w:r w:rsidRPr="0069043D">
        <w:rPr>
          <w:color w:val="000000" w:themeColor="text1"/>
          <w:sz w:val="12"/>
        </w:rPr>
        <w:t xml:space="preserve">’ point here illustrates a general trend in critiques of Kant’s moral philosophy from the perspective of disability in which Kant’s empirical views on the disabled are persistently overlooked. Because of this oversight, discussions of Kant and disability are limited to speculative arguments that hinge on the impenetrability of Kant’s moral theory by the intellectually disabled. As such, Kant’s extensive definitions of cognitive disability and lively figurations of disabled subjects have yet to be weighed against the political arguments of his moral and practical philosophy in an effort to assess how these views may effectively, rather than merely potentially, impact the meaning of his ideas about justice and thus sway their political and theoretical significance. As I argue throughout this chapter, Kant’s empirical writings on disability are critical to this scholarly debate for two reasons. First, it is in these texts that Kant entertains political questions concerning the civil and moral standing of intellectually disabled subjects. Second, Kant’s empirical works are essential to our understanding of his transcendental philosophy and political system, especially regarding the categorical imperative, because it is here – in his construction of the intellectually disabled – that Kant outlines the identity of those exceptional, irrational beings barred from the political concessions of justice. By turning my attention to how, where, and why </w:t>
      </w:r>
      <w:r w:rsidRPr="0069043D">
        <w:rPr>
          <w:rStyle w:val="Emphasis"/>
          <w:color w:val="000000" w:themeColor="text1"/>
          <w:highlight w:val="green"/>
        </w:rPr>
        <w:t>Kant’s approach to justice fails with respect to the intellectually disabled</w:t>
      </w:r>
      <w:r w:rsidRPr="0069043D">
        <w:rPr>
          <w:color w:val="000000" w:themeColor="text1"/>
          <w:sz w:val="12"/>
        </w:rPr>
        <w:t xml:space="preserve">, I intend to cast light on what I consider to be the margins of his moral philosophy and, as a result, delineate the limits of his political theory of justice. </w:t>
      </w:r>
      <w:r w:rsidRPr="0069043D">
        <w:rPr>
          <w:rStyle w:val="StyleUnderline"/>
          <w:color w:val="000000" w:themeColor="text1"/>
        </w:rPr>
        <w:t>This marginal space wherein the intellectually disabled are enclosed exemplifies</w:t>
      </w:r>
      <w:r w:rsidRPr="0069043D">
        <w:rPr>
          <w:color w:val="000000" w:themeColor="text1"/>
          <w:sz w:val="12"/>
        </w:rPr>
        <w:t xml:space="preserve"> what Uday Mehta (1999) describes as </w:t>
      </w:r>
      <w:r w:rsidRPr="0069043D">
        <w:rPr>
          <w:rStyle w:val="StyleUnderline"/>
          <w:color w:val="000000" w:themeColor="text1"/>
        </w:rPr>
        <w:t>the explicit exclusion of the unfamiliar, along with the erasure of their “sentiments, feelings, sense of location, and forms of life</w:t>
      </w:r>
      <w:r w:rsidRPr="0069043D">
        <w:rPr>
          <w:color w:val="000000" w:themeColor="text1"/>
          <w:sz w:val="12"/>
        </w:rPr>
        <w:t xml:space="preserve">” (1999: 20–1). Such occult “spaces” of exception are, in Mehta’s words, “places that when identified by the grid of Enlightenment rationality [become] only spots on a map or past points on the scale of civilizational progress, but not dwellings in which peoples lived and had deeply invested identities” (1999: 21).13 To the extent that it moves toward recasting the meaning of his theory of justice, </w:t>
      </w:r>
      <w:r w:rsidRPr="0069043D">
        <w:rPr>
          <w:rStyle w:val="StyleUnderline"/>
          <w:color w:val="000000" w:themeColor="text1"/>
        </w:rPr>
        <w:t>my interpretation of disability in Kant endeavors to reaffirm the political and conceptual significance of disability to the history of political thought and contemporary politicized identity.</w:t>
      </w:r>
      <w:r w:rsidRPr="0069043D">
        <w:rPr>
          <w:color w:val="000000" w:themeColor="text1"/>
          <w:sz w:val="12"/>
        </w:rPr>
        <w:t xml:space="preserve"> Read as such, I intend for the reach of my argument to stretch beyond interpretations of Kant. By demonstrating just how problematic Kant’s conception of justice is with regards to intellectual disability, this chapter consequently interrogates contemporary political theories whose ambit of justice, in being bound by reason, effectively forecloses the intellectually disabled from freedom, citizenship, and personhood.</w:t>
      </w:r>
    </w:p>
    <w:p w:rsidR="00F632C5" w:rsidRDefault="00F632C5" w:rsidP="00F632C5">
      <w:pPr>
        <w:pStyle w:val="Heading4"/>
        <w:rPr>
          <w:rFonts w:cs="Calibri"/>
        </w:rPr>
      </w:pPr>
    </w:p>
    <w:p w:rsidR="00F632C5" w:rsidRPr="006948C8" w:rsidRDefault="00F632C5" w:rsidP="00F632C5">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F632C5" w:rsidRPr="006948C8" w:rsidRDefault="00F632C5" w:rsidP="00F632C5">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rsidR="00F632C5" w:rsidRPr="006948C8" w:rsidRDefault="00F632C5" w:rsidP="00F632C5">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t>
      </w:r>
      <w:proofErr w:type="gramStart"/>
      <w:r w:rsidRPr="006948C8">
        <w:rPr>
          <w:rStyle w:val="Emphasis"/>
        </w:rPr>
        <w:t>ways</w:t>
      </w:r>
      <w:proofErr w:type="gramEnd"/>
      <w:r w:rsidRPr="006948C8">
        <w:rPr>
          <w:rStyle w:val="Emphasis"/>
        </w:rPr>
        <w:t xml:space="preserve">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F632C5" w:rsidRPr="006948C8" w:rsidRDefault="00F632C5" w:rsidP="00F632C5">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F632C5" w:rsidRPr="006948C8" w:rsidRDefault="00F632C5" w:rsidP="00F632C5">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rsidR="00F632C5" w:rsidRPr="006948C8" w:rsidRDefault="00F632C5" w:rsidP="00F632C5">
      <w:pPr>
        <w:rPr>
          <w:rStyle w:val="Emphasis"/>
        </w:rPr>
      </w:pPr>
      <w:r w:rsidRPr="006948C8">
        <w:rPr>
          <w:rStyle w:val="Emphasis"/>
        </w:rPr>
        <w:lastRenderedPageBreak/>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6948C8">
        <w:rPr>
          <w:sz w:val="14"/>
        </w:rPr>
        <w:t>ablism</w:t>
      </w:r>
      <w:proofErr w:type="spellEnd"/>
      <w:r w:rsidRPr="006948C8">
        <w:rPr>
          <w:sz w:val="14"/>
        </w:rPr>
        <w:t xml:space="preserve">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6948C8">
        <w:rPr>
          <w:sz w:val="14"/>
        </w:rPr>
        <w:t>disablism</w:t>
      </w:r>
      <w:proofErr w:type="spellEnd"/>
      <w:r w:rsidRPr="006948C8">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w:t>
      </w:r>
      <w:r w:rsidRPr="006948C8">
        <w:rPr>
          <w:sz w:val="14"/>
        </w:rPr>
        <w:lastRenderedPageBreak/>
        <w:t>pessimism will remind us. Instead of a universal abstract Rawlsian concept of social justice, CDS “attend(s) to the relational components of dis/</w:t>
      </w:r>
      <w:proofErr w:type="spellStart"/>
      <w:r w:rsidRPr="006948C8">
        <w:rPr>
          <w:sz w:val="14"/>
        </w:rPr>
        <w:t>ablism</w:t>
      </w:r>
      <w:proofErr w:type="spellEnd"/>
      <w:r w:rsidRPr="006948C8">
        <w:rPr>
          <w:sz w:val="14"/>
        </w:rPr>
        <w:t xml:space="preserve">”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 xml:space="preserve">The fourth and final tenet of pessimism that </w:t>
      </w:r>
      <w:r w:rsidRPr="006948C8">
        <w:rPr>
          <w:rStyle w:val="Emphasis"/>
        </w:rPr>
        <w:lastRenderedPageBreak/>
        <w:t>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F632C5" w:rsidRPr="006948C8" w:rsidRDefault="00F632C5" w:rsidP="00F632C5">
      <w:pPr>
        <w:pStyle w:val="Heading4"/>
        <w:rPr>
          <w:rFonts w:cs="Calibri"/>
        </w:rPr>
      </w:pPr>
      <w:r w:rsidRPr="006948C8">
        <w:rPr>
          <w:rFonts w:cs="Calibri"/>
        </w:rPr>
        <w:t>Psychoanalysis is both falsifiable and accurate – studies prove.</w:t>
      </w:r>
    </w:p>
    <w:p w:rsidR="00F632C5" w:rsidRPr="006948C8" w:rsidRDefault="00F632C5" w:rsidP="00F632C5">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F632C5" w:rsidRDefault="00F632C5" w:rsidP="00F632C5">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F632C5" w:rsidRDefault="00F632C5" w:rsidP="00F632C5">
      <w:pPr>
        <w:pStyle w:val="Heading4"/>
        <w:spacing w:line="276" w:lineRule="auto"/>
        <w:ind w:right="-43"/>
        <w:rPr>
          <w:color w:val="000000" w:themeColor="text1"/>
        </w:rPr>
      </w:pPr>
      <w:r>
        <w:rPr>
          <w:color w:val="000000" w:themeColor="text1"/>
        </w:rPr>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bookmarkEnd w:id="0"/>
    <w:bookmarkEnd w:id="1"/>
    <w:bookmarkEnd w:id="2"/>
    <w:bookmarkEnd w:id="3"/>
    <w:p w:rsidR="00E42E4C" w:rsidRDefault="00E42E4C" w:rsidP="00F601E6"/>
    <w:p w:rsidR="00F632C5" w:rsidRDefault="00F632C5" w:rsidP="00F632C5">
      <w:pPr>
        <w:pStyle w:val="Heading2"/>
      </w:pPr>
      <w:r>
        <w:lastRenderedPageBreak/>
        <w:t>3</w:t>
      </w:r>
    </w:p>
    <w:p w:rsidR="00F632C5" w:rsidRPr="003A6C3F" w:rsidRDefault="00F632C5" w:rsidP="00F632C5">
      <w:pPr>
        <w:pStyle w:val="Heading4"/>
      </w:pPr>
      <w:r w:rsidRPr="003A6C3F">
        <w:rPr>
          <w:u w:val="single"/>
        </w:rPr>
        <w:t xml:space="preserve">1. Interp: </w:t>
      </w:r>
      <w:r w:rsidRPr="003A6C3F">
        <w:t xml:space="preserve">At all TOC bid-distributing tournaments, debaters must disclose all broken positions on the </w:t>
      </w:r>
      <w:r>
        <w:t xml:space="preserve">2020-2021 </w:t>
      </w:r>
      <w:r w:rsidRPr="003A6C3F">
        <w:t xml:space="preserve">NDCA LD wiki.  The disclosure must </w:t>
      </w:r>
      <w:r>
        <w:t>include</w:t>
      </w:r>
      <w:r w:rsidRPr="003A6C3F">
        <w:t xml:space="preserve"> citations, </w:t>
      </w:r>
      <w:r w:rsidRPr="00ED4C60">
        <w:t>all constructive speech docs open source with highlighting</w:t>
      </w:r>
      <w:r>
        <w:t xml:space="preserve">, </w:t>
      </w:r>
      <w:r w:rsidRPr="003A6C3F">
        <w:t>and the full text from each card read.</w:t>
      </w:r>
      <w:r w:rsidR="003E080E">
        <w:t xml:space="preserve"> They should </w:t>
      </w:r>
      <w:proofErr w:type="spellStart"/>
      <w:r w:rsidR="003E080E">
        <w:t>dislcose</w:t>
      </w:r>
      <w:proofErr w:type="spellEnd"/>
      <w:r w:rsidR="003E080E">
        <w:t xml:space="preserve"> each round within 1 hour after the round ending.</w:t>
      </w:r>
    </w:p>
    <w:p w:rsidR="00F632C5" w:rsidRDefault="00F632C5" w:rsidP="00F632C5">
      <w:pPr>
        <w:pStyle w:val="Heading4"/>
      </w:pPr>
      <w:r w:rsidRPr="003A6C3F">
        <w:rPr>
          <w:u w:val="single"/>
        </w:rPr>
        <w:t>Violation:</w:t>
      </w:r>
      <w:r w:rsidRPr="003A6C3F">
        <w:t xml:space="preserve"> They </w:t>
      </w:r>
      <w:r w:rsidR="003E080E">
        <w:t>didn’t disclose anything on their wiki</w:t>
      </w:r>
    </w:p>
    <w:p w:rsidR="003E080E" w:rsidRPr="003E080E" w:rsidRDefault="003E080E" w:rsidP="003E080E"/>
    <w:p w:rsidR="00F632C5" w:rsidRPr="00ED4C60" w:rsidRDefault="003E080E" w:rsidP="00F632C5">
      <w:r>
        <w:rPr>
          <w:noProof/>
        </w:rPr>
        <w:drawing>
          <wp:inline distT="0" distB="0" distL="0" distR="0">
            <wp:extent cx="6697474" cy="4069582"/>
            <wp:effectExtent l="0" t="0" r="0" b="0"/>
            <wp:docPr id="1" name="Picture 1" descr="Graphical user interface, text, application, Word,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1-14 at 8.50.58 AM.png"/>
                    <pic:cNvPicPr/>
                  </pic:nvPicPr>
                  <pic:blipFill>
                    <a:blip r:embed="rId11"/>
                    <a:stretch>
                      <a:fillRect/>
                    </a:stretch>
                  </pic:blipFill>
                  <pic:spPr>
                    <a:xfrm>
                      <a:off x="0" y="0"/>
                      <a:ext cx="6697828" cy="4069797"/>
                    </a:xfrm>
                    <a:prstGeom prst="rect">
                      <a:avLst/>
                    </a:prstGeom>
                  </pic:spPr>
                </pic:pic>
              </a:graphicData>
            </a:graphic>
          </wp:inline>
        </w:drawing>
      </w:r>
    </w:p>
    <w:p w:rsidR="00F632C5" w:rsidRDefault="00F632C5" w:rsidP="00F632C5">
      <w:pPr>
        <w:pStyle w:val="Heading4"/>
        <w:rPr>
          <w:u w:val="single"/>
        </w:rPr>
      </w:pPr>
      <w:r w:rsidRPr="003A6C3F">
        <w:rPr>
          <w:u w:val="single"/>
        </w:rPr>
        <w:t>C. Standards</w:t>
      </w:r>
    </w:p>
    <w:p w:rsidR="00F632C5" w:rsidRDefault="00F632C5" w:rsidP="00F632C5">
      <w:pPr>
        <w:pStyle w:val="Heading4"/>
      </w:pPr>
      <w:r w:rsidRPr="006648D2">
        <w:t>1] Debate resource inequities</w:t>
      </w:r>
      <w:r w:rsidRPr="00BB4AA7">
        <w:t>—</w:t>
      </w:r>
    </w:p>
    <w:p w:rsidR="00F632C5" w:rsidRPr="00BB4AA7" w:rsidRDefault="00F632C5" w:rsidP="00F632C5">
      <w:pPr>
        <w:pStyle w:val="Heading4"/>
      </w:pPr>
      <w:r>
        <w:t xml:space="preserve">A] </w:t>
      </w:r>
      <w:r w:rsidRPr="00BB4AA7">
        <w:t>you’ll say people will steal cards, but that’s good—it’s the only way to truly level the playing field for students such as novices in under-privileged programs.</w:t>
      </w:r>
    </w:p>
    <w:p w:rsidR="00F632C5" w:rsidRPr="00BB4AA7" w:rsidRDefault="00F632C5" w:rsidP="00F632C5">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open source? resp to Morris”; December 8; http://www.ndtceda.com/pipermail/edebate/2005-December/064806.html //nick]</w:t>
      </w:r>
    </w:p>
    <w:p w:rsidR="00F632C5" w:rsidRPr="00ED4C60" w:rsidRDefault="00F632C5" w:rsidP="00F632C5">
      <w:r w:rsidRPr="006648D2">
        <w:rPr>
          <w:rStyle w:val="StyleUnderline"/>
          <w:highlight w:val="green"/>
        </w:rPr>
        <w:lastRenderedPageBreak/>
        <w:t>Open source systems are preferable</w:t>
      </w:r>
      <w:r w:rsidRPr="00BB4AA7">
        <w:rPr>
          <w:rStyle w:val="StyleUnderline"/>
        </w:rPr>
        <w:t xml:space="preserve"> to the various punishment proposals in circulation</w:t>
      </w:r>
      <w:r w:rsidRPr="006648D2">
        <w:rPr>
          <w:rFonts w:eastAsia="Times New Roman"/>
          <w:sz w:val="16"/>
          <w:szCs w:val="20"/>
        </w:rPr>
        <w:t xml:space="preserve">. </w:t>
      </w:r>
      <w:r w:rsidRPr="006648D2">
        <w:rPr>
          <w:rStyle w:val="StyleUnderline"/>
          <w:highlight w:val="green"/>
        </w:rPr>
        <w:t>It's better to share the wealth than limit production or participation</w:t>
      </w:r>
      <w:r w:rsidRPr="006648D2">
        <w:rPr>
          <w:rFonts w:eastAsia="Times New Roman"/>
          <w:sz w:val="16"/>
          <w:szCs w:val="20"/>
        </w:rPr>
        <w:t xml:space="preserve">. Various flavors of argument communism appeal to different </w:t>
      </w:r>
      <w:proofErr w:type="gramStart"/>
      <w:r w:rsidRPr="006648D2">
        <w:rPr>
          <w:rFonts w:eastAsia="Times New Roman"/>
          <w:sz w:val="16"/>
          <w:szCs w:val="20"/>
        </w:rPr>
        <w:t>people, but</w:t>
      </w:r>
      <w:proofErr w:type="gramEnd"/>
      <w:r w:rsidRPr="006648D2">
        <w:rPr>
          <w:rFonts w:eastAsia="Times New Roman"/>
          <w:sz w:val="16"/>
          <w:szCs w:val="20"/>
        </w:rPr>
        <w:t xml:space="preserve"> </w:t>
      </w:r>
      <w:r w:rsidRPr="00BB4AA7">
        <w:rPr>
          <w:rStyle w:val="StyleUnderline"/>
        </w:rPr>
        <w:t>banning interesting or useful research(</w:t>
      </w:r>
      <w:proofErr w:type="spellStart"/>
      <w:r w:rsidRPr="00BB4AA7">
        <w:rPr>
          <w:rStyle w:val="StyleUnderline"/>
        </w:rPr>
        <w:t>ers</w:t>
      </w:r>
      <w:proofErr w:type="spellEnd"/>
      <w:r w:rsidRPr="00BB4AA7">
        <w:rPr>
          <w:rStyle w:val="StyleUnderline"/>
        </w:rPr>
        <w:t>) seems like the most destructive solution possible</w:t>
      </w:r>
      <w:r w:rsidRPr="006648D2">
        <w:rPr>
          <w:rFonts w:eastAsia="Times New Roman"/>
          <w:sz w:val="16"/>
          <w:szCs w:val="20"/>
        </w:rPr>
        <w:t>. Indeed</w:t>
      </w:r>
      <w:r w:rsidRPr="00BB4AA7">
        <w:rPr>
          <w:rStyle w:val="StyleUnderline"/>
        </w:rPr>
        <w:t xml:space="preserve">, </w:t>
      </w:r>
      <w:r w:rsidRPr="006648D2">
        <w:rPr>
          <w:rStyle w:val="StyleUnderline"/>
          <w:highlight w:val="green"/>
        </w:rPr>
        <w:t>open systems may be the only structural, rule-based answer to resource inequities</w:t>
      </w:r>
      <w:r w:rsidRPr="006648D2">
        <w:rPr>
          <w:rFonts w:eastAsia="Times New Roman"/>
          <w:sz w:val="16"/>
          <w:szCs w:val="20"/>
          <w:highlight w:val="green"/>
        </w:rPr>
        <w:t xml:space="preserve">. </w:t>
      </w:r>
      <w:r w:rsidRPr="006648D2">
        <w:rPr>
          <w:rStyle w:val="StyleUnderline"/>
          <w:highlight w:val="green"/>
        </w:rPr>
        <w:t>Every other proposal</w:t>
      </w:r>
      <w:r w:rsidRPr="006648D2">
        <w:rPr>
          <w:rFonts w:eastAsia="Times New Roman"/>
          <w:sz w:val="16"/>
          <w:szCs w:val="20"/>
        </w:rPr>
        <w:t xml:space="preserve"> I've seen </w:t>
      </w:r>
      <w:r w:rsidRPr="00BB4AA7">
        <w:rPr>
          <w:rStyle w:val="StyleUnderline"/>
        </w:rPr>
        <w:t xml:space="preserve">obviously </w:t>
      </w:r>
      <w:r w:rsidRPr="006648D2">
        <w:rPr>
          <w:rStyle w:val="StyleUnderline"/>
          <w:highlight w:val="green"/>
        </w:rPr>
        <w:t>fails at the level of enforcement</w:t>
      </w:r>
      <w:r w:rsidRPr="00BB4AA7">
        <w:rPr>
          <w:rStyle w:val="StyleUnderline"/>
        </w:rPr>
        <w:t>. Revenue sharing (illegal), salary caps (unenforceable and possibly illegal) and personnel restrictions</w:t>
      </w:r>
      <w:r w:rsidRPr="006648D2">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6648D2">
        <w:rPr>
          <w:rFonts w:eastAsia="Times New Roman"/>
          <w:sz w:val="16"/>
          <w:szCs w:val="20"/>
        </w:rPr>
        <w:t xml:space="preserve">b. With the help of a middling competent archivist, </w:t>
      </w:r>
      <w:r w:rsidRPr="006648D2">
        <w:rPr>
          <w:rStyle w:val="StyleUnderline"/>
          <w:highlight w:val="green"/>
        </w:rPr>
        <w:t>an open source system would reduce entry barriers. This is especially true on the novice or JV level</w:t>
      </w:r>
      <w:r w:rsidRPr="00BB4AA7">
        <w:rPr>
          <w:rStyle w:val="StyleUnderline"/>
        </w:rPr>
        <w:t>. Young teams could plausibly subsist entirely on a diet of scavenged arguments</w:t>
      </w:r>
      <w:r w:rsidRPr="006648D2">
        <w:rPr>
          <w:rFonts w:eastAsia="Times New Roman"/>
          <w:sz w:val="16"/>
          <w:szCs w:val="20"/>
        </w:rPr>
        <w:t>. A novice team might not wish to do so, but the option can't hurt. c</w:t>
      </w:r>
      <w:r w:rsidRPr="00BB4AA7">
        <w:rPr>
          <w:rStyle w:val="StyleUnderline"/>
        </w:rPr>
        <w:t xml:space="preserve">. </w:t>
      </w:r>
      <w:r w:rsidRPr="006648D2">
        <w:rPr>
          <w:rStyle w:val="StyleUnderline"/>
          <w:highlight w:val="green"/>
        </w:rPr>
        <w:t xml:space="preserve">An open source system would fundamentally change the evidence economy </w:t>
      </w:r>
      <w:r w:rsidRPr="006648D2">
        <w:rPr>
          <w:rStyle w:val="Emphasis"/>
          <w:highlight w:val="green"/>
        </w:rPr>
        <w:t xml:space="preserve">without </w:t>
      </w:r>
      <w:proofErr w:type="spellStart"/>
      <w:r w:rsidRPr="006648D2">
        <w:rPr>
          <w:rStyle w:val="Emphasis"/>
          <w:highlight w:val="green"/>
        </w:rPr>
        <w:t>targetting</w:t>
      </w:r>
      <w:proofErr w:type="spellEnd"/>
      <w:r w:rsidRPr="006648D2">
        <w:rPr>
          <w:rStyle w:val="Emphasis"/>
          <w:highlight w:val="green"/>
        </w:rPr>
        <w:t xml:space="preserve"> anyone</w:t>
      </w:r>
      <w:r w:rsidRPr="006648D2">
        <w:rPr>
          <w:rStyle w:val="StyleUnderline"/>
          <w:highlight w:val="green"/>
        </w:rPr>
        <w:t xml:space="preserve"> </w:t>
      </w:r>
      <w:r w:rsidRPr="00BB4AA7">
        <w:rPr>
          <w:rStyle w:val="StyleUnderline"/>
        </w:rPr>
        <w:t>or putting anyone out of a job</w:t>
      </w:r>
      <w:r w:rsidRPr="006648D2">
        <w:rPr>
          <w:rFonts w:eastAsia="Times New Roman"/>
          <w:sz w:val="16"/>
          <w:szCs w:val="20"/>
        </w:rPr>
        <w:t>. It seems much smarter (and less bilious) to change the</w:t>
      </w:r>
    </w:p>
    <w:p w:rsidR="00F632C5" w:rsidRDefault="00F632C5" w:rsidP="00F632C5">
      <w:pPr>
        <w:pStyle w:val="Heading4"/>
      </w:pPr>
      <w:bookmarkStart w:id="4" w:name="_Hlk527102198"/>
      <w:r>
        <w:t xml:space="preserve">B] </w:t>
      </w:r>
      <w:r w:rsidRPr="003A6C3F">
        <w:t xml:space="preserve">Research Accessibility – articles can be hidden behind paywalls, making it impossible to cut </w:t>
      </w:r>
      <w:r>
        <w:t xml:space="preserve">it </w:t>
      </w:r>
      <w:r w:rsidRPr="003A6C3F">
        <w:t>unless debaters have money or special connection</w:t>
      </w:r>
      <w:r>
        <w:t>s putting certain debaters at a structural disadvantage.</w:t>
      </w:r>
    </w:p>
    <w:bookmarkEnd w:id="4"/>
    <w:p w:rsidR="00F632C5" w:rsidRDefault="00F632C5" w:rsidP="00F632C5">
      <w:pPr>
        <w:pStyle w:val="Heading4"/>
      </w:pPr>
      <w:r>
        <w:t xml:space="preserve">2] </w:t>
      </w:r>
      <w:r w:rsidRPr="003A6C3F">
        <w:t xml:space="preserve">Reciprocity – I disclosed </w:t>
      </w:r>
      <w:r>
        <w:t>everything</w:t>
      </w:r>
      <w:r w:rsidRPr="003A6C3F">
        <w:t>, but they didn’t so they had a</w:t>
      </w:r>
      <w:r>
        <w:t>n advantage in prepping me out kills fairness since</w:t>
      </w:r>
      <w:r w:rsidRPr="003A6C3F">
        <w:t xml:space="preserve"> I d</w:t>
      </w:r>
      <w:r>
        <w:t>idn’t have that same advantage.</w:t>
      </w:r>
    </w:p>
    <w:p w:rsidR="00F632C5" w:rsidRPr="008E04D7" w:rsidRDefault="00F632C5" w:rsidP="00F632C5">
      <w:pPr>
        <w:pStyle w:val="Heading4"/>
      </w:pPr>
      <w:r>
        <w:t xml:space="preserve">3] </w:t>
      </w:r>
      <w:r w:rsidRPr="00BB4AA7">
        <w:t xml:space="preserve">Evidence ethics – </w:t>
      </w:r>
      <w:r>
        <w:t>disclosure is</w:t>
      </w:r>
      <w:r w:rsidRPr="00BB4AA7">
        <w:t xml:space="preserve"> the only way to verify before round that cards aren’t </w:t>
      </w:r>
      <w:proofErr w:type="spellStart"/>
      <w:r w:rsidRPr="00BB4AA7">
        <w:t>miscut</w:t>
      </w:r>
      <w:proofErr w:type="spellEnd"/>
      <w:r w:rsidRPr="00BB4AA7">
        <w:t xml:space="preserve">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controls internal link to infinite abuse </w:t>
      </w:r>
      <w:proofErr w:type="spellStart"/>
      <w:r>
        <w:t>bc</w:t>
      </w:r>
      <w:proofErr w:type="spellEnd"/>
      <w:r>
        <w:t xml:space="preserve"> they can fake best </w:t>
      </w:r>
      <w:proofErr w:type="spellStart"/>
      <w:r>
        <w:t>args</w:t>
      </w:r>
      <w:proofErr w:type="spellEnd"/>
      <w:r>
        <w:t xml:space="preserve"> from best ppl and I will always lose</w:t>
      </w:r>
    </w:p>
    <w:p w:rsidR="00F632C5" w:rsidRDefault="00F632C5" w:rsidP="00F632C5">
      <w:pPr>
        <w:pStyle w:val="Heading4"/>
      </w:pPr>
      <w:r>
        <w:t xml:space="preserve">4] “broken wiki” isn’t a reason: 1. Teammates can help you enter, which is what one of my </w:t>
      </w:r>
      <w:proofErr w:type="gramStart"/>
      <w:r>
        <w:t>teammate</w:t>
      </w:r>
      <w:proofErr w:type="gramEnd"/>
      <w:r>
        <w:t xml:space="preserve"> did last year 2. </w:t>
      </w:r>
      <w:proofErr w:type="spellStart"/>
      <w:r>
        <w:t>Nonverifiable</w:t>
      </w:r>
      <w:proofErr w:type="spellEnd"/>
      <w:r>
        <w:t xml:space="preserve">, people can just lie 3. </w:t>
      </w:r>
    </w:p>
    <w:p w:rsidR="00F632C5" w:rsidRPr="001875C8" w:rsidRDefault="00F632C5" w:rsidP="00F632C5"/>
    <w:p w:rsidR="00F632C5" w:rsidRDefault="00F632C5" w:rsidP="00F632C5">
      <w:pPr>
        <w:pStyle w:val="Heading4"/>
      </w:pPr>
      <w:r>
        <w:lastRenderedPageBreak/>
        <w:t>Paradigm:</w:t>
      </w:r>
    </w:p>
    <w:p w:rsidR="00F632C5" w:rsidRPr="00D204AC" w:rsidRDefault="00F632C5" w:rsidP="00F632C5">
      <w:pPr>
        <w:pStyle w:val="Heading4"/>
      </w:pPr>
      <w:r w:rsidRPr="00D204AC">
        <w:t>Fairness is a voter— we presuppose all arguments are evaluated fairly</w:t>
      </w:r>
    </w:p>
    <w:p w:rsidR="00F632C5" w:rsidRPr="00D204AC" w:rsidRDefault="00F632C5" w:rsidP="00F632C5">
      <w:pPr>
        <w:pStyle w:val="Heading4"/>
      </w:pPr>
      <w:r w:rsidRPr="00D204AC">
        <w:t>Education is a voter – only portable skill outside of debate and only reason debates funded</w:t>
      </w:r>
    </w:p>
    <w:p w:rsidR="00F632C5" w:rsidRPr="00D204AC" w:rsidRDefault="00F632C5" w:rsidP="00F632C5">
      <w:pPr>
        <w:pStyle w:val="Heading4"/>
      </w:pPr>
      <w:r w:rsidRPr="00D204AC">
        <w:t xml:space="preserve">Drop the debater— a) deter future </w:t>
      </w:r>
      <w:proofErr w:type="gramStart"/>
      <w:r w:rsidRPr="00D204AC">
        <w:t>abuse ,</w:t>
      </w:r>
      <w:proofErr w:type="gramEnd"/>
      <w:r w:rsidRPr="00D204AC">
        <w:t xml:space="preserve"> b) skewed 1</w:t>
      </w:r>
      <w:r>
        <w:t>A</w:t>
      </w:r>
      <w:r w:rsidRPr="00D204AC">
        <w:t xml:space="preserve">C </w:t>
      </w:r>
      <w:proofErr w:type="spellStart"/>
      <w:r w:rsidRPr="00D204AC">
        <w:t>strat</w:t>
      </w:r>
      <w:proofErr w:type="spellEnd"/>
      <w:r w:rsidRPr="00D204AC">
        <w:t xml:space="preserve"> so we can’t go back on substance</w:t>
      </w:r>
    </w:p>
    <w:p w:rsidR="00F632C5" w:rsidRPr="00D204AC" w:rsidRDefault="00F632C5" w:rsidP="00F632C5">
      <w:pPr>
        <w:pStyle w:val="Heading4"/>
      </w:pPr>
      <w:r w:rsidRPr="00D204AC">
        <w:t xml:space="preserve">Competing interps—a] </w:t>
      </w:r>
      <w:proofErr w:type="spellStart"/>
      <w:r w:rsidRPr="00D204AC">
        <w:t>normsetting</w:t>
      </w:r>
      <w:proofErr w:type="spellEnd"/>
      <w:r w:rsidRPr="00D204AC">
        <w:t xml:space="preserve">—we find the best possible norms b] reasonability’s arbitrary and self-serving c] reasonability collapses—you use offense/defense on paradigm. </w:t>
      </w:r>
    </w:p>
    <w:p w:rsidR="00F632C5" w:rsidRDefault="00F632C5" w:rsidP="00F632C5">
      <w:pPr>
        <w:pStyle w:val="Heading4"/>
      </w:pPr>
      <w:r w:rsidRPr="00D204AC">
        <w:t xml:space="preserve">No RVIs—a] illogical—you shouldn’t win for proving you are fair it’s an expectation b] baiting—they’ll bait theory and prep it out—justifies infinite abuse c] they could collapse for </w:t>
      </w:r>
      <w:r>
        <w:t>7</w:t>
      </w:r>
      <w:r w:rsidRPr="00D204AC">
        <w:t xml:space="preserve"> minutes in the 1</w:t>
      </w:r>
      <w:r>
        <w:t>NC</w:t>
      </w:r>
      <w:r w:rsidRPr="00D204AC">
        <w:t xml:space="preserve"> while I only spent 30 </w:t>
      </w:r>
      <w:proofErr w:type="spellStart"/>
      <w:r w:rsidRPr="00D204AC">
        <w:t>sceonds</w:t>
      </w:r>
      <w:proofErr w:type="spellEnd"/>
      <w:r w:rsidRPr="00D204AC">
        <w:t xml:space="preserve"> in the 1</w:t>
      </w:r>
      <w:r>
        <w:t>AC</w:t>
      </w:r>
    </w:p>
    <w:p w:rsidR="00F632C5" w:rsidRPr="001875C8" w:rsidRDefault="00F632C5" w:rsidP="00F632C5"/>
    <w:p w:rsidR="00F632C5" w:rsidRPr="00F632C5" w:rsidRDefault="00F632C5" w:rsidP="00F632C5"/>
    <w:p w:rsidR="00F632C5" w:rsidRDefault="00F632C5" w:rsidP="00F632C5">
      <w:pPr>
        <w:pStyle w:val="Heading2"/>
      </w:pPr>
      <w:bookmarkStart w:id="5" w:name="_Hlk75965343"/>
      <w:r>
        <w:lastRenderedPageBreak/>
        <w:t>Case</w:t>
      </w:r>
    </w:p>
    <w:p w:rsidR="00F025AF" w:rsidRPr="00F025AF" w:rsidRDefault="00F025AF" w:rsidP="00F025AF">
      <w:pPr>
        <w:pStyle w:val="Heading3"/>
      </w:pPr>
      <w:r>
        <w:lastRenderedPageBreak/>
        <w:t>UV</w:t>
      </w:r>
    </w:p>
    <w:p w:rsidR="006B5CA7" w:rsidRDefault="006B5CA7" w:rsidP="006B5CA7">
      <w:pPr>
        <w:pStyle w:val="Heading4"/>
      </w:pPr>
      <w:r w:rsidRPr="00E24623">
        <w:t xml:space="preserve">1. </w:t>
      </w:r>
      <w:r>
        <w:t>Reject 1ar theory</w:t>
      </w:r>
    </w:p>
    <w:p w:rsidR="006B5CA7" w:rsidRPr="00E24623" w:rsidRDefault="006B5CA7" w:rsidP="006B5CA7">
      <w:pPr>
        <w:pStyle w:val="Heading4"/>
      </w:pPr>
      <w:r>
        <w:t xml:space="preserve">1. </w:t>
      </w:r>
      <w:r w:rsidRPr="00E24623">
        <w:t xml:space="preserve">1ar theory time skews the rest of the round since they have the 1ar and 2ar, which is 7 minutes compared to my 2nr, which is 6 minutes. This gives them a whole minute advantage on the theory debate, that’s a lot in such a time crunched event and outweighs their </w:t>
      </w:r>
      <w:proofErr w:type="spellStart"/>
      <w:r w:rsidRPr="00E24623">
        <w:t>strat</w:t>
      </w:r>
      <w:proofErr w:type="spellEnd"/>
      <w:r w:rsidRPr="00E24623">
        <w:t xml:space="preserve"> </w:t>
      </w:r>
      <w:proofErr w:type="spellStart"/>
      <w:r w:rsidRPr="00E24623">
        <w:t>args</w:t>
      </w:r>
      <w:proofErr w:type="spellEnd"/>
      <w:r w:rsidRPr="00E24623">
        <w:t xml:space="preserve"> since I need time to execute </w:t>
      </w:r>
      <w:proofErr w:type="spellStart"/>
      <w:r w:rsidRPr="00E24623">
        <w:t>strat</w:t>
      </w:r>
      <w:proofErr w:type="spellEnd"/>
      <w:r w:rsidRPr="00E24623">
        <w:t xml:space="preserve"> and get ground. </w:t>
      </w:r>
    </w:p>
    <w:p w:rsidR="006B5CA7" w:rsidRPr="00E24623" w:rsidRDefault="006B5CA7" w:rsidP="006B5CA7">
      <w:pPr>
        <w:pStyle w:val="Heading4"/>
      </w:pPr>
      <w:r w:rsidRPr="00E24623">
        <w:t xml:space="preserve">2. I lose the flex of being able to indict practices of the </w:t>
      </w:r>
      <w:proofErr w:type="spellStart"/>
      <w:r w:rsidRPr="00E24623">
        <w:t>aff</w:t>
      </w:r>
      <w:proofErr w:type="spellEnd"/>
      <w:r w:rsidRPr="00E24623">
        <w:t xml:space="preserve"> without going new in the 2nr, which gives them the ability to effectively weigh on the theory debate. Also outweighs on spikes because you have the ability to weigh an entirely conceded theory spike while I have to weigh my theory interp against all possible interps of the </w:t>
      </w:r>
      <w:proofErr w:type="spellStart"/>
      <w:r w:rsidRPr="00E24623">
        <w:t>aff</w:t>
      </w:r>
      <w:proofErr w:type="spellEnd"/>
      <w:r w:rsidRPr="00E24623">
        <w:t xml:space="preserve">. </w:t>
      </w:r>
    </w:p>
    <w:p w:rsidR="006B5CA7" w:rsidRDefault="006B5CA7" w:rsidP="006B5CA7">
      <w:pPr>
        <w:pStyle w:val="Heading4"/>
      </w:pPr>
      <w:r w:rsidRPr="00E24623">
        <w:t xml:space="preserve">3. 1ar theory is a no risk issue because the </w:t>
      </w:r>
      <w:proofErr w:type="spellStart"/>
      <w:r w:rsidRPr="00E24623">
        <w:t>aff</w:t>
      </w:r>
      <w:proofErr w:type="spellEnd"/>
      <w:r w:rsidRPr="00E24623">
        <w:t xml:space="preserve"> can go hard for no </w:t>
      </w:r>
      <w:proofErr w:type="spellStart"/>
      <w:r w:rsidRPr="00E24623">
        <w:t>rvi</w:t>
      </w:r>
      <w:proofErr w:type="spellEnd"/>
      <w:r w:rsidRPr="00E24623">
        <w:t xml:space="preserve"> in the 2ar, which skews my </w:t>
      </w:r>
      <w:proofErr w:type="spellStart"/>
      <w:r w:rsidRPr="00E24623">
        <w:t>strat</w:t>
      </w:r>
      <w:proofErr w:type="spellEnd"/>
      <w:r w:rsidRPr="00E24623">
        <w:t xml:space="preserve"> because either I either lose on substance or theory, screws the 2nr because I can’t respond to the initial spike, only the violation.</w:t>
      </w:r>
    </w:p>
    <w:p w:rsidR="00F025AF" w:rsidRPr="00F025AF" w:rsidRDefault="00F025AF" w:rsidP="00F025AF">
      <w:pPr>
        <w:pStyle w:val="Heading4"/>
      </w:pPr>
      <w:r>
        <w:t xml:space="preserve">Grant us RVI, DTA, and Reasonability on 1AR shell, or else 1ar theory is functionally a nib and they can spam them which is </w:t>
      </w:r>
      <w:proofErr w:type="spellStart"/>
      <w:r>
        <w:t>inifite</w:t>
      </w:r>
      <w:proofErr w:type="spellEnd"/>
      <w:r>
        <w:t xml:space="preserve"> abuse as they restart the round, 2-1 speech skew, and I can never win.</w:t>
      </w:r>
    </w:p>
    <w:p w:rsidR="006B5CA7" w:rsidRPr="006B5CA7" w:rsidRDefault="006B5CA7" w:rsidP="006B5CA7"/>
    <w:p w:rsidR="00EB1CF1" w:rsidRDefault="00EB1CF1" w:rsidP="00EB1CF1">
      <w:pPr>
        <w:pStyle w:val="Heading3"/>
      </w:pPr>
      <w:r>
        <w:lastRenderedPageBreak/>
        <w:t>AT TT</w:t>
      </w:r>
    </w:p>
    <w:p w:rsidR="00EB1CF1" w:rsidRPr="006948C8" w:rsidRDefault="00EB1CF1" w:rsidP="00EB1CF1">
      <w:pPr>
        <w:pStyle w:val="Heading4"/>
        <w:spacing w:before="0" w:after="80" w:line="276" w:lineRule="auto"/>
        <w:rPr>
          <w:rFonts w:cs="Calibri"/>
          <w:color w:val="000000" w:themeColor="text1"/>
        </w:rPr>
      </w:pPr>
      <w:r w:rsidRPr="006948C8">
        <w:rPr>
          <w:rFonts w:cs="Calibri"/>
          <w:color w:val="000000" w:themeColor="text1"/>
        </w:rPr>
        <w:t>[1] Truth testing justifies things like talking shit about disabled students in round and still winning – that’s an independent voter</w:t>
      </w:r>
    </w:p>
    <w:p w:rsidR="00EB1CF1" w:rsidRPr="006948C8" w:rsidRDefault="00EB1CF1" w:rsidP="00EB1CF1">
      <w:pPr>
        <w:pStyle w:val="Heading4"/>
        <w:spacing w:before="0" w:after="80" w:line="276" w:lineRule="auto"/>
        <w:rPr>
          <w:rFonts w:cs="Calibri"/>
          <w:color w:val="000000" w:themeColor="text1"/>
        </w:rPr>
      </w:pPr>
      <w:r w:rsidRPr="006948C8">
        <w:rPr>
          <w:rFonts w:cs="Calibri"/>
          <w:color w:val="000000" w:themeColor="text1"/>
        </w:rPr>
        <w:t>[2] They make arguments for why truth testing is constitutive of debate and the resolution – we say debate is a bad thing – notions of logic, fairness and education are made inaccessible to disabled learners and thus should be rejected – if they have not justified why debate is good don’t vote on truth testing</w:t>
      </w:r>
    </w:p>
    <w:p w:rsidR="00EB1CF1" w:rsidRPr="006948C8" w:rsidRDefault="00EB1CF1" w:rsidP="00EB1CF1">
      <w:pPr>
        <w:pStyle w:val="Heading4"/>
        <w:spacing w:before="0" w:after="80" w:line="276" w:lineRule="auto"/>
        <w:rPr>
          <w:rFonts w:cs="Calibri"/>
          <w:color w:val="000000" w:themeColor="text1"/>
        </w:rPr>
      </w:pPr>
      <w:r w:rsidRPr="006948C8">
        <w:rPr>
          <w:rFonts w:cs="Calibri"/>
          <w:color w:val="000000" w:themeColor="text1"/>
        </w:rPr>
        <w:t xml:space="preserve">[3] Truth testing reifies the logic of neoliberal attempts to assert “true claims” about the inferiority of disabled students – when you call them out on </w:t>
      </w:r>
      <w:proofErr w:type="gramStart"/>
      <w:r w:rsidRPr="006948C8">
        <w:rPr>
          <w:rFonts w:cs="Calibri"/>
          <w:color w:val="000000" w:themeColor="text1"/>
        </w:rPr>
        <w:t>it</w:t>
      </w:r>
      <w:proofErr w:type="gramEnd"/>
      <w:r w:rsidRPr="006948C8">
        <w:rPr>
          <w:rFonts w:cs="Calibri"/>
          <w:color w:val="000000" w:themeColor="text1"/>
        </w:rPr>
        <w:t xml:space="preserve"> they said its “just true” – reject truth testing as a rejection of ableist structures</w:t>
      </w:r>
    </w:p>
    <w:p w:rsidR="00EB1CF1" w:rsidRPr="006948C8" w:rsidRDefault="00EB1CF1" w:rsidP="00EB1CF1">
      <w:pPr>
        <w:pStyle w:val="Heading4"/>
        <w:spacing w:before="0" w:after="80" w:line="276" w:lineRule="auto"/>
        <w:rPr>
          <w:rFonts w:cs="Calibri"/>
          <w:color w:val="000000" w:themeColor="text1"/>
        </w:rPr>
      </w:pPr>
      <w:r w:rsidRPr="006948C8">
        <w:rPr>
          <w:rFonts w:cs="Calibri"/>
          <w:color w:val="000000" w:themeColor="text1"/>
        </w:rPr>
        <w:t xml:space="preserve">[4] The notion of binaries such a truth and falsity </w:t>
      </w:r>
      <w:proofErr w:type="gramStart"/>
      <w:r w:rsidRPr="006948C8">
        <w:rPr>
          <w:rFonts w:cs="Calibri"/>
          <w:color w:val="000000" w:themeColor="text1"/>
        </w:rPr>
        <w:t>plays</w:t>
      </w:r>
      <w:proofErr w:type="gramEnd"/>
      <w:r w:rsidRPr="006948C8">
        <w:rPr>
          <w:rFonts w:cs="Calibri"/>
          <w:color w:val="000000" w:themeColor="text1"/>
        </w:rPr>
        <w:t xml:space="preserve"> right into the categorization of neoliberalism which sorts through people as able and disabled – we should look to gradations instead – view the round on a sliding scale of debility and capacity</w:t>
      </w:r>
    </w:p>
    <w:p w:rsidR="00EB1CF1" w:rsidRPr="006948C8" w:rsidRDefault="00EB1CF1" w:rsidP="00EB1CF1">
      <w:pPr>
        <w:pStyle w:val="Heading4"/>
        <w:spacing w:before="0" w:after="80" w:line="276" w:lineRule="auto"/>
        <w:rPr>
          <w:rFonts w:cs="Calibri"/>
          <w:color w:val="000000" w:themeColor="text1"/>
        </w:rPr>
      </w:pPr>
      <w:r w:rsidRPr="006948C8">
        <w:rPr>
          <w:rFonts w:cs="Calibri"/>
          <w:color w:val="000000" w:themeColor="text1"/>
        </w:rPr>
        <w:t>[5] Truth and falsity claims require a form of language to be made that is simply inaccessible to disabled students – neoliberal institutions deem disabled children not able enough for language and says they cannot distinguish true from false – reject truth testing to reject ableism and ableist structures of education</w:t>
      </w:r>
    </w:p>
    <w:p w:rsidR="00EB1CF1" w:rsidRDefault="00F828F2" w:rsidP="00F828F2">
      <w:pPr>
        <w:pStyle w:val="Heading4"/>
      </w:pPr>
      <w:proofErr w:type="gramStart"/>
      <w:r>
        <w:t>Also</w:t>
      </w:r>
      <w:proofErr w:type="gramEnd"/>
      <w:r>
        <w:t xml:space="preserve"> we prove why the resolution is a bad idea and violent.</w:t>
      </w:r>
      <w:bookmarkStart w:id="6" w:name="_GoBack"/>
      <w:bookmarkEnd w:id="6"/>
    </w:p>
    <w:p w:rsidR="00533179" w:rsidRPr="00EB1CF1" w:rsidRDefault="00533179" w:rsidP="00533179">
      <w:pPr>
        <w:pStyle w:val="Heading3"/>
      </w:pPr>
      <w:r>
        <w:lastRenderedPageBreak/>
        <w:t>Offense</w:t>
      </w:r>
    </w:p>
    <w:p w:rsidR="00F632C5" w:rsidRDefault="00F632C5" w:rsidP="00F632C5">
      <w:pPr>
        <w:pStyle w:val="Heading4"/>
      </w:pPr>
      <w:r>
        <w:t xml:space="preserve">1] Strikes violate </w:t>
      </w:r>
      <w:r w:rsidRPr="000D7F02">
        <w:rPr>
          <w:u w:val="single"/>
        </w:rPr>
        <w:t>individual autonomy</w:t>
      </w:r>
      <w:r>
        <w:t xml:space="preserve"> by exercising </w:t>
      </w:r>
      <w:r w:rsidRPr="000D7F02">
        <w:rPr>
          <w:u w:val="single"/>
        </w:rPr>
        <w:t>coercion</w:t>
      </w:r>
      <w:r>
        <w:t>.</w:t>
      </w:r>
    </w:p>
    <w:p w:rsidR="00F632C5" w:rsidRDefault="00F632C5" w:rsidP="00F632C5">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2" w:history="1">
        <w:r w:rsidRPr="00540FF3">
          <w:rPr>
            <w:rStyle w:val="Hyperlink"/>
          </w:rPr>
          <w:t>https://sci-hub.se/10.1017/s0003055418000321]</w:t>
        </w:r>
      </w:hyperlink>
      <w:r>
        <w:t xml:space="preserve"> Justin</w:t>
      </w:r>
    </w:p>
    <w:p w:rsidR="00F632C5" w:rsidRPr="00B7182E" w:rsidRDefault="00F632C5" w:rsidP="00F632C5">
      <w:r>
        <w:t>**Edited for ableist language</w:t>
      </w:r>
    </w:p>
    <w:p w:rsidR="00F632C5" w:rsidRPr="00491885" w:rsidRDefault="00F632C5" w:rsidP="00F632C5">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rsidR="00F632C5" w:rsidRPr="00491885" w:rsidRDefault="00F632C5" w:rsidP="00F632C5">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rsidR="00F632C5" w:rsidRDefault="00F632C5" w:rsidP="00F632C5">
      <w:pPr>
        <w:pStyle w:val="Heading4"/>
      </w:pPr>
      <w:r>
        <w:t xml:space="preserve">2] </w:t>
      </w:r>
      <w:r w:rsidRPr="00CE7C9E">
        <w:rPr>
          <w:u w:val="single"/>
        </w:rPr>
        <w:t>Means to an end</w:t>
      </w:r>
      <w:r>
        <w:t>: employees ignore their duty to help their patients in favor of higher wages which treats them as a means to an end.</w:t>
      </w:r>
    </w:p>
    <w:p w:rsidR="00F632C5" w:rsidRDefault="00F632C5" w:rsidP="00F632C5">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rsidR="00F632C5" w:rsidRPr="00384BFB" w:rsidRDefault="00F632C5" w:rsidP="00F632C5">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rsidR="00F632C5" w:rsidRPr="00CE7C9E" w:rsidRDefault="00F632C5" w:rsidP="00F632C5">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w:t>
      </w:r>
      <w:r w:rsidRPr="00CE7C9E">
        <w:rPr>
          <w:u w:val="single"/>
        </w:rPr>
        <w:lastRenderedPageBreak/>
        <w:t xml:space="preserve">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5"/>
    <w:p w:rsidR="00F632C5" w:rsidRDefault="00F632C5" w:rsidP="00F632C5">
      <w:pPr>
        <w:pStyle w:val="Heading4"/>
      </w:pPr>
      <w:r>
        <w:t xml:space="preserve">4] </w:t>
      </w:r>
      <w:r w:rsidRPr="002D7BF0">
        <w:rPr>
          <w:u w:val="single"/>
        </w:rPr>
        <w:t>Free-riding</w:t>
      </w:r>
      <w:r>
        <w:t>: strikes are a form of free-riding since those who don’t participate still reap the benefits.</w:t>
      </w:r>
    </w:p>
    <w:p w:rsidR="00F632C5" w:rsidRPr="00AB7671" w:rsidRDefault="00F632C5" w:rsidP="00F632C5">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3" w:history="1">
        <w:r w:rsidRPr="00AF436A">
          <w:rPr>
            <w:rStyle w:val="Hyperlink"/>
          </w:rPr>
          <w:t>https://www.forbes.com/sites/prakashdolsak/2019/09/14/climate-strikes-what-they-accomplish-and-how-they-could-have-more-impact/?sh=2244a9bd5eed</w:t>
        </w:r>
      </w:hyperlink>
      <w:r>
        <w:t>] Justin</w:t>
      </w:r>
    </w:p>
    <w:p w:rsidR="00F632C5" w:rsidRPr="00DE0935" w:rsidRDefault="00F632C5" w:rsidP="00F632C5">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rsidR="00F632C5" w:rsidRPr="0021538F" w:rsidRDefault="00F632C5" w:rsidP="00F632C5"/>
    <w:p w:rsidR="00F632C5" w:rsidRPr="00F601E6" w:rsidRDefault="00F632C5" w:rsidP="00F632C5">
      <w:pPr>
        <w:pStyle w:val="Heading2"/>
      </w:pPr>
    </w:p>
    <w:sectPr w:rsidR="00F632C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32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80E"/>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17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CA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CF1"/>
    <w:rsid w:val="00EB33FF"/>
    <w:rsid w:val="00EB3D1A"/>
    <w:rsid w:val="00EC2759"/>
    <w:rsid w:val="00EC7106"/>
    <w:rsid w:val="00ED0120"/>
    <w:rsid w:val="00ED3BBA"/>
    <w:rsid w:val="00ED4E12"/>
    <w:rsid w:val="00EE051B"/>
    <w:rsid w:val="00EE54B4"/>
    <w:rsid w:val="00EF1AD8"/>
    <w:rsid w:val="00EF2B5C"/>
    <w:rsid w:val="00EF7794"/>
    <w:rsid w:val="00F02046"/>
    <w:rsid w:val="00F025AF"/>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2C5"/>
    <w:rsid w:val="00F73954"/>
    <w:rsid w:val="00F828F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6488A911-359F-0F41-91F8-AECA4FF0F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32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32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32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32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F632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32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32C5"/>
  </w:style>
  <w:style w:type="character" w:customStyle="1" w:styleId="Heading1Char">
    <w:name w:val="Heading 1 Char"/>
    <w:aliases w:val="Pocket Char"/>
    <w:basedOn w:val="DefaultParagraphFont"/>
    <w:link w:val="Heading1"/>
    <w:uiPriority w:val="9"/>
    <w:rsid w:val="00F632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32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32C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632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32C5"/>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F632C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20"/>
    <w:qFormat/>
    <w:rsid w:val="00F632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32C5"/>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F632C5"/>
    <w:rPr>
      <w:color w:val="auto"/>
      <w:u w:val="none"/>
    </w:rPr>
  </w:style>
  <w:style w:type="paragraph" w:styleId="DocumentMap">
    <w:name w:val="Document Map"/>
    <w:basedOn w:val="Normal"/>
    <w:link w:val="DocumentMapChar"/>
    <w:uiPriority w:val="99"/>
    <w:semiHidden/>
    <w:unhideWhenUsed/>
    <w:rsid w:val="00F632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32C5"/>
    <w:rPr>
      <w:rFonts w:ascii="Lucida Grande" w:hAnsi="Lucida Grande" w:cs="Lucida Grande"/>
    </w:rPr>
  </w:style>
  <w:style w:type="paragraph" w:customStyle="1" w:styleId="textbold">
    <w:name w:val="text bold"/>
    <w:basedOn w:val="Normal"/>
    <w:link w:val="Emphasis"/>
    <w:uiPriority w:val="20"/>
    <w:qFormat/>
    <w:rsid w:val="00F632C5"/>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F632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rsid w:val="00F632C5"/>
    <w:rPr>
      <w:rFonts w:ascii="Times New Roman" w:hAnsi="Times New Roman"/>
      <w:sz w:val="20"/>
      <w:szCs w:val="20"/>
    </w:rPr>
  </w:style>
  <w:style w:type="character" w:customStyle="1" w:styleId="FootnoteTextChar">
    <w:name w:val="Footnote Text Char"/>
    <w:basedOn w:val="DefaultParagraphFont"/>
    <w:link w:val="FootnoteText"/>
    <w:uiPriority w:val="99"/>
    <w:rsid w:val="00F632C5"/>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prakashdolsak/2019/09/14/climate-strikes-what-they-accomplish-and-how-they-could-have-more-impact/?sh=2244a9bd5e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hub.se/10.1017/s0003055418000321%5d//SJW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4ECA25-012A-6842-A503-BB76B690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20</Pages>
  <Words>11061</Words>
  <Characters>63054</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7</cp:revision>
  <dcterms:created xsi:type="dcterms:W3CDTF">2021-11-14T13:37:00Z</dcterms:created>
  <dcterms:modified xsi:type="dcterms:W3CDTF">2021-11-14T14:15:00Z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