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B3BED" w:rsidRDefault="00FB3BED" w:rsidP="00FB3BED">
      <w:pPr>
        <w:pStyle w:val="Heading2"/>
        <w:rPr>
          <w:rFonts w:cs="Calibri"/>
          <w:color w:val="000000" w:themeColor="text1"/>
        </w:rPr>
      </w:pPr>
      <w:bookmarkStart w:id="0" w:name="OLE_LINK11"/>
      <w:bookmarkStart w:id="1" w:name="OLE_LINK12"/>
      <w:r>
        <w:rPr>
          <w:rFonts w:cs="Calibri"/>
          <w:color w:val="000000" w:themeColor="text1"/>
        </w:rPr>
        <w:t>1</w:t>
      </w:r>
    </w:p>
    <w:p w:rsidR="00B0075A" w:rsidRDefault="00B0075A" w:rsidP="00B0075A">
      <w:pPr>
        <w:pStyle w:val="Heading4"/>
        <w:rPr>
          <w:rFonts w:cs="Times New Roman"/>
        </w:rPr>
      </w:pPr>
      <w:r w:rsidRPr="00C43442">
        <w:rPr>
          <w:rFonts w:cs="Times New Roman"/>
        </w:rPr>
        <w:t>Util creates a moral obligation to oppress people, when their suffering would cause a greater amount of happiness for the majority.</w:t>
      </w:r>
      <w:r>
        <w:rPr>
          <w:rFonts w:cs="Times New Roman"/>
        </w:rPr>
        <w:t xml:space="preserve"> Gold 19 </w:t>
      </w:r>
    </w:p>
    <w:p w:rsidR="00B0075A" w:rsidRPr="00A02B4F" w:rsidRDefault="00B0075A" w:rsidP="00B0075A">
      <w:r w:rsidRPr="00A02B4F">
        <w:t>Gold, Jeffrey &amp; Devalve, Michael. (2019). Utilitarian and Deontological Approaches to Criminal Justice Ethics. 10.4324/9780429203626-3.</w:t>
      </w:r>
      <w:r>
        <w:t>\</w:t>
      </w:r>
    </w:p>
    <w:p w:rsidR="00B0075A" w:rsidRPr="00C43442" w:rsidRDefault="00B0075A" w:rsidP="00B0075A">
      <w:pPr>
        <w:rPr>
          <w:sz w:val="14"/>
        </w:rPr>
      </w:pPr>
      <w:r w:rsidRPr="00C43442">
        <w:rPr>
          <w:sz w:val="14"/>
        </w:rPr>
        <w:t xml:space="preserve">According to utilitarianism, an action is moral when it produces the great-est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r w:rsidRPr="00C43442">
        <w:rPr>
          <w:b/>
          <w:bCs/>
          <w:szCs w:val="26"/>
          <w:highlight w:val="yellow"/>
          <w:u w:val="single"/>
        </w:rPr>
        <w:t>suf-fering</w:t>
      </w:r>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rsidR="00B0075A" w:rsidRDefault="00B0075A" w:rsidP="00B0075A">
      <w:pPr>
        <w:pStyle w:val="Heading4"/>
        <w:rPr>
          <w:rFonts w:cs="Times New Roman"/>
        </w:rPr>
      </w:pPr>
      <w:r>
        <w:rPr>
          <w:rFonts w:cs="Times New Roman"/>
        </w:rPr>
        <w:t>They read morally repugnant arguments.</w:t>
      </w:r>
      <w:r w:rsidRPr="00C43442">
        <w:rPr>
          <w:rFonts w:cs="Times New Roman"/>
        </w:rPr>
        <w:t xml:space="preserve"> </w:t>
      </w:r>
      <w:r>
        <w:rPr>
          <w:rFonts w:cs="Times New Roman"/>
        </w:rPr>
        <w:t>This is an independent reason to</w:t>
      </w:r>
      <w:r w:rsidRPr="00C43442">
        <w:rPr>
          <w:rFonts w:cs="Times New Roman"/>
        </w:rPr>
        <w:t xml:space="preserve">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Accessibility is a voting issue since all arguments presuppose that people feel safe in this space to respond to them.</w:t>
      </w:r>
    </w:p>
    <w:p w:rsidR="00B0075A" w:rsidRPr="00B0075A" w:rsidRDefault="00B0075A" w:rsidP="00B0075A"/>
    <w:p w:rsidR="00FB3BED" w:rsidRPr="006948C8" w:rsidRDefault="00FB3BED" w:rsidP="00FB3BED">
      <w:pPr>
        <w:pStyle w:val="Heading2"/>
        <w:rPr>
          <w:rFonts w:cs="Calibri"/>
          <w:color w:val="000000" w:themeColor="text1"/>
        </w:rPr>
      </w:pPr>
      <w:r>
        <w:rPr>
          <w:rFonts w:cs="Calibri"/>
          <w:color w:val="000000" w:themeColor="text1"/>
        </w:rPr>
        <w:lastRenderedPageBreak/>
        <w:t>2</w:t>
      </w:r>
    </w:p>
    <w:p w:rsidR="00FB3BED" w:rsidRPr="006948C8" w:rsidRDefault="00FB3BED" w:rsidP="00FB3BED">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FB3BED" w:rsidRPr="006948C8" w:rsidRDefault="00FB3BED" w:rsidP="00FB3BED">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FB3BED" w:rsidRPr="006948C8" w:rsidRDefault="00FB3BED" w:rsidP="00FB3BED">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FB3BED" w:rsidRPr="006948C8" w:rsidRDefault="00FB3BED" w:rsidP="00FB3BED">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FB3BED" w:rsidRPr="006948C8" w:rsidRDefault="00FB3BED" w:rsidP="00FB3BED">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FB3BED" w:rsidRDefault="00FB3BED" w:rsidP="00FB3BED">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FB3BED" w:rsidRPr="006948C8" w:rsidRDefault="00FB3BED" w:rsidP="00FB3BED">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FB3BED" w:rsidRPr="006948C8" w:rsidRDefault="00FB3BED" w:rsidP="00FB3BED">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FB3BED" w:rsidRPr="006948C8" w:rsidRDefault="00FB3BED" w:rsidP="00FB3BED">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FB3BED" w:rsidRPr="006948C8" w:rsidRDefault="00FB3BED" w:rsidP="00FB3BED">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FB3BED" w:rsidRPr="006948C8" w:rsidRDefault="00FB3BED" w:rsidP="00FB3BED">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FB3BED" w:rsidRPr="006948C8" w:rsidRDefault="00FB3BED" w:rsidP="00FB3BED">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w:t>
      </w:r>
      <w:r w:rsidRPr="006948C8">
        <w:rPr>
          <w:sz w:val="14"/>
        </w:rPr>
        <w:lastRenderedPageBreak/>
        <w:t xml:space="preserve">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 xml:space="preserve">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FB3BED" w:rsidRPr="006948C8" w:rsidRDefault="00FB3BED" w:rsidP="00FB3BED">
      <w:pPr>
        <w:pStyle w:val="Heading4"/>
        <w:rPr>
          <w:rFonts w:cs="Calibri"/>
        </w:rPr>
      </w:pPr>
      <w:r w:rsidRPr="006948C8">
        <w:rPr>
          <w:rFonts w:cs="Calibri"/>
        </w:rPr>
        <w:t>Psychoanalysis is both falsifiable and accurate – studies prove.</w:t>
      </w:r>
    </w:p>
    <w:p w:rsidR="00FB3BED" w:rsidRPr="006948C8" w:rsidRDefault="00FB3BED" w:rsidP="00FB3BED">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FB3BED" w:rsidRDefault="00FB3BED" w:rsidP="00FB3BED">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FB3BED" w:rsidRDefault="00FB3BED" w:rsidP="00FB3BED">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rsidR="00FB3BED" w:rsidRPr="00FB3BED" w:rsidRDefault="00FB3BED" w:rsidP="00FB3BED">
      <w:bookmarkStart w:id="4" w:name="_GoBack"/>
      <w:bookmarkEnd w:id="0"/>
      <w:bookmarkEnd w:id="1"/>
      <w:bookmarkEnd w:id="2"/>
      <w:bookmarkEnd w:id="3"/>
      <w:bookmarkEnd w:id="4"/>
    </w:p>
    <w:p w:rsidR="00FB3BED" w:rsidRDefault="00FB3BED" w:rsidP="00FB3BED"/>
    <w:p w:rsidR="00FB3BED" w:rsidRDefault="00FB3BED" w:rsidP="00FB3BED">
      <w:pPr>
        <w:pStyle w:val="Heading2"/>
      </w:pPr>
      <w:r>
        <w:lastRenderedPageBreak/>
        <w:t>Case</w:t>
      </w:r>
    </w:p>
    <w:p w:rsidR="00B0075A" w:rsidRDefault="00B0075A" w:rsidP="00B0075A">
      <w:pPr>
        <w:pStyle w:val="Heading3"/>
      </w:pPr>
      <w:r>
        <w:lastRenderedPageBreak/>
        <w:t>UV</w:t>
      </w:r>
    </w:p>
    <w:p w:rsidR="00B0075A" w:rsidRDefault="00B0075A" w:rsidP="00B0075A">
      <w:pPr>
        <w:pStyle w:val="Heading4"/>
      </w:pPr>
      <w:r w:rsidRPr="00E24623">
        <w:t xml:space="preserve">1. </w:t>
      </w:r>
      <w:r>
        <w:t>Reject 1ar theory</w:t>
      </w:r>
    </w:p>
    <w:p w:rsidR="00B0075A" w:rsidRPr="00E24623" w:rsidRDefault="00B0075A" w:rsidP="00B0075A">
      <w:pPr>
        <w:pStyle w:val="Heading4"/>
      </w:pPr>
      <w:r>
        <w:t xml:space="preserve">1. </w:t>
      </w:r>
      <w:r w:rsidRPr="00E24623">
        <w:t xml:space="preserve">1ar theory time skews the rest of the round since they have the 1ar and 2ar, which is 7 minutes compared to my 2nr, which is 6 minutes. This gives them a whole minute advantage on the theory debate, that’s a lot in such a time crunched event and outweighs their strat args since I need time to execute strat and get ground. </w:t>
      </w:r>
    </w:p>
    <w:p w:rsidR="00B0075A" w:rsidRPr="00E24623" w:rsidRDefault="00B0075A" w:rsidP="00B0075A">
      <w:pPr>
        <w:pStyle w:val="Heading4"/>
      </w:pPr>
      <w:r w:rsidRPr="00E24623">
        <w:t xml:space="preserve">2. I lose the flex of being able to indict practices of the aff without going new in the 2nr, which gives them the ability to effectively weigh on the theory debate. Also outweighs on spikes because you have the ability to weigh an entirely conceded theory spike while I have to weigh my theory interp against all possible interps of the aff. </w:t>
      </w:r>
    </w:p>
    <w:p w:rsidR="00B0075A" w:rsidRPr="00E24623" w:rsidRDefault="00B0075A" w:rsidP="00B0075A">
      <w:pPr>
        <w:pStyle w:val="Heading4"/>
      </w:pPr>
      <w:r w:rsidRPr="00E24623">
        <w:t>3. 1ar theory is a no risk issue because the aff can go hard for no rvi in the 2ar, which skews my strat because either I either lose on substance or theory, screws the 2nr because I can’t respond to the initial spike, only the violation.</w:t>
      </w:r>
    </w:p>
    <w:p w:rsidR="00B0075A" w:rsidRDefault="00B0075A" w:rsidP="00B0075A">
      <w:pPr>
        <w:keepNext/>
        <w:keepLines/>
        <w:spacing w:before="40" w:after="0"/>
        <w:outlineLvl w:val="3"/>
        <w:rPr>
          <w:rFonts w:eastAsiaTheme="majorEastAsia" w:cstheme="majorBidi"/>
          <w:b/>
          <w:iCs/>
          <w:sz w:val="26"/>
        </w:rPr>
      </w:pPr>
    </w:p>
    <w:p w:rsidR="00B0075A" w:rsidRPr="008009C1" w:rsidRDefault="00B0075A" w:rsidP="00B0075A">
      <w:pPr>
        <w:keepNext/>
        <w:keepLines/>
        <w:spacing w:before="40" w:after="0"/>
        <w:outlineLvl w:val="3"/>
        <w:rPr>
          <w:rFonts w:eastAsiaTheme="majorEastAsia" w:cstheme="majorBidi"/>
          <w:b/>
          <w:iCs/>
          <w:sz w:val="26"/>
        </w:rPr>
      </w:pPr>
      <w:r>
        <w:rPr>
          <w:rFonts w:eastAsiaTheme="majorEastAsia" w:cstheme="majorBidi"/>
          <w:b/>
          <w:iCs/>
          <w:sz w:val="26"/>
        </w:rPr>
        <w:t xml:space="preserve">Reject </w:t>
      </w:r>
      <w:r w:rsidRPr="008009C1">
        <w:rPr>
          <w:rFonts w:eastAsiaTheme="majorEastAsia" w:cstheme="majorBidi"/>
          <w:b/>
          <w:iCs/>
          <w:sz w:val="26"/>
        </w:rPr>
        <w:t xml:space="preserve">new 2ar responses to NC arguments </w:t>
      </w:r>
      <w:r>
        <w:rPr>
          <w:rFonts w:eastAsiaTheme="majorEastAsia" w:cstheme="majorBidi"/>
          <w:b/>
          <w:iCs/>
          <w:sz w:val="26"/>
        </w:rPr>
        <w:t xml:space="preserve">– Turn reciprocity: you get the 1ar to respond to any neg arguments, just like I can’t </w:t>
      </w:r>
    </w:p>
    <w:p w:rsidR="00B0075A" w:rsidRDefault="00B0075A" w:rsidP="00B0075A">
      <w:pPr>
        <w:keepNext/>
        <w:keepLines/>
        <w:numPr>
          <w:ilvl w:val="0"/>
          <w:numId w:val="15"/>
        </w:numPr>
        <w:spacing w:before="40" w:after="0"/>
        <w:outlineLvl w:val="3"/>
        <w:rPr>
          <w:rFonts w:eastAsiaTheme="majorEastAsia" w:cstheme="majorBidi"/>
          <w:b/>
          <w:iCs/>
          <w:sz w:val="26"/>
        </w:rPr>
      </w:pPr>
      <w:r w:rsidRPr="008009C1">
        <w:rPr>
          <w:rFonts w:eastAsiaTheme="majorEastAsia" w:cstheme="majorBidi"/>
          <w:b/>
          <w:iCs/>
          <w:sz w:val="26"/>
        </w:rPr>
        <w:t>No neg analytics – I don’t have time to cover 100 blippy 1NC args since you can read 7 min of analytics and extend any of them to win. Answering this triggers a contradiction since it relies on an analytic argument and those affirm since I spoke first and they were your fault for creating.</w:t>
      </w:r>
    </w:p>
    <w:p w:rsidR="00B0075A" w:rsidRPr="00B0075A" w:rsidRDefault="00B0075A" w:rsidP="00B0075A"/>
    <w:p w:rsidR="00B0075A" w:rsidRDefault="00B0075A" w:rsidP="00B0075A">
      <w:pPr>
        <w:pStyle w:val="Heading2"/>
      </w:pPr>
      <w:r>
        <w:lastRenderedPageBreak/>
        <w:t>DA</w:t>
      </w:r>
    </w:p>
    <w:p w:rsidR="00B0075A" w:rsidRPr="00D728BE" w:rsidRDefault="00B0075A" w:rsidP="00B0075A">
      <w:pPr>
        <w:pStyle w:val="Heading4"/>
      </w:pPr>
      <w:r>
        <w:t xml:space="preserve">Bill passes now- negotiations are holding with Manchin and Sinema-but UN meeting and state elections make it so that there is </w:t>
      </w:r>
      <w:r w:rsidRPr="00D728BE">
        <w:rPr>
          <w:u w:val="single"/>
        </w:rPr>
        <w:t>no margin for error</w:t>
      </w:r>
    </w:p>
    <w:p w:rsidR="00B0075A" w:rsidRPr="004012BA" w:rsidRDefault="00B0075A" w:rsidP="00B0075A">
      <w:r w:rsidRPr="004012BA">
        <w:rPr>
          <w:rStyle w:val="Style13ptBold"/>
        </w:rPr>
        <w:t>Edmonson and Cochrane 10-24</w:t>
      </w:r>
      <w:r>
        <w:t xml:space="preserve"> </w:t>
      </w:r>
      <w:r w:rsidRPr="004012BA">
        <w:t xml:space="preserve">Catie Edmondson and Emily Cochrane, 10-24-2021, "Biden Meets With Manchin and Schumer as Democrats Race to Finish Social Policy Bill," </w:t>
      </w:r>
      <w:r>
        <w:t>New York Times</w:t>
      </w:r>
      <w:r w:rsidRPr="004012BA">
        <w:t>, https://www.nytimes.com/2021/10/24/us/politics/biden-manchin-schumer-spending-bill.html</w:t>
      </w:r>
      <w:r>
        <w:t>/SJKS</w:t>
      </w:r>
    </w:p>
    <w:p w:rsidR="00B0075A" w:rsidRPr="00D728BE" w:rsidRDefault="00B0075A" w:rsidP="00B0075A">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11"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2" w:history="1">
        <w:r w:rsidRPr="00C74B19">
          <w:rPr>
            <w:rStyle w:val="Hyperlink"/>
            <w:sz w:val="16"/>
          </w:rPr>
          <w:t>domestic policy plan</w:t>
        </w:r>
      </w:hyperlink>
      <w:r w:rsidRPr="00C74B19">
        <w:rPr>
          <w:sz w:val="16"/>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Kyrsten </w:t>
      </w:r>
      <w:r w:rsidRPr="00D728BE">
        <w:rPr>
          <w:rStyle w:val="Emphasis"/>
          <w:highlight w:val="green"/>
        </w:rPr>
        <w:t>Sinema</w:t>
      </w:r>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education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3"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The president looked us in the eye, and 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were still haggling over a number of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Democratic officials are urging for him to accept more spending in order to avoid dropping other programs.</w:t>
      </w:r>
    </w:p>
    <w:p w:rsidR="00B0075A" w:rsidRDefault="00B0075A" w:rsidP="00B0075A"/>
    <w:p w:rsidR="00B0075A" w:rsidRDefault="00B0075A" w:rsidP="00B0075A">
      <w:pPr>
        <w:pStyle w:val="Heading4"/>
      </w:pPr>
      <w:r>
        <w:t xml:space="preserve">Labor reform saps PC – empirically prove with Obama, corporate opposition, and Democratic resistance </w:t>
      </w:r>
    </w:p>
    <w:p w:rsidR="00B0075A" w:rsidRPr="00D57A2E" w:rsidRDefault="00B0075A" w:rsidP="00B0075A">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rsidR="00B0075A" w:rsidRPr="002010BA" w:rsidRDefault="00B0075A" w:rsidP="00B0075A">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4" w:history="1">
        <w:r w:rsidRPr="002010BA">
          <w:rPr>
            <w:rStyle w:val="Hyperlink"/>
            <w:sz w:val="16"/>
          </w:rPr>
          <w:t>coalesced</w:t>
        </w:r>
      </w:hyperlink>
      <w:r w:rsidRPr="002010BA">
        <w:rPr>
          <w:sz w:val="16"/>
        </w:rPr>
        <w:t xml:space="preserve"> around Biden, a self-professed “</w:t>
      </w:r>
      <w:hyperlink r:id="rId15" w:history="1">
        <w:r w:rsidRPr="002010BA">
          <w:rPr>
            <w:rStyle w:val="Hyperlink"/>
            <w:sz w:val="16"/>
          </w:rPr>
          <w:t>union guy</w:t>
        </w:r>
      </w:hyperlink>
      <w:r w:rsidRPr="002010BA">
        <w:rPr>
          <w:sz w:val="16"/>
        </w:rPr>
        <w:t xml:space="preserve">,” after the primaries and </w:t>
      </w:r>
      <w:hyperlink r:id="rId16" w:history="1">
        <w:r w:rsidRPr="002010BA">
          <w:rPr>
            <w:rStyle w:val="Hyperlink"/>
            <w:sz w:val="16"/>
          </w:rPr>
          <w:t>helped deliver</w:t>
        </w:r>
      </w:hyperlink>
      <w:r w:rsidRPr="002010BA">
        <w:rPr>
          <w:sz w:val="16"/>
        </w:rPr>
        <w:t xml:space="preserve"> him to the White House in the hope that doing so would lead to </w:t>
      </w:r>
      <w:hyperlink r:id="rId17"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8"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9"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20" w:history="1">
        <w:r w:rsidRPr="002010BA">
          <w:rPr>
            <w:rStyle w:val="Hyperlink"/>
            <w:sz w:val="16"/>
          </w:rPr>
          <w:t>left with Biden’s wallet</w:t>
        </w:r>
      </w:hyperlink>
      <w:r w:rsidRPr="002010BA">
        <w:rPr>
          <w:sz w:val="16"/>
        </w:rPr>
        <w:t xml:space="preserve">,” dryly </w:t>
      </w:r>
      <w:hyperlink r:id="rId21"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2"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rsidR="00B0075A" w:rsidRDefault="00B0075A" w:rsidP="00B0075A">
      <w:pPr>
        <w:pStyle w:val="Heading4"/>
      </w:pPr>
      <w:r>
        <w:lastRenderedPageBreak/>
        <w:t xml:space="preserve">Infrastructure secures the grid against </w:t>
      </w:r>
      <w:r w:rsidRPr="00DF7150">
        <w:rPr>
          <w:u w:val="single"/>
        </w:rPr>
        <w:t>worsening</w:t>
      </w:r>
      <w:r>
        <w:t xml:space="preserve"> and </w:t>
      </w:r>
      <w:r w:rsidRPr="00DF7150">
        <w:rPr>
          <w:u w:val="single"/>
        </w:rPr>
        <w:t>increasing</w:t>
      </w:r>
      <w:r>
        <w:t xml:space="preserve"> cyberattacks.</w:t>
      </w:r>
    </w:p>
    <w:p w:rsidR="00B0075A" w:rsidRPr="00DF7150" w:rsidRDefault="00B0075A" w:rsidP="00B0075A">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23" w:history="1">
        <w:r w:rsidRPr="00F623D7">
          <w:rPr>
            <w:rStyle w:val="Hyperlink"/>
          </w:rPr>
          <w:t>https://www.jdsupra.com/legalnews/the-us-senate-infrastructure-bill-4989100/</w:t>
        </w:r>
      </w:hyperlink>
      <w:r>
        <w:t>] Justin</w:t>
      </w:r>
    </w:p>
    <w:p w:rsidR="00B0075A" w:rsidRDefault="00B0075A" w:rsidP="00B0075A">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rsidR="00B0075A" w:rsidRDefault="00B0075A" w:rsidP="00B0075A"/>
    <w:p w:rsidR="00B0075A" w:rsidRDefault="00B0075A" w:rsidP="00B0075A">
      <w:pPr>
        <w:pStyle w:val="Heading4"/>
        <w:rPr>
          <w:u w:val="single"/>
        </w:rPr>
      </w:pPr>
      <w:r>
        <w:t>Cyberattacks on the grid spiral to all-out nuclear conflict.</w:t>
      </w:r>
    </w:p>
    <w:p w:rsidR="00B0075A" w:rsidRDefault="00B0075A" w:rsidP="00B0075A">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4" w:history="1">
        <w:r w:rsidRPr="00D26E47">
          <w:rPr>
            <w:rStyle w:val="Hyperlink"/>
          </w:rPr>
          <w:t>https://www.armscontrol.org/act/2019-11/features/cyber-battles-nuclear-outcomes-dangerous-new-pathways-escalation</w:t>
        </w:r>
      </w:hyperlink>
      <w:r>
        <w:rPr>
          <w:rStyle w:val="Hyperlink"/>
        </w:rPr>
        <w:t>] Justin</w:t>
      </w:r>
    </w:p>
    <w:p w:rsidR="00B0075A" w:rsidRDefault="00B0075A" w:rsidP="00B0075A">
      <w:pPr>
        <w:rPr>
          <w:rStyle w:val="StyleUnderline"/>
        </w:rPr>
      </w:pPr>
      <w:r w:rsidRPr="00B7045F">
        <w:rPr>
          <w:sz w:val="16"/>
        </w:rPr>
        <w:lastRenderedPageBreak/>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r w:rsidRPr="0012207A">
        <w:rPr>
          <w:rStyle w:val="StyleUnderline"/>
          <w:highlight w:val="green"/>
        </w:rPr>
        <w:t>cyberstrikes</w:t>
      </w:r>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rsidR="00B0075A" w:rsidRPr="00853637" w:rsidRDefault="00B0075A" w:rsidP="00B0075A"/>
    <w:p w:rsidR="00FB3BED" w:rsidRPr="00FB3BED" w:rsidRDefault="00FB3BED" w:rsidP="00FB3BED"/>
    <w:sectPr w:rsidR="00FB3BED" w:rsidRPr="00FB3B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6A7DBA"/>
    <w:multiLevelType w:val="hybridMultilevel"/>
    <w:tmpl w:val="A7B6885C"/>
    <w:lvl w:ilvl="0" w:tplc="92766588">
      <w:start w:val="6"/>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E83F7B"/>
    <w:multiLevelType w:val="hybridMultilevel"/>
    <w:tmpl w:val="5F2A39AA"/>
    <w:lvl w:ilvl="0" w:tplc="0C628896">
      <w:start w:val="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51C62"/>
    <w:multiLevelType w:val="hybridMultilevel"/>
    <w:tmpl w:val="58BEE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3B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75A"/>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5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BE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6CE324B1-110D-1043-8769-5775E0BA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3BE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3B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3B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FB3B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FB3B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3B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3BED"/>
  </w:style>
  <w:style w:type="character" w:customStyle="1" w:styleId="Heading1Char">
    <w:name w:val="Heading 1 Char"/>
    <w:aliases w:val="Pocket Char"/>
    <w:basedOn w:val="DefaultParagraphFont"/>
    <w:link w:val="Heading1"/>
    <w:uiPriority w:val="9"/>
    <w:rsid w:val="00FB3B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3BE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B3BE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B3B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3BE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8"/>
    <w:basedOn w:val="DefaultParagraphFont"/>
    <w:uiPriority w:val="1"/>
    <w:qFormat/>
    <w:rsid w:val="00FB3BED"/>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FB3B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3BED"/>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FB3BED"/>
    <w:rPr>
      <w:color w:val="auto"/>
      <w:u w:val="none"/>
    </w:rPr>
  </w:style>
  <w:style w:type="paragraph" w:styleId="DocumentMap">
    <w:name w:val="Document Map"/>
    <w:basedOn w:val="Normal"/>
    <w:link w:val="DocumentMapChar"/>
    <w:uiPriority w:val="99"/>
    <w:semiHidden/>
    <w:unhideWhenUsed/>
    <w:rsid w:val="00FB3B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3BED"/>
    <w:rPr>
      <w:rFonts w:ascii="Lucida Grande" w:hAnsi="Lucida Grande" w:cs="Lucida Grande"/>
    </w:rPr>
  </w:style>
  <w:style w:type="paragraph" w:styleId="ListParagraph">
    <w:name w:val="List Paragraph"/>
    <w:basedOn w:val="Normal"/>
    <w:uiPriority w:val="34"/>
    <w:qFormat/>
    <w:rsid w:val="00FB3BED"/>
    <w:pPr>
      <w:ind w:left="720"/>
      <w:contextualSpacing/>
    </w:pPr>
  </w:style>
  <w:style w:type="paragraph" w:customStyle="1" w:styleId="textbold">
    <w:name w:val="text bold"/>
    <w:basedOn w:val="Normal"/>
    <w:link w:val="Emphasis"/>
    <w:uiPriority w:val="20"/>
    <w:qFormat/>
    <w:rsid w:val="00FB3BED"/>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FB3BE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Note Level 21,ClearFormatting,Clear,DDI Tag,Tag Title,No Spacing51,No Spacing11211,No Spacing13,No Spacing23,No Spacing6,No Spacing7,No Spacing8,Dont u,No Spacing311"/>
    <w:basedOn w:val="Heading1"/>
    <w:autoRedefine/>
    <w:uiPriority w:val="99"/>
    <w:qFormat/>
    <w:rsid w:val="00FB3BED"/>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89460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1/10/15/climate/biden-clean-energy-manchin.html" TargetMode="External"/><Relationship Id="rId18" Type="http://schemas.openxmlformats.org/officeDocument/2006/relationships/hyperlink" Target="https://aflcio.org/press/releases/afl-cio-looks-forward-working-president-elect-joe-biden-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theintercept.com/2020/12/28/mcconnell-trump-election/" TargetMode="External"/><Relationship Id="rId7" Type="http://schemas.openxmlformats.org/officeDocument/2006/relationships/settings" Target="settings.xml"/><Relationship Id="rId12" Type="http://schemas.openxmlformats.org/officeDocument/2006/relationships/hyperlink" Target="https://www.nytimes.com/live/2021/10/26/us/biden-spending-bill-deal" TargetMode="External"/><Relationship Id="rId17" Type="http://schemas.openxmlformats.org/officeDocument/2006/relationships/hyperlink" Target="https://indypendent.org/2020/12/immigrants-rights-advocates-descend-on-delawar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rogressive.org/dispatches/bargaining-rights-with-that-feliz-leon-201229/" TargetMode="External"/><Relationship Id="rId20" Type="http://schemas.openxmlformats.org/officeDocument/2006/relationships/hyperlink" Target="https://theintercept.com/2019/06/24/joe-biden-tax-cuts-mitch-mconne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0/26/us/politics/democrats-billionaires-tax.html" TargetMode="External"/><Relationship Id="rId24" Type="http://schemas.openxmlformats.org/officeDocument/2006/relationships/hyperlink" Target="https://www.armscontrol.org/act/2019-11/features/cyber-battles-nuclear-outcomes-dangerous-new-pathways-escalation" TargetMode="External"/><Relationship Id="rId5" Type="http://schemas.openxmlformats.org/officeDocument/2006/relationships/numbering" Target="numbering.xml"/><Relationship Id="rId15" Type="http://schemas.openxmlformats.org/officeDocument/2006/relationships/hyperlink" Target="https://www.cnbc.com/2020/11/16/biden-holds-joint-meeting-with-union-leaders-and-retail-auto-tech-ceos.html" TargetMode="External"/><Relationship Id="rId23" Type="http://schemas.openxmlformats.org/officeDocument/2006/relationships/hyperlink" Target="https://www.jdsupra.com/legalnews/the-us-senate-infrastructure-bill-4989100/" TargetMode="External"/><Relationship Id="rId10" Type="http://schemas.openxmlformats.org/officeDocument/2006/relationships/hyperlink" Target="https://digitalassets.lib.berkeley.edu/etd/ucb/text/Mollow_berkeley_0028E_15181.pdf" TargetMode="External"/><Relationship Id="rId19" Type="http://schemas.openxmlformats.org/officeDocument/2006/relationships/hyperlink" Target="https://www.postandcourier.com/politics/scs-rep-joe-cunningham-to-vote-against-pro-union-bill-in-break-with-democrats/article_426b38e2-4862-11ea-a0d9-77a96531c47e.html"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hyperlink" Target="https://progressive.org/dispatches/power-behind-win-feliz-leon-201123/" TargetMode="External"/><Relationship Id="rId22" Type="http://schemas.openxmlformats.org/officeDocument/2006/relationships/hyperlink" Target="https://www.atr.org/ab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7B0827-D601-7C45-BEDC-CBCD6BE91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132</TotalTime>
  <Pages>16</Pages>
  <Words>10215</Words>
  <Characters>58232</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2021-11-13T14:25:00Z</dcterms:created>
  <dcterms:modified xsi:type="dcterms:W3CDTF">2021-11-13T19:59:00Z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