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15ACF" w:rsidRPr="006948C8" w:rsidRDefault="00415ACF" w:rsidP="00415ACF">
      <w:pPr>
        <w:pStyle w:val="Heading2"/>
        <w:rPr>
          <w:rFonts w:cs="Calibri"/>
          <w:color w:val="000000" w:themeColor="text1"/>
        </w:rPr>
      </w:pPr>
      <w:bookmarkStart w:id="0" w:name="OLE_LINK11"/>
      <w:bookmarkStart w:id="1" w:name="OLE_LINK12"/>
      <w:r w:rsidRPr="006948C8">
        <w:rPr>
          <w:rFonts w:cs="Calibri"/>
          <w:color w:val="000000" w:themeColor="text1"/>
        </w:rPr>
        <w:t>1</w:t>
      </w:r>
    </w:p>
    <w:p w:rsidR="00415ACF" w:rsidRPr="006948C8" w:rsidRDefault="00415ACF" w:rsidP="00415ACF">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415ACF" w:rsidRPr="006948C8" w:rsidRDefault="00415ACF" w:rsidP="00415ACF">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415ACF" w:rsidRPr="006948C8" w:rsidRDefault="00415ACF" w:rsidP="00415ACF">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415ACF" w:rsidRPr="006948C8" w:rsidRDefault="00415ACF" w:rsidP="00415ACF">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415ACF" w:rsidRPr="006948C8" w:rsidRDefault="00415ACF" w:rsidP="00415ACF">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415ACF" w:rsidRDefault="00415ACF" w:rsidP="00415ACF">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415ACF" w:rsidRPr="0069043D" w:rsidRDefault="00415ACF" w:rsidP="00415ACF">
      <w:pPr>
        <w:pStyle w:val="Heading4"/>
        <w:rPr>
          <w:rFonts w:cs="Calibri"/>
          <w:color w:val="000000" w:themeColor="text1"/>
        </w:rPr>
      </w:pPr>
      <w:r w:rsidRPr="0069043D">
        <w:rPr>
          <w:rFonts w:cs="Calibri"/>
          <w:color w:val="000000" w:themeColor="text1"/>
        </w:rPr>
        <w:t>Kant’s criteria for personhood violently excludes the disabled</w:t>
      </w:r>
      <w:r>
        <w:rPr>
          <w:rFonts w:cs="Calibri"/>
          <w:color w:val="000000" w:themeColor="text1"/>
        </w:rPr>
        <w:t xml:space="preserve">  -takes out your mills card.</w:t>
      </w:r>
    </w:p>
    <w:p w:rsidR="00415ACF" w:rsidRPr="0069043D" w:rsidRDefault="00415ACF" w:rsidP="00415ACF">
      <w:pPr>
        <w:rPr>
          <w:color w:val="000000" w:themeColor="text1"/>
        </w:rPr>
      </w:pPr>
      <w:r w:rsidRPr="0069043D">
        <w:rPr>
          <w:color w:val="000000" w:themeColor="text1"/>
        </w:rPr>
        <w:t xml:space="preserve">Lucas G. </w:t>
      </w:r>
      <w:r w:rsidRPr="0069043D">
        <w:rPr>
          <w:rStyle w:val="Style13ptBold"/>
          <w:color w:val="000000" w:themeColor="text1"/>
        </w:rPr>
        <w:t>Pinheiro 17</w:t>
      </w:r>
      <w:r w:rsidRPr="0069043D">
        <w:rPr>
          <w:color w:val="000000" w:themeColor="text1"/>
        </w:rPr>
        <w:t xml:space="preserve"> [(Lucas G. Pinheiro, ) The Ableist Contract Intellectual Disability and the Limits of Justice in Kant’s Political Thought, Cambridge Core Online publication date: March 2017, pp 43-78] AT</w:t>
      </w:r>
    </w:p>
    <w:p w:rsidR="00415ACF" w:rsidRDefault="00415ACF" w:rsidP="00415ACF">
      <w:pPr>
        <w:rPr>
          <w:color w:val="000000" w:themeColor="text1"/>
          <w:sz w:val="12"/>
        </w:rPr>
      </w:pPr>
      <w:r w:rsidRPr="0069043D">
        <w:rPr>
          <w:color w:val="000000" w:themeColor="text1"/>
          <w:sz w:val="12"/>
        </w:rPr>
        <w:t xml:space="preserve">With these theoretical considerations in mind, </w:t>
      </w:r>
      <w:r w:rsidRPr="0069043D">
        <w:rPr>
          <w:rStyle w:val="Emphasis"/>
        </w:rPr>
        <w:t>this chapter probes the political and moral spaces occupied by intellectually disabled subjects in the political, ethical, and moral thought of Immanuel Kant</w:t>
      </w:r>
      <w:r w:rsidRPr="0069043D">
        <w:rPr>
          <w:rStyle w:val="StyleUnderline"/>
          <w:color w:val="000000" w:themeColor="text1"/>
        </w:rPr>
        <w:t>.</w:t>
      </w:r>
      <w:r w:rsidRPr="0069043D">
        <w:rPr>
          <w:color w:val="000000" w:themeColor="text1"/>
          <w:sz w:val="12"/>
        </w:rPr>
        <w:t xml:space="preserve"> To this end, I place particular emphasis on the ways in which </w:t>
      </w:r>
      <w:r w:rsidRPr="0069043D">
        <w:rPr>
          <w:rStyle w:val="Emphasis"/>
          <w:highlight w:val="green"/>
        </w:rPr>
        <w:t>Kant’s “empirical” observations on disability</w:t>
      </w:r>
      <w:r w:rsidRPr="0069043D">
        <w:rPr>
          <w:rStyle w:val="Emphasis"/>
        </w:rPr>
        <w:t xml:space="preserve"> fundamentally </w:t>
      </w:r>
      <w:r w:rsidRPr="0069043D">
        <w:rPr>
          <w:rStyle w:val="Emphasis"/>
          <w:highlight w:val="green"/>
        </w:rPr>
        <w:t>impact his political formulations</w:t>
      </w:r>
      <w:r w:rsidRPr="0069043D">
        <w:rPr>
          <w:rStyle w:val="Emphasis"/>
        </w:rPr>
        <w:t xml:space="preserve"> of justice, freedom, citizenship, personhood, and the human species</w:t>
      </w:r>
      <w:r w:rsidRPr="0069043D">
        <w:rPr>
          <w:rStyle w:val="StyleUnderline"/>
          <w:color w:val="000000" w:themeColor="text1"/>
        </w:rPr>
        <w:t>.</w:t>
      </w:r>
      <w:r w:rsidRPr="0069043D">
        <w:rPr>
          <w:color w:val="000000" w:themeColor="text1"/>
          <w:sz w:val="12"/>
        </w:rP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69043D">
        <w:rPr>
          <w:rStyle w:val="Emphasis"/>
        </w:rPr>
        <w:t xml:space="preserve">Kant’s understanding of disability affects and informs his theory of justice in such constitutive ways that </w:t>
      </w:r>
      <w:r w:rsidRPr="0069043D">
        <w:rPr>
          <w:rStyle w:val="Emphasis"/>
          <w:highlight w:val="green"/>
        </w:rPr>
        <w:t>its continual neglect has resulted in an insufficiently critical and accurate interpretation of Kant’s political thought</w:t>
      </w:r>
      <w:r w:rsidRPr="0069043D">
        <w:rPr>
          <w:rStyle w:val="Emphasis"/>
        </w:rPr>
        <w:t xml:space="preserve"> writ large</w:t>
      </w:r>
      <w:r w:rsidRPr="0069043D">
        <w:rPr>
          <w:rStyle w:val="StyleUnderline"/>
          <w:color w:val="000000" w:themeColor="text1"/>
        </w:rPr>
        <w:t>.</w:t>
      </w:r>
      <w:r w:rsidRPr="0069043D">
        <w:rPr>
          <w:color w:val="000000" w:themeColor="text1"/>
          <w:sz w:val="12"/>
        </w:rPr>
        <w:t xml:space="preserve"> From a broader perspective, </w:t>
      </w:r>
      <w:r w:rsidRPr="0069043D">
        <w:rPr>
          <w:rStyle w:val="Emphasis"/>
        </w:rPr>
        <w:t>my interpretation of disability in Kant seeks to recast the political thrust of Kant’s theory by rearticulating its relationship to other strains of the Kantian corpus that, while less accepted, less philosophical, and undoubtedly less agreeable, are, on my account, no less politically and philosophically significant to his thought than the “strictly” political and philosophical works.</w:t>
      </w:r>
      <w:r w:rsidRPr="0069043D">
        <w:rPr>
          <w:rStyle w:val="StyleUnderline"/>
          <w:color w:val="000000" w:themeColor="text1"/>
        </w:rPr>
        <w:t xml:space="preserve"> </w:t>
      </w:r>
      <w:r w:rsidRPr="0069043D">
        <w:rPr>
          <w:color w:val="000000" w:themeColor="text1"/>
          <w:sz w:val="12"/>
        </w:rPr>
        <w:t xml:space="preserve">As of late, </w:t>
      </w:r>
      <w:r w:rsidRPr="0069043D">
        <w:rPr>
          <w:rStyle w:val="Emphasis"/>
        </w:rPr>
        <w:t xml:space="preserve">a host of </w:t>
      </w:r>
      <w:r w:rsidRPr="0069043D">
        <w:rPr>
          <w:rStyle w:val="Emphasis"/>
          <w:highlight w:val="green"/>
        </w:rPr>
        <w:t>scholars in</w:t>
      </w:r>
      <w:r w:rsidRPr="0069043D">
        <w:rPr>
          <w:rStyle w:val="Emphasis"/>
        </w:rPr>
        <w:t xml:space="preserve"> </w:t>
      </w:r>
      <w:r w:rsidRPr="0069043D">
        <w:rPr>
          <w:rStyle w:val="Emphasis"/>
          <w:highlight w:val="green"/>
        </w:rPr>
        <w:t>disability studies</w:t>
      </w:r>
      <w:r w:rsidRPr="0069043D">
        <w:rPr>
          <w:rStyle w:val="Emphasis"/>
        </w:rPr>
        <w:t xml:space="preserve"> have vocally </w:t>
      </w:r>
      <w:r w:rsidRPr="0069043D">
        <w:rPr>
          <w:rStyle w:val="Emphasis"/>
          <w:highlight w:val="green"/>
        </w:rPr>
        <w:t>contest</w:t>
      </w:r>
      <w:r w:rsidRPr="0069043D">
        <w:rPr>
          <w:rStyle w:val="Emphasis"/>
        </w:rPr>
        <w:t xml:space="preserve">ed </w:t>
      </w:r>
      <w:r w:rsidRPr="0069043D">
        <w:rPr>
          <w:rStyle w:val="Emphasis"/>
          <w:highlight w:val="green"/>
        </w:rPr>
        <w:t>Kant’s</w:t>
      </w:r>
      <w:r w:rsidRPr="0069043D">
        <w:rPr>
          <w:rStyle w:val="Emphasis"/>
          <w:color w:val="000000" w:themeColor="text1"/>
          <w:highlight w:val="green"/>
        </w:rPr>
        <w:t xml:space="preserve"> moral theory of personhood</w:t>
      </w:r>
      <w:r w:rsidRPr="0069043D">
        <w:rPr>
          <w:rStyle w:val="StyleUnderline"/>
          <w:color w:val="000000" w:themeColor="text1"/>
        </w:rPr>
        <w:t>.</w:t>
      </w:r>
      <w:r w:rsidRPr="0069043D">
        <w:rPr>
          <w:color w:val="000000" w:themeColor="text1"/>
          <w:sz w:val="12"/>
        </w:rPr>
        <w:t xml:space="preserve"> This burgeoning literature on Kant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“speciesist” – to deny the former group (animals) moral standing while extending it to the latter (the disabled) (1994, 2009: 567–8). In building their philosophical arguments for intra-species moral standing, both Singer (2009: 573–4) and McMahan (2002: 245–6, 252–5) rely prominently on Kant’s personhood–animality split as a means to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69043D">
        <w:rPr>
          <w:rStyle w:val="StyleUnderline"/>
          <w:color w:val="000000" w:themeColor="text1"/>
        </w:rPr>
        <w:t xml:space="preserve">the central and most politically salient aspect of these critiques resides in the Kantian discourse Singer and McMahan mobilize in support of their projects. Pushing back against rationalist conceptions of moral status, </w:t>
      </w:r>
      <w:r w:rsidRPr="0069043D">
        <w:rPr>
          <w:color w:val="000000" w:themeColor="text1"/>
          <w:sz w:val="12"/>
        </w:rPr>
        <w:t xml:space="preserve">philosopher </w:t>
      </w:r>
      <w:r w:rsidRPr="0069043D">
        <w:rPr>
          <w:color w:val="000000" w:themeColor="text1"/>
          <w:sz w:val="12"/>
        </w:rPr>
        <w:lastRenderedPageBreak/>
        <w:t>Eva</w:t>
      </w:r>
      <w:r w:rsidRPr="0069043D">
        <w:rPr>
          <w:rStyle w:val="StyleUnderline"/>
          <w:color w:val="000000" w:themeColor="text1"/>
        </w:rPr>
        <w:t xml:space="preserve"> Kittay</w:t>
      </w:r>
      <w:r w:rsidRPr="0069043D">
        <w:rPr>
          <w:color w:val="000000" w:themeColor="text1"/>
          <w:sz w:val="12"/>
        </w:rPr>
        <w:t xml:space="preserve"> (2001, 2005a, 2005b, 2009a, 2009b) </w:t>
      </w:r>
      <w:r w:rsidRPr="0069043D">
        <w:rPr>
          <w:rStyle w:val="StyleUnderline"/>
          <w:color w:val="000000" w:themeColor="text1"/>
        </w:rPr>
        <w:t>has argued that species membership alone should suffice as a criterion for equal moral status among human beings.</w:t>
      </w:r>
      <w:r w:rsidRPr="0069043D">
        <w:rPr>
          <w:color w:val="000000" w:themeColor="text1"/>
          <w:sz w:val="12"/>
        </w:rPr>
        <w:t xml:space="preserve"> Licia Carlson (2009, 2010), who furthers Kittay’s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 (2010: 157). Although Kittay and Carlson do not comment directly on Kant’s specific formulation of moral personhood, they effectively highlight how and why </w:t>
      </w:r>
      <w:r w:rsidRPr="0069043D">
        <w:rPr>
          <w:rStyle w:val="StyleUnderline"/>
          <w:color w:val="000000" w:themeColor="text1"/>
        </w:rPr>
        <w:t>elevating cognitive capacity to the role of arbiter for moral life, as is the case with Kant’s theory of personhood, has deeply problematic repercussions for the intellectually disabled.</w:t>
      </w:r>
      <w:r w:rsidRPr="0069043D">
        <w:rPr>
          <w:color w:val="000000" w:themeColor="text1"/>
          <w:sz w:val="12"/>
        </w:rPr>
        <w:t xml:space="preserve">10 </w:t>
      </w:r>
      <w:r w:rsidRPr="0069043D">
        <w:rPr>
          <w:rStyle w:val="StyleUnderline"/>
          <w:color w:val="000000" w:themeColor="text1"/>
        </w:rPr>
        <w:t>Other scholars writing on disability and political theory have also expressed profound skepticism toward rationalist formulations of moral personhood rooted in Kant’s categorical imperative.</w:t>
      </w:r>
      <w:r w:rsidRPr="0069043D">
        <w:rPr>
          <w:color w:val="000000" w:themeColor="text1"/>
          <w:sz w:val="12"/>
        </w:rPr>
        <w:t xml:space="preserve">11 One notable critic of Kantian personhood from the standpoint of disability is Barbara Arneil (2009), whose </w:t>
      </w:r>
      <w:r w:rsidRPr="0069043D">
        <w:rPr>
          <w:rStyle w:val="StyleUnderline"/>
          <w:color w:val="000000" w:themeColor="text1"/>
        </w:rPr>
        <w:t>key charge against Kant’s moral theory is his crowning of rational autonomy as the foundation for human dignity</w:t>
      </w:r>
      <w:r w:rsidRPr="0069043D">
        <w:rPr>
          <w:color w:val="000000" w:themeColor="text1"/>
          <w:sz w:val="12"/>
        </w:rPr>
        <w:t xml:space="preserve"> (2009: 224). </w:t>
      </w:r>
      <w:r w:rsidRPr="0069043D">
        <w:rPr>
          <w:rStyle w:val="Emphasis"/>
          <w:highlight w:val="green"/>
        </w:rPr>
        <w:t>In its quest to “protect human dignity through</w:t>
      </w:r>
      <w:r w:rsidRPr="0069043D">
        <w:rPr>
          <w:rStyle w:val="Emphasis"/>
        </w:rPr>
        <w:t xml:space="preserve"> the mutual </w:t>
      </w:r>
      <w:r w:rsidRPr="0069043D">
        <w:rPr>
          <w:rStyle w:val="Emphasis"/>
          <w:highlight w:val="green"/>
        </w:rPr>
        <w:t>recognition of others as rational</w:t>
      </w:r>
      <w:r w:rsidRPr="0069043D">
        <w:rPr>
          <w:rStyle w:val="Emphasis"/>
        </w:rPr>
        <w:t xml:space="preserve"> self-legislating ‘</w:t>
      </w:r>
      <w:r w:rsidRPr="0069043D">
        <w:rPr>
          <w:rStyle w:val="Emphasis"/>
          <w:highlight w:val="green"/>
        </w:rPr>
        <w:t>persons</w:t>
      </w:r>
      <w:r w:rsidRPr="0069043D">
        <w:rPr>
          <w:rStyle w:val="Emphasis"/>
        </w:rPr>
        <w:t xml:space="preserve">,’” Arneil remarks, </w:t>
      </w:r>
      <w:r w:rsidRPr="0069043D">
        <w:rPr>
          <w:rStyle w:val="Emphasis"/>
          <w:highlight w:val="green"/>
        </w:rPr>
        <w:t>Kant’s moral theory consequently figures the “irrational” as “not ‘autonomous</w:t>
      </w:r>
      <w:r w:rsidRPr="0069043D">
        <w:rPr>
          <w:rStyle w:val="Emphasis"/>
        </w:rPr>
        <w:t xml:space="preserve">’ and strictly speaking not ‘persons’ </w:t>
      </w:r>
      <w:r w:rsidRPr="0069043D">
        <w:rPr>
          <w:rStyle w:val="Emphasis"/>
          <w:highlight w:val="green"/>
        </w:rPr>
        <w:t>and therefore not due the dignity accorded to ‘rational beings</w:t>
      </w:r>
      <w:r w:rsidRPr="0069043D">
        <w:rPr>
          <w:rStyle w:val="Emphasis"/>
        </w:rPr>
        <w:t>’</w:t>
      </w:r>
      <w:r w:rsidRPr="0069043D">
        <w:rPr>
          <w:rStyle w:val="StyleUnderline"/>
          <w:color w:val="000000" w:themeColor="text1"/>
        </w:rPr>
        <w:t>”</w:t>
      </w:r>
      <w:r w:rsidRPr="0069043D">
        <w:rPr>
          <w:color w:val="000000" w:themeColor="text1"/>
          <w:sz w:val="12"/>
        </w:rPr>
        <w:t xml:space="preserve"> (2009: 224–5).12 Moreover, Arneil exposes how Kant’s formulation of personhood has pervasively found its way to the backdrop of influential political theories of justice by the likes of John Rawls and Charles Taylor. Because Kant locates personhood in the human ability to reason, Arneil argues that </w:t>
      </w:r>
      <w:r w:rsidRPr="0069043D">
        <w:rPr>
          <w:rStyle w:val="StyleUnderline"/>
          <w:color w:val="000000" w:themeColor="text1"/>
        </w:rPr>
        <w:t>contemporary authors who draw on Kant</w:t>
      </w:r>
      <w:r w:rsidRPr="0069043D">
        <w:rPr>
          <w:color w:val="000000" w:themeColor="text1"/>
          <w:sz w:val="12"/>
        </w:rPr>
        <w:t xml:space="preserve"> (such as Taylor) </w:t>
      </w:r>
      <w:r w:rsidRPr="0069043D">
        <w:rPr>
          <w:rStyle w:val="StyleUnderline"/>
          <w:color w:val="000000" w:themeColor="text1"/>
        </w:rPr>
        <w:t>are consequently “forced to define those incapable of ‘rationality’ as outside the ‘normal’ meaning of personhood,” as possessing an unrealizable potential to become human</w:t>
      </w:r>
      <w:r w:rsidRPr="0069043D">
        <w:rPr>
          <w:color w:val="000000" w:themeColor="text1"/>
          <w:sz w:val="12"/>
        </w:rPr>
        <w:t xml:space="preserve"> (2009: 225, 228). Together, these works by critical disability scholars illustrate how </w:t>
      </w:r>
      <w:r w:rsidRPr="0069043D">
        <w:rPr>
          <w:rStyle w:val="Emphasis"/>
          <w:color w:val="000000" w:themeColor="text1"/>
          <w:highlight w:val="green"/>
        </w:rPr>
        <w:t>Kant’s moral philosophy has sustained a political discourse that categorically exempts the disabled from the remits of justice.</w:t>
      </w:r>
      <w:r w:rsidRPr="0069043D">
        <w:rPr>
          <w:rStyle w:val="Emphasis"/>
          <w:color w:val="000000" w:themeColor="text1"/>
        </w:rPr>
        <w:t xml:space="preserve"> </w:t>
      </w:r>
      <w:r w:rsidRPr="0069043D">
        <w:rPr>
          <w:color w:val="000000" w:themeColor="text1"/>
          <w:sz w:val="12"/>
        </w:rPr>
        <w:t xml:space="preserve">Overall, three important conclusions can be drawn from the literature on Kant and disability. First, scholars working on intellectual disability and political theory have provided convincing arguments as to how </w:t>
      </w:r>
      <w:r w:rsidRPr="0069043D">
        <w:rPr>
          <w:rStyle w:val="Emphasis"/>
          <w:highlight w:val="green"/>
        </w:rPr>
        <w:t>Kantian conceptions of personhood misrecognize the inherent humanity of the intellectually disabled.</w:t>
      </w:r>
      <w:r w:rsidRPr="0069043D">
        <w:rPr>
          <w:color w:val="000000" w:themeColor="text1"/>
          <w:sz w:val="12"/>
        </w:rPr>
        <w:t xml:space="preserve"> Second, these scholars have compellingly identified why, </w:t>
      </w:r>
      <w:r w:rsidRPr="0069043D">
        <w:rPr>
          <w:rStyle w:val="StyleUnderline"/>
          <w:color w:val="000000" w:themeColor="text1"/>
        </w:rPr>
        <w:t xml:space="preserve">from a political standpoint of justice, liberty, and equality, it is desirable to move away from such reason-centric formulations of moral status that privilege the able-minded over the intellectually disabled. </w:t>
      </w:r>
      <w:r w:rsidRPr="0069043D">
        <w:rPr>
          <w:color w:val="000000" w:themeColor="text1"/>
          <w:sz w:val="12"/>
        </w:rPr>
        <w:t xml:space="preserve">Third, many of these commentators have conclusively outlined how </w:t>
      </w:r>
      <w:r w:rsidRPr="0069043D">
        <w:rPr>
          <w:rStyle w:val="Emphasis"/>
          <w:highlight w:val="green"/>
        </w:rPr>
        <w:t>Kant’s moral philosophy is conceptually</w:t>
      </w:r>
      <w:r w:rsidRPr="0069043D">
        <w:rPr>
          <w:color w:val="000000" w:themeColor="text1"/>
          <w:sz w:val="12"/>
        </w:rPr>
        <w:t>, albeit indirectly,</w:t>
      </w:r>
      <w:r w:rsidRPr="0069043D">
        <w:rPr>
          <w:rStyle w:val="StyleUnderline"/>
          <w:color w:val="000000" w:themeColor="text1"/>
        </w:rPr>
        <w:t xml:space="preserve"> </w:t>
      </w:r>
      <w:r w:rsidRPr="0069043D">
        <w:rPr>
          <w:rStyle w:val="Emphasis"/>
          <w:highlight w:val="green"/>
        </w:rPr>
        <w:t>implicated in the political marginalization of the disabled persons</w:t>
      </w:r>
      <w:r w:rsidRPr="0069043D">
        <w:rPr>
          <w:rStyle w:val="StyleUnderline"/>
          <w:color w:val="000000" w:themeColor="text1"/>
          <w:highlight w:val="green"/>
        </w:rPr>
        <w:t>.</w:t>
      </w:r>
      <w:r w:rsidRPr="0069043D">
        <w:rPr>
          <w:rStyle w:val="StyleUnderline"/>
          <w:color w:val="000000" w:themeColor="text1"/>
        </w:rPr>
        <w:t xml:space="preserve"> </w:t>
      </w:r>
      <w:r w:rsidRPr="0069043D">
        <w:rPr>
          <w:color w:val="000000" w:themeColor="text1"/>
          <w:sz w:val="12"/>
        </w:rPr>
        <w:t xml:space="preserve">Notwithstanding the merits of their projects, the authors in question have limited their critiques of Kant’s political thought to his moral and practical philosophies, or what is colloquially known as the “pure” segment of his work. Take Tobin Siebers’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Siebers’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in an effort to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69043D">
        <w:rPr>
          <w:rStyle w:val="Emphasis"/>
          <w:color w:val="000000" w:themeColor="text1"/>
          <w:highlight w:val="green"/>
        </w:rPr>
        <w:t>Kant’s approach to justice fails with respect to the intellectually disabled</w:t>
      </w:r>
      <w:r w:rsidRPr="0069043D">
        <w:rPr>
          <w:color w:val="000000" w:themeColor="text1"/>
          <w:sz w:val="12"/>
        </w:rPr>
        <w:t xml:space="preserve">, I intend to cast light on what I consider to be the margins of his moral philosophy and, as a result, delineate the limits of his political theory of justice. </w:t>
      </w:r>
      <w:r w:rsidRPr="0069043D">
        <w:rPr>
          <w:rStyle w:val="StyleUnderline"/>
          <w:color w:val="000000" w:themeColor="text1"/>
        </w:rPr>
        <w:t>This marginal space wherein the intellectually disabled are enclosed exemplifies</w:t>
      </w:r>
      <w:r w:rsidRPr="0069043D">
        <w:rPr>
          <w:color w:val="000000" w:themeColor="text1"/>
          <w:sz w:val="12"/>
        </w:rPr>
        <w:t xml:space="preserve"> what Uday Mehta (1999) describes as </w:t>
      </w:r>
      <w:r w:rsidRPr="0069043D">
        <w:rPr>
          <w:rStyle w:val="StyleUnderline"/>
          <w:color w:val="000000" w:themeColor="text1"/>
        </w:rPr>
        <w:t>the explicit exclusion of the unfamiliar, along with the erasure of their “sentiments, feelings, sense of location, and forms of life</w:t>
      </w:r>
      <w:r w:rsidRPr="0069043D">
        <w:rPr>
          <w:color w:val="000000" w:themeColor="text1"/>
          <w:sz w:val="12"/>
        </w:rPr>
        <w:t xml:space="preserve">” (1999: 20–1). Such occult “spaces” of exception are, in Mehta’s words, “places that when identified by the grid of Enlightenment rationality [become] only spots on a map or past points on the scale of civilizational progress, but not dwellings in which peoples lived and had deeply invested identities” (1999: 21).13 To the extent that it moves toward recasting the meaning of his theory of justice, </w:t>
      </w:r>
      <w:r w:rsidRPr="0069043D">
        <w:rPr>
          <w:rStyle w:val="StyleUnderline"/>
          <w:color w:val="000000" w:themeColor="text1"/>
        </w:rPr>
        <w:t>my interpretation of disability in Kant endeavors to reaffirm the political and conceptual significance of disability to the history of political thought and contemporary politicized identity.</w:t>
      </w:r>
      <w:r w:rsidRPr="0069043D">
        <w:rPr>
          <w:color w:val="000000" w:themeColor="text1"/>
          <w:sz w:val="12"/>
        </w:rP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rsidR="00415ACF" w:rsidRDefault="00415ACF" w:rsidP="00415ACF">
      <w:pPr>
        <w:rPr>
          <w:color w:val="000000" w:themeColor="text1"/>
          <w:sz w:val="14"/>
        </w:rPr>
      </w:pPr>
    </w:p>
    <w:p w:rsidR="00415ACF" w:rsidRPr="006948C8" w:rsidRDefault="00415ACF" w:rsidP="00415ACF">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415ACF" w:rsidRPr="006948C8" w:rsidRDefault="00415ACF" w:rsidP="00415ACF">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415ACF" w:rsidRPr="006948C8" w:rsidRDefault="00415ACF" w:rsidP="00415ACF">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415ACF" w:rsidRPr="006948C8" w:rsidRDefault="00415ACF" w:rsidP="00415ACF">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415ACF" w:rsidRPr="006948C8" w:rsidRDefault="00415ACF" w:rsidP="00415ACF">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415ACF" w:rsidRPr="006948C8" w:rsidRDefault="00415ACF" w:rsidP="00415ACF">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415ACF" w:rsidRPr="006948C8" w:rsidRDefault="00415ACF" w:rsidP="00415ACF">
      <w:pPr>
        <w:pStyle w:val="Heading4"/>
        <w:rPr>
          <w:rFonts w:cs="Calibri"/>
        </w:rPr>
      </w:pPr>
      <w:r w:rsidRPr="006948C8">
        <w:rPr>
          <w:rFonts w:cs="Calibri"/>
        </w:rPr>
        <w:t>Psychoanalysis is both falsifiable and accurate – studies prove.</w:t>
      </w:r>
    </w:p>
    <w:p w:rsidR="00415ACF" w:rsidRPr="006948C8" w:rsidRDefault="00415ACF" w:rsidP="00415ACF">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415ACF" w:rsidRDefault="00415ACF" w:rsidP="00415ACF">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415ACF" w:rsidRDefault="00415ACF" w:rsidP="00415ACF">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bookmarkEnd w:id="0"/>
    <w:bookmarkEnd w:id="1"/>
    <w:bookmarkEnd w:id="2"/>
    <w:bookmarkEnd w:id="3"/>
    <w:p w:rsidR="00E42E4C" w:rsidRDefault="00415ACF" w:rsidP="00415ACF">
      <w:pPr>
        <w:pStyle w:val="Heading2"/>
      </w:pPr>
      <w:r>
        <w:lastRenderedPageBreak/>
        <w:t>2</w:t>
      </w:r>
    </w:p>
    <w:p w:rsidR="00415ACF" w:rsidRPr="0069043D" w:rsidRDefault="00415ACF" w:rsidP="00415ACF">
      <w:pPr>
        <w:pStyle w:val="Heading4"/>
        <w:rPr>
          <w:rFonts w:cs="Calibri"/>
        </w:rPr>
      </w:pPr>
      <w:r w:rsidRPr="0069043D">
        <w:rPr>
          <w:rFonts w:cs="Calibri"/>
        </w:rPr>
        <w:t xml:space="preserve">Kantian philosophy is homophobic – this is not an ad hominem - this is a conclusion of his ethics and the formula of humanity. </w:t>
      </w:r>
    </w:p>
    <w:p w:rsidR="00415ACF" w:rsidRPr="0069043D" w:rsidRDefault="00415ACF" w:rsidP="00415ACF">
      <w:pPr>
        <w:pStyle w:val="FootnoteText"/>
        <w:rPr>
          <w:rFonts w:ascii="Calibri" w:hAnsi="Calibri"/>
          <w:sz w:val="16"/>
          <w:szCs w:val="16"/>
        </w:rPr>
      </w:pPr>
      <w:r w:rsidRPr="0069043D">
        <w:rPr>
          <w:rStyle w:val="Style13ptBold"/>
          <w:rFonts w:ascii="Calibri" w:hAnsi="Calibri"/>
        </w:rPr>
        <w:t>Soble 03 quotes Kant</w:t>
      </w:r>
      <w:r w:rsidRPr="0069043D">
        <w:rPr>
          <w:rFonts w:ascii="Calibri" w:hAnsi="Calibri"/>
        </w:rPr>
        <w:t xml:space="preserve"> [</w:t>
      </w:r>
      <w:r w:rsidRPr="0069043D">
        <w:rPr>
          <w:rFonts w:ascii="Calibri" w:hAnsi="Calibri"/>
          <w:sz w:val="16"/>
          <w:szCs w:val="16"/>
        </w:rPr>
        <w:t>Alan Soble, The Monist 86:1 (Jan. 2003), pp. 55-89. Kant and Sexual Perversion]</w:t>
      </w:r>
    </w:p>
    <w:p w:rsidR="00415ACF" w:rsidRPr="00673B39" w:rsidRDefault="00415ACF" w:rsidP="00415ACF">
      <w:pPr>
        <w:rPr>
          <w:b/>
          <w:sz w:val="14"/>
          <w:szCs w:val="26"/>
        </w:rPr>
      </w:pPr>
      <w:r w:rsidRPr="0069043D">
        <w:rPr>
          <w:b/>
          <w:sz w:val="14"/>
          <w:szCs w:val="26"/>
        </w:rPr>
        <w:t xml:space="preserve">: </w:t>
      </w:r>
      <w:r w:rsidRPr="0069043D">
        <w:rPr>
          <w:rStyle w:val="StyleUnderline"/>
          <w:sz w:val="26"/>
          <w:szCs w:val="26"/>
        </w:rPr>
        <w:t>Kant</w:t>
      </w:r>
      <w:r w:rsidRPr="0069043D">
        <w:rPr>
          <w:sz w:val="14"/>
          <w:szCs w:val="26"/>
        </w:rPr>
        <w:t xml:space="preserve"> immediately </w:t>
      </w:r>
      <w:r w:rsidRPr="0069043D">
        <w:rPr>
          <w:rStyle w:val="StyleUnderline"/>
          <w:sz w:val="26"/>
          <w:szCs w:val="26"/>
        </w:rPr>
        <w:t>continues by completing his sparse inventory of three objectionable, sexually unnatural, practices</w:t>
      </w:r>
      <w:r w:rsidRPr="0069043D">
        <w:rPr>
          <w:sz w:val="14"/>
          <w:szCs w:val="26"/>
        </w:rPr>
        <w:t xml:space="preserve"> [quote begins here] “A second crimen carnis contra naturam is </w:t>
      </w:r>
      <w:r w:rsidRPr="0069043D">
        <w:rPr>
          <w:rStyle w:val="StyleUnderline"/>
          <w:sz w:val="26"/>
          <w:szCs w:val="26"/>
        </w:rPr>
        <w:t>intercourse</w:t>
      </w:r>
      <w:r w:rsidRPr="0069043D">
        <w:rPr>
          <w:sz w:val="14"/>
          <w:szCs w:val="26"/>
        </w:rPr>
        <w:t xml:space="preserve"> between sexus homogenii, </w:t>
      </w:r>
      <w:r w:rsidRPr="0069043D">
        <w:rPr>
          <w:rStyle w:val="StyleUnderline"/>
          <w:sz w:val="26"/>
          <w:szCs w:val="26"/>
        </w:rPr>
        <w:t>in which the object of sexual impulse is a human being but there is homogeneity instead of heterogeneity of sex</w:t>
      </w:r>
      <w:r w:rsidRPr="0069043D">
        <w:rPr>
          <w:sz w:val="14"/>
          <w:szCs w:val="26"/>
        </w:rPr>
        <w:t xml:space="preserve">. . . . </w:t>
      </w:r>
      <w:r w:rsidRPr="0069043D">
        <w:rPr>
          <w:rStyle w:val="StyleUnderline"/>
          <w:sz w:val="26"/>
          <w:szCs w:val="26"/>
        </w:rPr>
        <w:t>This practice</w:t>
      </w:r>
      <w:r w:rsidRPr="0069043D">
        <w:rPr>
          <w:sz w:val="14"/>
          <w:szCs w:val="26"/>
        </w:rPr>
        <w:t xml:space="preserve"> too </w:t>
      </w:r>
      <w:r w:rsidRPr="0069043D">
        <w:rPr>
          <w:rStyle w:val="StyleUnderline"/>
          <w:sz w:val="26"/>
          <w:szCs w:val="26"/>
        </w:rPr>
        <w:t>is contrary to the ends of humanity</w:t>
      </w:r>
      <w:r w:rsidRPr="0069043D">
        <w:rPr>
          <w:sz w:val="14"/>
          <w:szCs w:val="26"/>
        </w:rPr>
        <w:t xml:space="preserve">; for the end of humanity in respect of sexuality is to preserve the species without debasing the person; but in this instance the species is not being preserved (as it can be by a crimen carnis secundum naturam), but </w:t>
      </w:r>
      <w:r w:rsidRPr="0069043D">
        <w:rPr>
          <w:rStyle w:val="StyleUnderline"/>
          <w:sz w:val="26"/>
          <w:szCs w:val="26"/>
        </w:rPr>
        <w:t>the person is set aside, the self is degraded below the level of the animals, and humanity is dishonoured</w:t>
      </w:r>
      <w:r w:rsidRPr="0069043D">
        <w:rPr>
          <w:sz w:val="14"/>
          <w:szCs w:val="26"/>
        </w:rPr>
        <w:t>. The third crimen carnis contra naturam occurs when the object of the desire is in fact of the opposite sex but is not human. Such is sodomy, or intercourse with animals. This, too, is contrary to the ends of humanity and against our natural instinct. It degrades mankind below the level of animals, for no animal turns in this way from its own species.75</w:t>
      </w:r>
    </w:p>
    <w:p w:rsidR="00415ACF" w:rsidRPr="009F06C3" w:rsidRDefault="00415ACF" w:rsidP="00415ACF">
      <w:pPr>
        <w:pStyle w:val="Heading4"/>
        <w:rPr>
          <w:rFonts w:cs="Calibri"/>
        </w:rPr>
      </w:pPr>
      <w:r w:rsidRPr="0069043D">
        <w:rPr>
          <w:rFonts w:cs="Calibri"/>
        </w:rPr>
        <w:t xml:space="preserve">Reps matter – </w:t>
      </w:r>
      <w:r>
        <w:rPr>
          <w:rFonts w:cs="Calibri"/>
        </w:rPr>
        <w:t>that’s a prerequisite</w:t>
      </w:r>
      <w:r w:rsidRPr="0069043D">
        <w:rPr>
          <w:rFonts w:cs="Calibri"/>
        </w:rPr>
        <w:t xml:space="preserve"> to evaluating</w:t>
      </w:r>
      <w:r>
        <w:rPr>
          <w:rFonts w:cs="Calibri"/>
        </w:rPr>
        <w:t xml:space="preserve"> their</w:t>
      </w:r>
      <w:r w:rsidRPr="0069043D">
        <w:rPr>
          <w:rFonts w:cs="Calibri"/>
        </w:rPr>
        <w:t xml:space="preserve"> framework</w:t>
      </w:r>
      <w:r>
        <w:rPr>
          <w:rFonts w:cs="Calibri"/>
        </w:rPr>
        <w:t xml:space="preserve"> which outweighs since they kill accessibility – comes first since without accessibility we can’t debate.</w:t>
      </w:r>
    </w:p>
    <w:p w:rsidR="00415ACF" w:rsidRDefault="00415ACF" w:rsidP="00415ACF"/>
    <w:p w:rsidR="00F3216E" w:rsidRPr="00F3216E" w:rsidRDefault="00F3216E" w:rsidP="00F3216E">
      <w:bookmarkStart w:id="4" w:name="_GoBack"/>
      <w:bookmarkEnd w:id="4"/>
    </w:p>
    <w:p w:rsidR="00415ACF" w:rsidRPr="00F601E6" w:rsidRDefault="00415ACF" w:rsidP="00F601E6"/>
    <w:sectPr w:rsidR="00415AC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2D6F30"/>
    <w:multiLevelType w:val="hybridMultilevel"/>
    <w:tmpl w:val="79DA3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5A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436"/>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AC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2CA"/>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D6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64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CC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35C"/>
    <w:rsid w:val="00D01EDC"/>
    <w:rsid w:val="00D078AA"/>
    <w:rsid w:val="00D10058"/>
    <w:rsid w:val="00D11978"/>
    <w:rsid w:val="00D13F2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F49"/>
    <w:rsid w:val="00EF7794"/>
    <w:rsid w:val="00F02046"/>
    <w:rsid w:val="00F053D8"/>
    <w:rsid w:val="00F07888"/>
    <w:rsid w:val="00F1313D"/>
    <w:rsid w:val="00F201E7"/>
    <w:rsid w:val="00F204E0"/>
    <w:rsid w:val="00F20B16"/>
    <w:rsid w:val="00F21C79"/>
    <w:rsid w:val="00F238C9"/>
    <w:rsid w:val="00F23CA5"/>
    <w:rsid w:val="00F277AA"/>
    <w:rsid w:val="00F31955"/>
    <w:rsid w:val="00F3216E"/>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EDA32C2-35DD-EF4E-AF3E-9DE19E52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A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5A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5A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5A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415A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5A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ACF"/>
  </w:style>
  <w:style w:type="character" w:customStyle="1" w:styleId="Heading1Char">
    <w:name w:val="Heading 1 Char"/>
    <w:aliases w:val="Pocket Char"/>
    <w:basedOn w:val="DefaultParagraphFont"/>
    <w:link w:val="Heading1"/>
    <w:uiPriority w:val="9"/>
    <w:rsid w:val="00415A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5A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5AC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15A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5ACF"/>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415AC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415A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5AC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15ACF"/>
    <w:rPr>
      <w:color w:val="auto"/>
      <w:u w:val="none"/>
    </w:rPr>
  </w:style>
  <w:style w:type="paragraph" w:styleId="DocumentMap">
    <w:name w:val="Document Map"/>
    <w:basedOn w:val="Normal"/>
    <w:link w:val="DocumentMapChar"/>
    <w:uiPriority w:val="99"/>
    <w:semiHidden/>
    <w:unhideWhenUsed/>
    <w:rsid w:val="00415A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5ACF"/>
    <w:rPr>
      <w:rFonts w:ascii="Lucida Grande" w:hAnsi="Lucida Grande" w:cs="Lucida Grande"/>
    </w:rPr>
  </w:style>
  <w:style w:type="paragraph" w:customStyle="1" w:styleId="textbold">
    <w:name w:val="text bold"/>
    <w:basedOn w:val="Normal"/>
    <w:link w:val="Emphasis"/>
    <w:uiPriority w:val="20"/>
    <w:qFormat/>
    <w:rsid w:val="00415ACF"/>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415AC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rsid w:val="00415ACF"/>
    <w:rPr>
      <w:rFonts w:ascii="Times New Roman" w:hAnsi="Times New Roman"/>
      <w:sz w:val="20"/>
      <w:szCs w:val="20"/>
    </w:rPr>
  </w:style>
  <w:style w:type="character" w:customStyle="1" w:styleId="FootnoteTextChar">
    <w:name w:val="Footnote Text Char"/>
    <w:basedOn w:val="DefaultParagraphFont"/>
    <w:link w:val="FootnoteText"/>
    <w:uiPriority w:val="99"/>
    <w:rsid w:val="00415ACF"/>
    <w:rPr>
      <w:rFonts w:ascii="Times New Roman" w:hAnsi="Times New Roman"/>
      <w:sz w:val="20"/>
      <w:szCs w:val="20"/>
    </w:rPr>
  </w:style>
  <w:style w:type="character" w:customStyle="1" w:styleId="LDCut">
    <w:name w:val="LD Cut"/>
    <w:basedOn w:val="DefaultParagraphFont"/>
    <w:uiPriority w:val="1"/>
    <w:qFormat/>
    <w:rsid w:val="00F3216E"/>
    <w:rPr>
      <w:rFonts w:ascii="Times New Roman" w:hAnsi="Times New Roman"/>
      <w:b w:val="0"/>
      <w:color w:val="auto"/>
      <w:sz w:val="12"/>
    </w:rPr>
  </w:style>
  <w:style w:type="character" w:customStyle="1" w:styleId="LDUnderline">
    <w:name w:val="LD Underline"/>
    <w:basedOn w:val="DefaultParagraphFont"/>
    <w:uiPriority w:val="1"/>
    <w:qFormat/>
    <w:rsid w:val="00F3216E"/>
    <w:rPr>
      <w:rFonts w:ascii="Times New Roman" w:hAnsi="Times New Roman" w:cs="Times New Roman"/>
      <w:b/>
      <w:color w:val="auto"/>
      <w:sz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C5CCE"/>
    <w:rPr>
      <w:sz w:val="22"/>
      <w:u w:val="single"/>
    </w:rPr>
  </w:style>
  <w:style w:type="paragraph" w:styleId="ListParagraph">
    <w:name w:val="List Paragraph"/>
    <w:basedOn w:val="Normal"/>
    <w:uiPriority w:val="34"/>
    <w:qFormat/>
    <w:rsid w:val="00627D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B71A59-A839-A54E-967B-0E2422E57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18</Pages>
  <Words>9248</Words>
  <Characters>52715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8</cp:revision>
  <dcterms:created xsi:type="dcterms:W3CDTF">2021-09-26T17:02:00Z</dcterms:created>
  <dcterms:modified xsi:type="dcterms:W3CDTF">2021-09-26T18:58:00Z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