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3AA4" w:rsidRDefault="00E43AA4" w:rsidP="00E43AA4">
      <w:pPr>
        <w:pStyle w:val="Heading1"/>
      </w:pPr>
      <w:r>
        <w:t>Negate</w:t>
      </w:r>
    </w:p>
    <w:p w:rsidR="00F65876" w:rsidRDefault="00F65876" w:rsidP="00F65876">
      <w:pPr>
        <w:pStyle w:val="Heading2"/>
      </w:pPr>
      <w:r>
        <w:lastRenderedPageBreak/>
        <w:t>1</w:t>
      </w:r>
    </w:p>
    <w:p w:rsidR="00F65876" w:rsidRDefault="00F65876" w:rsidP="00F65876">
      <w:pPr>
        <w:pStyle w:val="Heading4"/>
        <w:rPr>
          <w:rFonts w:cs="Calibri"/>
          <w:color w:val="000000" w:themeColor="text1"/>
        </w:rPr>
      </w:pPr>
      <w:bookmarkStart w:id="0" w:name="OLE_LINK1"/>
      <w:bookmarkStart w:id="1"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6561C6" w:rsidRPr="006561C6" w:rsidRDefault="006561C6" w:rsidP="006561C6"/>
    <w:p w:rsidR="00F65876" w:rsidRPr="006948C8" w:rsidRDefault="00F65876" w:rsidP="00F65876">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F65876" w:rsidRDefault="00F65876" w:rsidP="00F65876">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lastRenderedPageBreak/>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 xml:space="preserve">If sadism and masochism are ultimately indistinguishable obverses of each other, then pity, in both its </w:t>
      </w:r>
      <w:r w:rsidRPr="006948C8">
        <w:rPr>
          <w:rStyle w:val="Emphasis"/>
          <w:color w:val="000000" w:themeColor="text1"/>
        </w:rPr>
        <w:lastRenderedPageBreak/>
        <w:t>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6561C6" w:rsidRDefault="006561C6" w:rsidP="00CD0C8C">
      <w:pPr>
        <w:pStyle w:val="Heading4"/>
        <w:rPr>
          <w:rFonts w:cs="Calibri"/>
        </w:rPr>
      </w:pPr>
    </w:p>
    <w:p w:rsidR="00CD0C8C" w:rsidRDefault="00CD0C8C" w:rsidP="00CD0C8C">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6561C6" w:rsidRPr="006561C6" w:rsidRDefault="006561C6" w:rsidP="006561C6"/>
    <w:p w:rsidR="00CD0C8C" w:rsidRPr="006948C8" w:rsidRDefault="00CD0C8C" w:rsidP="00CD0C8C">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Vankerk 2002) SJCP//JG</w:t>
      </w:r>
    </w:p>
    <w:p w:rsidR="00CD0C8C" w:rsidRPr="00CD0C8C" w:rsidRDefault="00CD0C8C" w:rsidP="00CD0C8C">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6948C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6948C8">
        <w:rPr>
          <w:rStyle w:val="Emphasis"/>
          <w:highlight w:val="green"/>
        </w:rPr>
        <w:t>structured in turn by</w:t>
      </w:r>
      <w:r w:rsidRPr="006948C8">
        <w:rPr>
          <w:rStyle w:val="Emphasis"/>
        </w:rPr>
        <w:t xml:space="preserve"> the </w:t>
      </w:r>
      <w:r w:rsidRPr="006948C8">
        <w:rPr>
          <w:rStyle w:val="Emphasis"/>
          <w:highlight w:val="green"/>
        </w:rPr>
        <w:t>symbolic systems that determine</w:t>
      </w:r>
      <w:r w:rsidRPr="006948C8">
        <w:rPr>
          <w:rStyle w:val="Emphasis"/>
        </w:rPr>
        <w:t xml:space="preserve"> </w:t>
      </w:r>
      <w:r w:rsidRPr="006948C8">
        <w:rPr>
          <w:rStyle w:val="Emphasis"/>
          <w:highlight w:val="green"/>
        </w:rPr>
        <w:t>us</w:t>
      </w:r>
      <w:r w:rsidRPr="006948C8">
        <w:rPr>
          <w:sz w:val="14"/>
        </w:rPr>
        <w:t xml:space="preserve"> (for example, in articulating the difference between man and wom[x]n). At the very least, then, </w:t>
      </w:r>
      <w:r w:rsidRPr="006948C8">
        <w:rPr>
          <w:rStyle w:val="Emphasis"/>
        </w:rPr>
        <w:t xml:space="preserve">the </w:t>
      </w:r>
      <w:r w:rsidRPr="006948C8">
        <w:rPr>
          <w:rStyle w:val="Emphasis"/>
          <w:highlight w:val="green"/>
        </w:rPr>
        <w:t>opposition between language and</w:t>
      </w:r>
      <w:r w:rsidRPr="006948C8">
        <w:rPr>
          <w:rStyle w:val="Emphasis"/>
        </w:rPr>
        <w:t xml:space="preserve"> the thing </w:t>
      </w:r>
      <w:r w:rsidRPr="006948C8">
        <w:rPr>
          <w:rStyle w:val="Emphasis"/>
          <w:highlight w:val="green"/>
        </w:rPr>
        <w:t>about which it speaks</w:t>
      </w:r>
      <w:r w:rsidRPr="006948C8">
        <w:rPr>
          <w:rStyle w:val="Emphasis"/>
        </w:rPr>
        <w:t xml:space="preserve"> is </w:t>
      </w:r>
      <w:r w:rsidRPr="006948C8">
        <w:rPr>
          <w:rStyle w:val="Emphasis"/>
          <w:highlight w:val="green"/>
        </w:rPr>
        <w:t>more complex</w:t>
      </w:r>
      <w:r w:rsidRPr="006948C8">
        <w:rPr>
          <w:rStyle w:val="Emphasis"/>
        </w:rPr>
        <w:t xml:space="preserve"> than we suggested above</w:t>
      </w:r>
      <w:r w:rsidRPr="006948C8">
        <w:rPr>
          <w:sz w:val="14"/>
        </w:rPr>
        <w:t xml:space="preserve">, and than Freud sometimes seems to think. </w:t>
      </w:r>
      <w:r w:rsidRPr="006948C8">
        <w:rPr>
          <w:rStyle w:val="Emphasis"/>
        </w:rPr>
        <w:t xml:space="preserve">The world about which we speak and in which we live is no “brute” reality; it is itself already </w:t>
      </w:r>
      <w:r w:rsidRPr="006948C8">
        <w:rPr>
          <w:rStyle w:val="Emphasis"/>
        </w:rPr>
        <w:lastRenderedPageBreak/>
        <w:t>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6948C8">
        <w:rPr>
          <w:rStyle w:val="Emphasis"/>
          <w:highlight w:val="green"/>
        </w:rPr>
        <w:t>signiﬁer actively institutes meaning</w:t>
      </w:r>
      <w:r w:rsidRPr="006948C8">
        <w:rPr>
          <w:sz w:val="14"/>
        </w:rPr>
        <w:t xml:space="preserve">. </w:t>
      </w:r>
      <w:r w:rsidRPr="006948C8">
        <w:rPr>
          <w:rStyle w:val="Emphasis"/>
          <w:highlight w:val="green"/>
        </w:rPr>
        <w:t>Language</w:t>
      </w:r>
      <w:r w:rsidRPr="006948C8">
        <w:rPr>
          <w:rStyle w:val="Emphasis"/>
        </w:rPr>
        <w:t xml:space="preserve"> does </w:t>
      </w:r>
      <w:r w:rsidRPr="006948C8">
        <w:rPr>
          <w:rStyle w:val="Emphasis"/>
          <w:highlight w:val="green"/>
        </w:rPr>
        <w:t>not</w:t>
      </w:r>
      <w:r w:rsidRPr="006948C8">
        <w:rPr>
          <w:rStyle w:val="Emphasis"/>
        </w:rPr>
        <w:t xml:space="preserve"> simply </w:t>
      </w:r>
      <w:r w:rsidRPr="006948C8">
        <w:rPr>
          <w:rStyle w:val="Emphasis"/>
          <w:highlight w:val="green"/>
        </w:rPr>
        <w:t>reflect reality</w:t>
      </w:r>
      <w:r w:rsidRPr="006948C8">
        <w:rPr>
          <w:rStyle w:val="Emphasis"/>
        </w:rPr>
        <w:t xml:space="preserve">; it is not the </w:t>
      </w:r>
      <w:r w:rsidRPr="006948C8">
        <w:rPr>
          <w:rStyle w:val="Emphasis"/>
          <w:highlight w:val="green"/>
        </w:rPr>
        <w:t>expression of</w:t>
      </w:r>
      <w:r w:rsidRPr="006948C8">
        <w:rPr>
          <w:rStyle w:val="Emphasis"/>
        </w:rPr>
        <w:t xml:space="preserve"> a </w:t>
      </w:r>
      <w:r w:rsidRPr="006948C8">
        <w:rPr>
          <w:rStyle w:val="Emphasis"/>
          <w:highlight w:val="green"/>
        </w:rPr>
        <w:t>previously given order</w:t>
      </w:r>
      <w:r w:rsidRPr="006948C8">
        <w:rPr>
          <w:sz w:val="14"/>
        </w:rPr>
        <w:t xml:space="preserve">. The 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In other words, they </w:t>
      </w:r>
      <w:r w:rsidRPr="006948C8">
        <w:rPr>
          <w:rStyle w:val="Emphasis"/>
          <w:highlight w:val="green"/>
        </w:rPr>
        <w:t>signify</w:t>
      </w:r>
      <w:r w:rsidRPr="006948C8">
        <w:rPr>
          <w:rStyle w:val="Emphasis"/>
        </w:rPr>
        <w:t xml:space="preserve"> primarily </w:t>
      </w:r>
      <w:r w:rsidRPr="006948C8">
        <w:rPr>
          <w:rStyle w:val="Emphasis"/>
          <w:highlight w:val="green"/>
        </w:rPr>
        <w:t>on</w:t>
      </w:r>
      <w:r w:rsidRPr="006948C8">
        <w:rPr>
          <w:rStyle w:val="Emphasis"/>
        </w:rPr>
        <w:t xml:space="preserve"> the </w:t>
      </w:r>
      <w:r w:rsidRPr="006948C8">
        <w:rPr>
          <w:rStyle w:val="Emphasis"/>
          <w:highlight w:val="green"/>
        </w:rPr>
        <w:t>basis of</w:t>
      </w:r>
      <w:r w:rsidRPr="006948C8">
        <w:rPr>
          <w:rStyle w:val="Emphasis"/>
        </w:rPr>
        <w:t xml:space="preserve"> their </w:t>
      </w:r>
      <w:r w:rsidRPr="006948C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“wom[x]n.” It is clear that </w:t>
      </w:r>
      <w:r w:rsidRPr="006948C8">
        <w:rPr>
          <w:rStyle w:val="Emphasis"/>
        </w:rPr>
        <w:t>the signiﬁer “</w:t>
      </w:r>
      <w:r w:rsidRPr="006948C8">
        <w:rPr>
          <w:rStyle w:val="Emphasis"/>
          <w:highlight w:val="green"/>
        </w:rPr>
        <w:t>man</w:t>
      </w:r>
      <w:r w:rsidRPr="006948C8">
        <w:rPr>
          <w:rStyle w:val="Emphasis"/>
        </w:rPr>
        <w:t xml:space="preserve">” only </w:t>
      </w:r>
      <w:r w:rsidRPr="006948C8">
        <w:rPr>
          <w:rStyle w:val="Emphasis"/>
          <w:highlight w:val="green"/>
        </w:rPr>
        <w:t>has meaning</w:t>
      </w:r>
      <w:r w:rsidRPr="006948C8">
        <w:rPr>
          <w:rStyle w:val="Emphasis"/>
        </w:rPr>
        <w:t xml:space="preserve"> as </w:t>
      </w:r>
      <w:r w:rsidRPr="006948C8">
        <w:rPr>
          <w:rStyle w:val="Emphasis"/>
          <w:highlight w:val="green"/>
        </w:rPr>
        <w:t>opposed to</w:t>
      </w:r>
      <w:r w:rsidRPr="006948C8">
        <w:rPr>
          <w:rStyle w:val="Emphasis"/>
        </w:rPr>
        <w:t xml:space="preserve"> the signiﬁer “</w:t>
      </w:r>
      <w:r w:rsidRPr="006948C8">
        <w:rPr>
          <w:rStyle w:val="Emphasis"/>
          <w:highlight w:val="green"/>
        </w:rPr>
        <w:t>wom[x]n</w:t>
      </w:r>
      <w:r w:rsidRPr="006948C8">
        <w:rPr>
          <w:rStyle w:val="Emphasis"/>
        </w:rPr>
        <w:t xml:space="preserve">”—for what could “man” mean without “wom[x]n”? The signifiers “man” and “wom[x]n” receive further meaning from a complex network of references in which signifiers such as “human,” “animal.” and “plant,” for example, hold a central place. The </w:t>
      </w:r>
      <w:r w:rsidRPr="006948C8">
        <w:rPr>
          <w:rStyle w:val="Emphasis"/>
          <w:highlight w:val="green"/>
        </w:rPr>
        <w:t>meaning of a signifier</w:t>
      </w:r>
      <w:r w:rsidRPr="006948C8">
        <w:rPr>
          <w:rStyle w:val="Emphasis"/>
        </w:rPr>
        <w:t xml:space="preserve"> is in the first place </w:t>
      </w:r>
      <w:r w:rsidRPr="006948C8">
        <w:rPr>
          <w:rStyle w:val="Emphasis"/>
          <w:highlight w:val="green"/>
        </w:rPr>
        <w:t>dependent upon the linguistic context</w:t>
      </w:r>
      <w:r w:rsidRPr="006948C8">
        <w:rPr>
          <w:rStyle w:val="Emphasis"/>
        </w:rPr>
        <w:t xml:space="preserve"> of which it is a part. Moreover, the fact that a signiﬁer only receives meaning from a complex network of signitive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securities&amp;quot;).9 </w:t>
      </w:r>
      <w:r w:rsidRPr="006948C8">
        <w:rPr>
          <w:rStyle w:val="Emphasis"/>
        </w:rPr>
        <w:t xml:space="preserve">Just as the </w:t>
      </w:r>
      <w:r w:rsidRPr="006948C8">
        <w:rPr>
          <w:rStyle w:val="Emphasis"/>
          <w:highlight w:val="green"/>
        </w:rPr>
        <w:t>associative context</w:t>
      </w:r>
      <w:r w:rsidRPr="006948C8">
        <w:rPr>
          <w:rStyle w:val="Emphasis"/>
        </w:rPr>
        <w:t xml:space="preserve"> </w:t>
      </w:r>
      <w:r w:rsidRPr="006948C8">
        <w:rPr>
          <w:rStyle w:val="Emphasis"/>
          <w:highlight w:val="green"/>
        </w:rPr>
        <w:t>determined</w:t>
      </w:r>
      <w:r w:rsidRPr="006948C8">
        <w:rPr>
          <w:rStyle w:val="Emphasis"/>
        </w:rPr>
        <w:t xml:space="preserve"> the </w:t>
      </w:r>
      <w:r w:rsidRPr="006948C8">
        <w:rPr>
          <w:rStyle w:val="Emphasis"/>
          <w:highlight w:val="green"/>
        </w:rPr>
        <w:t>meaning of the signifier</w:t>
      </w:r>
      <w:r w:rsidRPr="006948C8">
        <w:rPr>
          <w:sz w:val="14"/>
        </w:rPr>
        <w:t xml:space="preserve"> mer/mere (“sea”/“mother&amp;quot;) in the first example, so here </w:t>
      </w:r>
      <w:r w:rsidRPr="006948C8">
        <w:rPr>
          <w:rStyle w:val="Emphasis"/>
        </w:rPr>
        <w:t xml:space="preserve">the meaning of the signiﬁer “title” changes depending on whether it is to be understood in an academic context or an economic one. The </w:t>
      </w:r>
      <w:r w:rsidRPr="006948C8">
        <w:rPr>
          <w:rStyle w:val="Emphasis"/>
          <w:highlight w:val="green"/>
        </w:rPr>
        <w:t>production of meaning</w:t>
      </w:r>
      <w:r w:rsidRPr="006948C8">
        <w:rPr>
          <w:rStyle w:val="Emphasis"/>
        </w:rPr>
        <w:t xml:space="preserve"> is thus in principle a process that </w:t>
      </w:r>
      <w:r w:rsidRPr="006948C8">
        <w:rPr>
          <w:rStyle w:val="Emphasis"/>
          <w:highlight w:val="green"/>
        </w:rPr>
        <w:t>cannot be closed off</w:t>
      </w:r>
      <w:r w:rsidRPr="006948C8">
        <w:rPr>
          <w:rStyle w:val="Emphasis"/>
        </w:rPr>
        <w:t xml:space="preserve">. There is </w:t>
      </w:r>
      <w:r w:rsidRPr="006948C8">
        <w:rPr>
          <w:rStyle w:val="Emphasis"/>
          <w:highlight w:val="green"/>
        </w:rPr>
        <w:t>no ultimate context that could</w:t>
      </w:r>
      <w:r w:rsidRPr="006948C8">
        <w:rPr>
          <w:rStyle w:val="Emphasis"/>
        </w:rPr>
        <w:t xml:space="preserve">, as it were, embrace all contexts and so </w:t>
      </w:r>
      <w:r w:rsidRPr="006948C8">
        <w:rPr>
          <w:rStyle w:val="Emphasis"/>
          <w:highlight w:val="green"/>
        </w:rPr>
        <w:t>bring</w:t>
      </w:r>
      <w:r w:rsidRPr="006948C8">
        <w:rPr>
          <w:rStyle w:val="Emphasis"/>
        </w:rPr>
        <w:t xml:space="preserve"> the </w:t>
      </w:r>
      <w:r w:rsidRPr="006948C8">
        <w:rPr>
          <w:rStyle w:val="Emphasis"/>
          <w:highlight w:val="green"/>
        </w:rPr>
        <w:t>production of meaning to</w:t>
      </w:r>
      <w:r w:rsidRPr="006948C8">
        <w:rPr>
          <w:rStyle w:val="Emphasis"/>
        </w:rPr>
        <w:t xml:space="preserve"> </w:t>
      </w:r>
      <w:r w:rsidRPr="006948C8">
        <w:rPr>
          <w:rStyle w:val="Emphasis"/>
          <w:highlight w:val="green"/>
        </w:rPr>
        <w:t>completion</w:t>
      </w:r>
      <w:r w:rsidRPr="006948C8">
        <w:rPr>
          <w:rStyle w:val="Emphasis"/>
        </w:rPr>
        <w:t>.</w:t>
      </w:r>
    </w:p>
    <w:p w:rsidR="006561C6" w:rsidRDefault="006561C6" w:rsidP="00971BC2">
      <w:pPr>
        <w:pStyle w:val="Heading4"/>
        <w:rPr>
          <w:rFonts w:cs="Calibri"/>
        </w:rPr>
      </w:pPr>
    </w:p>
    <w:p w:rsidR="00971BC2" w:rsidRDefault="00971BC2" w:rsidP="00971BC2">
      <w:pPr>
        <w:pStyle w:val="Heading4"/>
        <w:rPr>
          <w:rFonts w:cs="Calibri"/>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rsidR="006561C6" w:rsidRPr="006561C6" w:rsidRDefault="006561C6" w:rsidP="006561C6">
      <w:pPr>
        <w:rPr>
          <w:highlight w:val="green"/>
        </w:rPr>
      </w:pPr>
    </w:p>
    <w:p w:rsidR="00971BC2" w:rsidRPr="00A461B5" w:rsidRDefault="00971BC2" w:rsidP="00971BC2">
      <w:pPr>
        <w:rPr>
          <w:bCs/>
          <w:sz w:val="26"/>
          <w:u w:val="single"/>
        </w:rPr>
      </w:pPr>
      <w:r w:rsidRPr="006948C8">
        <w:rPr>
          <w:rStyle w:val="Style13ptBold"/>
        </w:rPr>
        <w:t xml:space="preserve">Siebers 6 </w:t>
      </w:r>
      <w:r w:rsidRPr="00A461B5">
        <w:rPr>
          <w:bCs/>
          <w:sz w:val="16"/>
        </w:rPr>
        <w:t>(Tobin, Prof of Literary and Cultural Criticism at the U of Michigan, “Disability Studies and the Future of Identity Politics”) DR 16</w:t>
      </w:r>
    </w:p>
    <w:p w:rsidR="00971BC2" w:rsidRPr="00971BC2" w:rsidRDefault="00971BC2" w:rsidP="00F65876">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xml:space="preserve">. Deafness was not, for instance, a disability on Martha’s Vineyard for most of the eighteenth century because 1 in 25 residents was deaf and everyone in the </w:t>
      </w:r>
      <w:r w:rsidRPr="00A461B5">
        <w:rPr>
          <w:b/>
          <w:sz w:val="26"/>
          <w:szCs w:val="26"/>
          <w:u w:val="single"/>
        </w:rPr>
        <w:lastRenderedPageBreak/>
        <w:t>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“indeterminancy”</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disability are immaterial as long as the imagination is free</w:t>
      </w:r>
      <w:r w:rsidRPr="00A461B5">
        <w:rPr>
          <w:b/>
          <w:sz w:val="26"/>
          <w:szCs w:val="26"/>
          <w:u w:val="single"/>
        </w:rPr>
        <w:t>. Doctors and medical professionals have the habit of coaxing sick people to cure 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rsidR="006561C6" w:rsidRDefault="006561C6" w:rsidP="00F65876">
      <w:pPr>
        <w:pStyle w:val="Heading4"/>
        <w:rPr>
          <w:rFonts w:cs="Calibri"/>
          <w:color w:val="000000" w:themeColor="text1"/>
        </w:rPr>
      </w:pPr>
    </w:p>
    <w:p w:rsidR="00F65876" w:rsidRDefault="00F65876" w:rsidP="00F65876">
      <w:pPr>
        <w:pStyle w:val="Heading4"/>
        <w:rPr>
          <w:rFonts w:cs="Calibri"/>
        </w:rPr>
      </w:pPr>
      <w:r w:rsidRPr="006948C8">
        <w:rPr>
          <w:rFonts w:cs="Calibri"/>
          <w:color w:val="000000" w:themeColor="text1"/>
        </w:rPr>
        <w:t xml:space="preserve">The affirmative’s politics are tied to a rehabilitative futurism where the signifier of the fantasmatic child is placed forward to eradicate and cure disability </w:t>
      </w:r>
      <w:r w:rsidR="00FB78F0">
        <w:rPr>
          <w:rFonts w:cs="Calibri"/>
          <w:color w:val="000000" w:themeColor="text1"/>
        </w:rPr>
        <w:t xml:space="preserve">- </w:t>
      </w:r>
      <w:r w:rsidR="00FB78F0">
        <w:t>Their necessitation of shifting out of this technological existence</w:t>
      </w:r>
      <w:r w:rsidR="00C8294D">
        <w:t xml:space="preserve"> and repurpose technology</w:t>
      </w:r>
      <w:r w:rsidR="00FB78F0">
        <w:t xml:space="preserve"> is what inevitably create ableist violence</w:t>
      </w:r>
      <w:r w:rsidR="00FB78F0" w:rsidRPr="005F25D3">
        <w:t xml:space="preserve"> </w:t>
      </w:r>
      <w:r w:rsidRPr="006948C8">
        <w:rPr>
          <w:rFonts w:cs="Calibri"/>
          <w:color w:val="000000" w:themeColor="text1"/>
        </w:rPr>
        <w:t>–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6561C6" w:rsidRPr="006561C6" w:rsidRDefault="006561C6" w:rsidP="006561C6"/>
    <w:p w:rsidR="00F65876" w:rsidRPr="006948C8" w:rsidRDefault="00F65876" w:rsidP="00F65876">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F65876" w:rsidRDefault="00F65876" w:rsidP="00F65876">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6561C6" w:rsidRDefault="006561C6" w:rsidP="00F65876">
      <w:pPr>
        <w:pStyle w:val="Heading4"/>
        <w:rPr>
          <w:rFonts w:cs="Calibri"/>
        </w:rPr>
      </w:pPr>
    </w:p>
    <w:p w:rsidR="00F65876" w:rsidRDefault="00F65876" w:rsidP="00F65876">
      <w:pPr>
        <w:pStyle w:val="Heading4"/>
        <w:rPr>
          <w:rFonts w:cs="Calibri"/>
        </w:rPr>
      </w:pPr>
      <w:r w:rsidRPr="006948C8">
        <w:rPr>
          <w:rFonts w:cs="Calibri"/>
        </w:rPr>
        <w:t xml:space="preserve">The starting point of the 1AC is epistemically flawed and an independent link – fiat is illusory and anything that doesn’t begin from the question of disability allows for ableism to infiltrate modes of thought which means we’re an epistemic prerequisite. </w:t>
      </w:r>
      <w:r w:rsidR="00A47749" w:rsidRPr="006948C8">
        <w:rPr>
          <w:rFonts w:cs="Calibri"/>
        </w:rPr>
        <w:t>Thus, the role of the ballot is to vote for the debater who best methodologically challenges ableism.</w:t>
      </w:r>
    </w:p>
    <w:p w:rsidR="006561C6" w:rsidRPr="006561C6" w:rsidRDefault="006561C6" w:rsidP="006561C6"/>
    <w:p w:rsidR="00F65876" w:rsidRPr="006948C8" w:rsidRDefault="00F65876" w:rsidP="00F65876">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w:t>
      </w:r>
      <w:r w:rsidRPr="006948C8">
        <w:rPr>
          <w:sz w:val="16"/>
          <w:szCs w:val="16"/>
        </w:rPr>
        <w:lastRenderedPageBreak/>
        <w:t>ideas of periphery and ways that ablement privileges and entitles certain groups in society. Campbell is the author of Contours of Ableism: The Production of Disability and Abledness (Palgrave, 2009) and numerous other journal articles and book chapters. SJCP//JG</w:t>
      </w:r>
    </w:p>
    <w:p w:rsidR="00F65876" w:rsidRPr="006948C8" w:rsidRDefault="00F65876" w:rsidP="00F65876">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6561C6" w:rsidRDefault="006561C6" w:rsidP="00F65876">
      <w:pPr>
        <w:pStyle w:val="Heading4"/>
        <w:rPr>
          <w:rFonts w:cs="Calibri"/>
        </w:rPr>
      </w:pPr>
    </w:p>
    <w:p w:rsidR="00F65876" w:rsidRDefault="00F65876" w:rsidP="00F65876">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6561C6" w:rsidRPr="006561C6" w:rsidRDefault="006561C6" w:rsidP="006561C6"/>
    <w:p w:rsidR="00F65876" w:rsidRPr="006948C8" w:rsidRDefault="00F65876" w:rsidP="00F65876">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F65876" w:rsidRPr="006948C8" w:rsidRDefault="00F65876" w:rsidP="00F65876">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w:t>
      </w:r>
      <w:r w:rsidRPr="006948C8">
        <w:rPr>
          <w:rStyle w:val="Emphasis"/>
        </w:rPr>
        <w:lastRenderedPageBreak/>
        <w:t xml:space="preserve">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w:t>
      </w:r>
      <w:r w:rsidRPr="006948C8">
        <w:rPr>
          <w:sz w:val="14"/>
        </w:rPr>
        <w:lastRenderedPageBreak/>
        <w:t xml:space="preserve">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6561C6" w:rsidRDefault="006561C6" w:rsidP="00F65876">
      <w:pPr>
        <w:pStyle w:val="Heading4"/>
        <w:rPr>
          <w:rFonts w:cs="Calibri"/>
        </w:rPr>
      </w:pPr>
    </w:p>
    <w:p w:rsidR="00F65876" w:rsidRDefault="00F65876" w:rsidP="00F65876">
      <w:pPr>
        <w:pStyle w:val="Heading4"/>
        <w:rPr>
          <w:rFonts w:cs="Calibri"/>
        </w:rPr>
      </w:pPr>
      <w:r w:rsidRPr="006948C8">
        <w:rPr>
          <w:rFonts w:cs="Calibri"/>
        </w:rPr>
        <w:t>Psychoanalysis is both falsifiable and accurate – studies prove.</w:t>
      </w:r>
    </w:p>
    <w:p w:rsidR="006561C6" w:rsidRPr="006561C6" w:rsidRDefault="006561C6" w:rsidP="006561C6"/>
    <w:p w:rsidR="00F65876" w:rsidRPr="006948C8" w:rsidRDefault="00F65876" w:rsidP="00F65876">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F65876" w:rsidRDefault="00F65876" w:rsidP="00F65876">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6561C6" w:rsidRDefault="006561C6" w:rsidP="00F65876">
      <w:pPr>
        <w:pStyle w:val="Heading4"/>
        <w:spacing w:line="276" w:lineRule="auto"/>
        <w:ind w:right="-43"/>
        <w:rPr>
          <w:color w:val="000000" w:themeColor="text1"/>
        </w:rPr>
      </w:pPr>
    </w:p>
    <w:p w:rsidR="00A47749" w:rsidRDefault="00F65876" w:rsidP="00F65876">
      <w:pPr>
        <w:pStyle w:val="Heading4"/>
        <w:spacing w:line="276" w:lineRule="auto"/>
        <w:ind w:right="-43"/>
        <w:rPr>
          <w:color w:val="000000" w:themeColor="text1"/>
        </w:rPr>
      </w:pPr>
      <w:r>
        <w:rPr>
          <w:color w:val="000000" w:themeColor="text1"/>
        </w:rPr>
        <w:t xml:space="preserve">No perms: </w:t>
      </w:r>
    </w:p>
    <w:p w:rsidR="006561C6" w:rsidRPr="006561C6" w:rsidRDefault="006561C6" w:rsidP="006561C6"/>
    <w:p w:rsidR="00A47749" w:rsidRDefault="006561C6" w:rsidP="006561C6">
      <w:pPr>
        <w:pStyle w:val="Heading4"/>
        <w:spacing w:line="276" w:lineRule="auto"/>
        <w:ind w:right="-43"/>
        <w:rPr>
          <w:color w:val="000000" w:themeColor="text1"/>
        </w:rPr>
      </w:pPr>
      <w:r>
        <w:rPr>
          <w:color w:val="000000" w:themeColor="text1"/>
        </w:rPr>
        <w:t xml:space="preserve">(a) </w:t>
      </w:r>
      <w:r w:rsidR="00F65876">
        <w:rPr>
          <w:color w:val="000000" w:themeColor="text1"/>
        </w:rPr>
        <w:t xml:space="preserve">view it as artificially distinct since it’s key to fully flesh out the individual intricacies of both methods and create more concrete proposals </w:t>
      </w:r>
    </w:p>
    <w:p w:rsidR="00A47749" w:rsidRPr="00A47749" w:rsidRDefault="00A47749" w:rsidP="00A47749"/>
    <w:p w:rsidR="006561C6" w:rsidRDefault="00F65876" w:rsidP="00F65876">
      <w:pPr>
        <w:pStyle w:val="Heading4"/>
        <w:spacing w:line="276" w:lineRule="auto"/>
        <w:ind w:right="-43"/>
        <w:rPr>
          <w:color w:val="000000" w:themeColor="text1"/>
        </w:rPr>
      </w:pPr>
      <w:r>
        <w:rPr>
          <w:color w:val="000000" w:themeColor="text1"/>
        </w:rPr>
        <w:t xml:space="preserve">(b) justifies infinite aff conditionality – allowings permutations allows infinite new 1AR advocacies which skews 1 mins of the 1NC and destroys neg ground </w:t>
      </w:r>
    </w:p>
    <w:p w:rsidR="006561C6" w:rsidRDefault="006561C6" w:rsidP="00F65876">
      <w:pPr>
        <w:pStyle w:val="Heading4"/>
        <w:spacing w:line="276" w:lineRule="auto"/>
        <w:ind w:right="-43"/>
        <w:rPr>
          <w:color w:val="000000" w:themeColor="text1"/>
        </w:rPr>
      </w:pPr>
    </w:p>
    <w:p w:rsidR="006561C6" w:rsidRDefault="00F65876" w:rsidP="00F65876">
      <w:pPr>
        <w:pStyle w:val="Heading4"/>
        <w:spacing w:line="276" w:lineRule="auto"/>
        <w:ind w:right="-43"/>
        <w:rPr>
          <w:color w:val="000000" w:themeColor="text1"/>
        </w:rPr>
      </w:pPr>
      <w:r>
        <w:rPr>
          <w:color w:val="000000" w:themeColor="text1"/>
        </w:rPr>
        <w:t xml:space="preserve">(c) irreciprocal – we can’t permute their methods which means they can always intrinsic perm or sever which destroys neg ground </w:t>
      </w:r>
    </w:p>
    <w:p w:rsidR="006561C6" w:rsidRDefault="006561C6" w:rsidP="00F65876">
      <w:pPr>
        <w:pStyle w:val="Heading4"/>
        <w:spacing w:line="276" w:lineRule="auto"/>
        <w:ind w:right="-43"/>
        <w:rPr>
          <w:color w:val="000000" w:themeColor="text1"/>
        </w:rPr>
      </w:pPr>
    </w:p>
    <w:p w:rsidR="006561C6" w:rsidRDefault="00F65876" w:rsidP="00F65876">
      <w:pPr>
        <w:pStyle w:val="Heading4"/>
        <w:spacing w:line="276" w:lineRule="auto"/>
        <w:ind w:right="-43"/>
        <w:rPr>
          <w:color w:val="000000" w:themeColor="text1"/>
        </w:rPr>
      </w:pPr>
      <w:r>
        <w:rPr>
          <w:color w:val="000000" w:themeColor="text1"/>
        </w:rPr>
        <w:t xml:space="preserve">(d) illogical – the alt isn’t fiated in the sense of the aff so endorsing a fiated world mixed with a pre-fiat orientation is incoherent </w:t>
      </w:r>
    </w:p>
    <w:p w:rsidR="006561C6" w:rsidRDefault="006561C6" w:rsidP="00F65876">
      <w:pPr>
        <w:pStyle w:val="Heading4"/>
        <w:spacing w:line="276" w:lineRule="auto"/>
        <w:ind w:right="-43"/>
        <w:rPr>
          <w:color w:val="000000" w:themeColor="text1"/>
        </w:rPr>
      </w:pPr>
    </w:p>
    <w:p w:rsidR="00F65876" w:rsidRDefault="00F65876" w:rsidP="00F65876">
      <w:pPr>
        <w:pStyle w:val="Heading4"/>
        <w:spacing w:line="276" w:lineRule="auto"/>
        <w:ind w:right="-43"/>
        <w:rPr>
          <w:color w:val="000000" w:themeColor="text1"/>
        </w:rPr>
      </w:pPr>
      <w:r>
        <w:rPr>
          <w:color w:val="000000" w:themeColor="text1"/>
        </w:rPr>
        <w:t>(e) hold the 1AC method by itself since anything else endorses bad scholarship since it justifies severence – justifying both in the aff solves.</w:t>
      </w:r>
    </w:p>
    <w:bookmarkEnd w:id="0"/>
    <w:bookmarkEnd w:id="1"/>
    <w:p w:rsidR="00F65876" w:rsidRDefault="00F65876" w:rsidP="00F65876">
      <w:pPr>
        <w:pStyle w:val="Heading4"/>
      </w:pPr>
    </w:p>
    <w:p w:rsidR="00F65876" w:rsidRDefault="00F65876" w:rsidP="00F65876">
      <w:pPr>
        <w:pStyle w:val="Heading2"/>
      </w:pPr>
      <w:r>
        <w:lastRenderedPageBreak/>
        <w:t>2</w:t>
      </w:r>
    </w:p>
    <w:p w:rsidR="00F65876" w:rsidRDefault="00F65876" w:rsidP="00F65876">
      <w:pPr>
        <w:pStyle w:val="Heading4"/>
      </w:pPr>
      <w:r>
        <w:t>The decision not to disclose was not ablenormatively neutral -- rather it reified neuronormative privilege -- neurodivergent folks would prefer the ability to plan in advance for social situations and interactions</w:t>
      </w:r>
    </w:p>
    <w:p w:rsidR="006561C6" w:rsidRDefault="006561C6" w:rsidP="006561C6"/>
    <w:p w:rsidR="006561C6" w:rsidRPr="006561C6" w:rsidRDefault="006254EC" w:rsidP="006561C6">
      <w:r>
        <w:rPr>
          <w:b/>
          <w:noProof/>
        </w:rPr>
        <w:drawing>
          <wp:inline distT="0" distB="0" distL="0" distR="0" wp14:anchorId="790AB559" wp14:editId="2ADC0627">
            <wp:extent cx="2226365" cy="3920338"/>
            <wp:effectExtent l="0" t="0" r="0" b="4445"/>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oto Sep 26, 20 19 18.jpg"/>
                    <pic:cNvPicPr/>
                  </pic:nvPicPr>
                  <pic:blipFill>
                    <a:blip r:embed="rId11"/>
                    <a:stretch>
                      <a:fillRect/>
                    </a:stretch>
                  </pic:blipFill>
                  <pic:spPr>
                    <a:xfrm>
                      <a:off x="0" y="0"/>
                      <a:ext cx="2239755" cy="3943916"/>
                    </a:xfrm>
                    <a:prstGeom prst="rect">
                      <a:avLst/>
                    </a:prstGeom>
                  </pic:spPr>
                </pic:pic>
              </a:graphicData>
            </a:graphic>
          </wp:inline>
        </w:drawing>
      </w:r>
    </w:p>
    <w:p w:rsidR="006561C6" w:rsidRPr="006561C6" w:rsidRDefault="006561C6" w:rsidP="006561C6"/>
    <w:p w:rsidR="00F65876" w:rsidRPr="00A70881" w:rsidRDefault="00F65876" w:rsidP="00F65876">
      <w:pPr>
        <w:pStyle w:val="Heading4"/>
      </w:pPr>
      <w:r>
        <w:t>Alexsander</w:t>
      </w:r>
      <w:r w:rsidRPr="002B3EFF">
        <w:rPr>
          <w:b w:val="0"/>
          <w:bCs w:val="0"/>
          <w:sz w:val="22"/>
          <w:szCs w:val="22"/>
        </w:rPr>
        <w:t>, http://myautismexplained.wordpress.com/2013/05/15/77/NJW</w:t>
      </w:r>
    </w:p>
    <w:p w:rsidR="00F65876" w:rsidRPr="00B473F4" w:rsidRDefault="00F65876" w:rsidP="00F65876">
      <w:pPr>
        <w:rPr>
          <w:sz w:val="14"/>
        </w:rPr>
      </w:pPr>
      <w:r w:rsidRPr="00B473F4">
        <w:rPr>
          <w:bCs/>
          <w:sz w:val="14"/>
        </w:rPr>
        <w:t>A Stable Environment</w:t>
      </w:r>
      <w:r w:rsidRPr="00B473F4">
        <w:rPr>
          <w:sz w:val="14"/>
        </w:rPr>
        <w:t xml:space="preserve"> </w:t>
      </w:r>
      <w:r w:rsidRPr="002B3EFF">
        <w:rPr>
          <w:b/>
          <w:highlight w:val="green"/>
          <w:u w:val="single"/>
        </w:rPr>
        <w:t>A stable and preferable unchanging environment is another important contributing factor to an autistic person’s wellbeing</w:t>
      </w:r>
      <w:r w:rsidRPr="00B473F4">
        <w:rPr>
          <w:sz w:val="14"/>
        </w:rPr>
        <w:t xml:space="preserve">. We need to have one or several places, to which we can retreat when things get rough. In these sanctuaries, we can relax and just be ourselves because we feel (almost) completely safe. For me, these sanctuaries are physical rather than mental places. I can retreat to my home, switch off the doorbell, switch on the answer phone and have a quiet lie-down. Unfortunately, this does not work as well when I am up and about. There are few retreats on the road. I can imagine that some of you would say that avoidance tactics are the wrong way to deal with problems; that we have to confront stressful situations face to face! But </w:t>
      </w:r>
      <w:r w:rsidRPr="00487A3C">
        <w:rPr>
          <w:b/>
          <w:u w:val="single"/>
        </w:rPr>
        <w:t xml:space="preserve">please bear in mind that people with autism do not avoid stressful situations because they are afraid of the event as such – they avoid them because they would be confronted with an unanticipated barrage of sensory impressions that they simply don’t feel they can cope with! </w:t>
      </w:r>
      <w:r w:rsidRPr="00B473F4">
        <w:rPr>
          <w:sz w:val="14"/>
        </w:rPr>
        <w:t xml:space="preserve">Also please note that I am here referring to the “autistic elements” of this kind of behaviour. Of course, insecurity and/or phobias can come into this equation – for autistic as well as for neurotypical persons. Here is an example: A person with autism often avoids large groups of people. This is usually because he fears the sensory overload that may go with this situation and not necessarily because he is afraid of people. Yet regardless of whether they have autism or not, people may have sociophobic tendencies, which means that they do fear people. That, a priori, has nothing to do with autism. The above-mentioned “safe place” or “sanctuary” may take different shapes depending on the individual. One type of person may need a specific place in order to relax. For me, the appearance of the room may change as long as it is still in the same apartment or building. For others, the slightest change in appearance may jeopardize its perceived safety. This may be the order in which things are arranged in a closet, the order of books or CDs in a shelf, the position of the </w:t>
      </w:r>
      <w:r w:rsidRPr="00B473F4">
        <w:rPr>
          <w:sz w:val="14"/>
        </w:rPr>
        <w:lastRenderedPageBreak/>
        <w:t xml:space="preserve">pens on the desk or any number of minute changes that a neurotypical person will probably not even pick up on. I for my part tend to fret when the screw head of the kitchen scissors in our knife block is pointing outwards. On the scissor’s other side, a small red dot covers the spot and that for me makes all the difference. </w:t>
      </w:r>
      <w:r w:rsidRPr="002B3EFF">
        <w:rPr>
          <w:b/>
          <w:highlight w:val="green"/>
          <w:u w:val="single"/>
        </w:rPr>
        <w:t>Neurotypical people may not even notice this, but it has a big impact on my overall well-being. When all is not as it should be in my personal environment, I no longer feel safe and relaxed</w:t>
      </w:r>
      <w:r w:rsidRPr="00B50892">
        <w:rPr>
          <w:b/>
          <w:u w:val="single"/>
        </w:rPr>
        <w:t>.</w:t>
      </w:r>
      <w:r w:rsidRPr="00B473F4">
        <w:rPr>
          <w:sz w:val="14"/>
        </w:rPr>
        <w:t xml:space="preserve"> The extreme sensitivity to the smallest detail, visual or otherwise, explains the autistic person’s need to retreat from the sheer barrage of input from time to time!</w:t>
      </w:r>
    </w:p>
    <w:p w:rsidR="006561C6" w:rsidRDefault="006561C6" w:rsidP="00F65876">
      <w:pPr>
        <w:pStyle w:val="Heading4"/>
      </w:pPr>
    </w:p>
    <w:p w:rsidR="00F65876" w:rsidRDefault="00F65876" w:rsidP="00F65876">
      <w:pPr>
        <w:pStyle w:val="Heading4"/>
      </w:pPr>
      <w:r>
        <w:t>Voting issue:</w:t>
      </w:r>
    </w:p>
    <w:p w:rsidR="006561C6" w:rsidRPr="006561C6" w:rsidRDefault="006561C6" w:rsidP="006561C6"/>
    <w:p w:rsidR="00F65876" w:rsidRDefault="00F65876" w:rsidP="00F65876">
      <w:pPr>
        <w:pStyle w:val="Heading4"/>
      </w:pPr>
      <w:r>
        <w:t xml:space="preserve">the 1ac both an </w:t>
      </w:r>
      <w:r w:rsidRPr="00C60744">
        <w:rPr>
          <w:u w:val="single"/>
        </w:rPr>
        <w:t>inaccessible and unsafe</w:t>
      </w:r>
      <w:r>
        <w:t xml:space="preserve"> speech act for neuroqueer debaters -- this is a form/content distinctiong that both precedes and turns the aff, here's more evidence from Alexsander – reject the aff to deter ableist norms </w:t>
      </w:r>
    </w:p>
    <w:p w:rsidR="006561C6" w:rsidRPr="006561C6" w:rsidRDefault="006561C6" w:rsidP="006561C6"/>
    <w:p w:rsidR="00F65876" w:rsidRPr="00A70881" w:rsidRDefault="00F65876" w:rsidP="00F65876">
      <w:pPr>
        <w:pStyle w:val="Heading4"/>
      </w:pPr>
      <w:r>
        <w:t>Alexsander</w:t>
      </w:r>
      <w:r w:rsidRPr="002B3EFF">
        <w:rPr>
          <w:b w:val="0"/>
          <w:bCs w:val="0"/>
          <w:sz w:val="22"/>
          <w:szCs w:val="22"/>
        </w:rPr>
        <w:t>, http://myautismexplained.wordpress.com/2013/05/15/77/NJW</w:t>
      </w:r>
    </w:p>
    <w:p w:rsidR="00F65876" w:rsidRDefault="00F65876" w:rsidP="00F65876">
      <w:pPr>
        <w:rPr>
          <w:b/>
          <w:u w:val="single"/>
        </w:rPr>
      </w:pPr>
      <w:r w:rsidRPr="00B473F4">
        <w:rPr>
          <w:sz w:val="16"/>
        </w:rPr>
        <w:t xml:space="preserve">Just </w:t>
      </w:r>
      <w:r w:rsidRPr="002B3EFF">
        <w:rPr>
          <w:b/>
          <w:highlight w:val="green"/>
          <w:u w:val="single"/>
        </w:rPr>
        <w:t>like many people with autism, I find it extremely difficult to deal with changes in my daily life. Every person on the autism spectrum will follow a more or less established daily routine.</w:t>
      </w:r>
      <w:r w:rsidRPr="009E3102">
        <w:rPr>
          <w:b/>
          <w:u w:val="single"/>
        </w:rPr>
        <w:t xml:space="preserve"> How closely you follow it depends on the severity of your autism and to some extent also on how you feel that day. </w:t>
      </w:r>
      <w:r w:rsidRPr="002B3EFF">
        <w:rPr>
          <w:b/>
          <w:highlight w:val="green"/>
          <w:u w:val="single"/>
        </w:rPr>
        <w:t>Usually, you plan in advance what exactly you need</w:t>
      </w:r>
      <w:r w:rsidRPr="00B473F4">
        <w:rPr>
          <w:sz w:val="16"/>
        </w:rPr>
        <w:t xml:space="preserve"> or wish to do </w:t>
      </w:r>
      <w:r w:rsidRPr="002B3EFF">
        <w:rPr>
          <w:b/>
          <w:highlight w:val="green"/>
          <w:u w:val="single"/>
        </w:rPr>
        <w:t>on a given day</w:t>
      </w:r>
      <w:r w:rsidRPr="009E3102">
        <w:rPr>
          <w:b/>
          <w:u w:val="single"/>
        </w:rPr>
        <w:t>.</w:t>
      </w:r>
      <w:r w:rsidRPr="00B473F4">
        <w:rPr>
          <w:sz w:val="16"/>
        </w:rPr>
        <w:t xml:space="preserve"> For some – and guess this also goes for neurotypical persons – it is sufficient to create a to-do-list; sometimes, even the order of planned activities is interchangeable. In this scenario, it is still relatively easy, in other words, fairly stress-free, to integrate something into the list that just came up. It is less easy if you belong to the category of people who need to keep a certain order of events, especially if these events have also been allotted a specific time window. This is true even for a certain number of neurotypical people, but those tend to be regarded as overly correct and “anally retentive” by their peers. In most cases, routines have already been scheduled lo</w:t>
      </w:r>
      <w:r>
        <w:rPr>
          <w:sz w:val="16"/>
        </w:rPr>
        <w:t>d</w:t>
      </w:r>
      <w:r w:rsidRPr="00B473F4">
        <w:rPr>
          <w:sz w:val="16"/>
        </w:rPr>
        <w:t xml:space="preserve">ng in advance. </w:t>
      </w:r>
      <w:r w:rsidRPr="009E3102">
        <w:rPr>
          <w:b/>
          <w:u w:val="single"/>
        </w:rPr>
        <w:t>T</w:t>
      </w:r>
      <w:r w:rsidRPr="002B3EFF">
        <w:rPr>
          <w:b/>
          <w:highlight w:val="green"/>
          <w:u w:val="single"/>
        </w:rPr>
        <w:t>he more established these routines are, the harder it will be to insert another event and the more difficult it will be for the person to deal with them</w:t>
      </w:r>
      <w:r w:rsidRPr="009E3102">
        <w:rPr>
          <w:b/>
          <w:u w:val="single"/>
        </w:rPr>
        <w:t>.</w:t>
      </w:r>
    </w:p>
    <w:p w:rsidR="00E4466C" w:rsidRDefault="00E4466C" w:rsidP="00F65876">
      <w:pPr>
        <w:pStyle w:val="Heading4"/>
      </w:pPr>
    </w:p>
    <w:p w:rsidR="00F65876" w:rsidRPr="006E3117" w:rsidRDefault="00F65876" w:rsidP="00F65876">
      <w:pPr>
        <w:pStyle w:val="Heading4"/>
      </w:pPr>
      <w:r>
        <w:t>They can have new affs</w:t>
      </w:r>
      <w:r w:rsidR="00E4466C">
        <w:t>/add new cards</w:t>
      </w:r>
      <w:r>
        <w:t xml:space="preserve"> – they just have to give the details so that disabled debaters can access it and have some time for preparation.</w:t>
      </w:r>
    </w:p>
    <w:p w:rsidR="00E42E4C" w:rsidRDefault="00E42E4C" w:rsidP="00F601E6"/>
    <w:p w:rsidR="00BB0D88" w:rsidRDefault="00BB0D88" w:rsidP="00BB0D88">
      <w:pPr>
        <w:rPr>
          <w:rStyle w:val="Style13ptBold"/>
        </w:rPr>
      </w:pPr>
      <w:bookmarkStart w:id="2" w:name="_GoBack"/>
      <w:bookmarkEnd w:id="2"/>
    </w:p>
    <w:p w:rsidR="00BB0D88" w:rsidRPr="00BB0D88" w:rsidRDefault="00BB0D88" w:rsidP="00BB0D88"/>
    <w:p w:rsidR="00FB78F0" w:rsidRPr="00FB78F0" w:rsidRDefault="00FB78F0" w:rsidP="00FB78F0"/>
    <w:sectPr w:rsidR="00FB78F0" w:rsidRPr="00FB78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763D0F"/>
    <w:multiLevelType w:val="hybridMultilevel"/>
    <w:tmpl w:val="BB5A2406"/>
    <w:lvl w:ilvl="0" w:tplc="23DCFF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D833C7"/>
    <w:multiLevelType w:val="hybridMultilevel"/>
    <w:tmpl w:val="87FE8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5D60EA"/>
    <w:multiLevelType w:val="hybridMultilevel"/>
    <w:tmpl w:val="21E48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75AF3"/>
    <w:multiLevelType w:val="hybridMultilevel"/>
    <w:tmpl w:val="38C8D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42E3"/>
    <w:multiLevelType w:val="hybridMultilevel"/>
    <w:tmpl w:val="1D8E2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17EDB"/>
    <w:multiLevelType w:val="hybridMultilevel"/>
    <w:tmpl w:val="576C6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960B8"/>
    <w:multiLevelType w:val="hybridMultilevel"/>
    <w:tmpl w:val="3AD6B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58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B5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A9C"/>
    <w:rsid w:val="00607D6C"/>
    <w:rsid w:val="0061383D"/>
    <w:rsid w:val="00614D69"/>
    <w:rsid w:val="00617030"/>
    <w:rsid w:val="00621301"/>
    <w:rsid w:val="0062173F"/>
    <w:rsid w:val="006235FB"/>
    <w:rsid w:val="006254EC"/>
    <w:rsid w:val="00626A15"/>
    <w:rsid w:val="006379E9"/>
    <w:rsid w:val="006438CB"/>
    <w:rsid w:val="006529B9"/>
    <w:rsid w:val="00654695"/>
    <w:rsid w:val="0065500A"/>
    <w:rsid w:val="00655217"/>
    <w:rsid w:val="006561C6"/>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7D3"/>
    <w:rsid w:val="00752712"/>
    <w:rsid w:val="00753A84"/>
    <w:rsid w:val="007611F5"/>
    <w:rsid w:val="007619E4"/>
    <w:rsid w:val="00761E75"/>
    <w:rsid w:val="0076495E"/>
    <w:rsid w:val="00765FC8"/>
    <w:rsid w:val="0077523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53"/>
    <w:rsid w:val="00920E6A"/>
    <w:rsid w:val="00931816"/>
    <w:rsid w:val="00932C71"/>
    <w:rsid w:val="009509D5"/>
    <w:rsid w:val="009538F5"/>
    <w:rsid w:val="00957187"/>
    <w:rsid w:val="00960255"/>
    <w:rsid w:val="009603E1"/>
    <w:rsid w:val="00961C9D"/>
    <w:rsid w:val="00963065"/>
    <w:rsid w:val="0097151F"/>
    <w:rsid w:val="00971BC2"/>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47749"/>
    <w:rsid w:val="00A54315"/>
    <w:rsid w:val="00A60FBC"/>
    <w:rsid w:val="00A65C0B"/>
    <w:rsid w:val="00A776BA"/>
    <w:rsid w:val="00A81FD2"/>
    <w:rsid w:val="00A8441A"/>
    <w:rsid w:val="00A8674A"/>
    <w:rsid w:val="00A96E24"/>
    <w:rsid w:val="00AA6F6E"/>
    <w:rsid w:val="00AB122B"/>
    <w:rsid w:val="00AB21B0"/>
    <w:rsid w:val="00AB48D3"/>
    <w:rsid w:val="00AD1D2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D8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94D"/>
    <w:rsid w:val="00CA013C"/>
    <w:rsid w:val="00CA6D6D"/>
    <w:rsid w:val="00CB6BFB"/>
    <w:rsid w:val="00CC7A4E"/>
    <w:rsid w:val="00CD0C8C"/>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AA4"/>
    <w:rsid w:val="00E4466C"/>
    <w:rsid w:val="00E47013"/>
    <w:rsid w:val="00E541F9"/>
    <w:rsid w:val="00E57B79"/>
    <w:rsid w:val="00E63419"/>
    <w:rsid w:val="00E64496"/>
    <w:rsid w:val="00E72115"/>
    <w:rsid w:val="00E8322E"/>
    <w:rsid w:val="00E903E0"/>
    <w:rsid w:val="00EA1115"/>
    <w:rsid w:val="00EA39EB"/>
    <w:rsid w:val="00EA58CE"/>
    <w:rsid w:val="00EA696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876"/>
    <w:rsid w:val="00F73954"/>
    <w:rsid w:val="00F94060"/>
    <w:rsid w:val="00FA56F6"/>
    <w:rsid w:val="00FB329D"/>
    <w:rsid w:val="00FB78F0"/>
    <w:rsid w:val="00FC27E3"/>
    <w:rsid w:val="00FC74C7"/>
    <w:rsid w:val="00FD451D"/>
    <w:rsid w:val="00FD5B22"/>
    <w:rsid w:val="00FE1B01"/>
    <w:rsid w:val="00FE5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63E72F5-BFE7-C94D-A358-45B9471C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58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58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58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58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F658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5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876"/>
  </w:style>
  <w:style w:type="character" w:customStyle="1" w:styleId="Heading1Char">
    <w:name w:val="Heading 1 Char"/>
    <w:aliases w:val="Pocket Char"/>
    <w:basedOn w:val="DefaultParagraphFont"/>
    <w:link w:val="Heading1"/>
    <w:uiPriority w:val="9"/>
    <w:rsid w:val="00F658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58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58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658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5876"/>
    <w:rPr>
      <w:b/>
      <w:sz w:val="26"/>
      <w:u w:val="none"/>
    </w:rPr>
  </w:style>
  <w:style w:type="character" w:customStyle="1" w:styleId="StyleUnderline">
    <w:name w:val="Style Underline"/>
    <w:aliases w:val="Underline"/>
    <w:basedOn w:val="DefaultParagraphFont"/>
    <w:uiPriority w:val="1"/>
    <w:qFormat/>
    <w:rsid w:val="00F65876"/>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F658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587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F65876"/>
    <w:rPr>
      <w:color w:val="auto"/>
      <w:u w:val="none"/>
    </w:rPr>
  </w:style>
  <w:style w:type="paragraph" w:styleId="DocumentMap">
    <w:name w:val="Document Map"/>
    <w:basedOn w:val="Normal"/>
    <w:link w:val="DocumentMapChar"/>
    <w:uiPriority w:val="99"/>
    <w:semiHidden/>
    <w:unhideWhenUsed/>
    <w:rsid w:val="00F658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5876"/>
    <w:rPr>
      <w:rFonts w:ascii="Lucida Grande" w:hAnsi="Lucida Grande" w:cs="Lucida Grande"/>
    </w:rPr>
  </w:style>
  <w:style w:type="paragraph" w:customStyle="1" w:styleId="textbold">
    <w:name w:val="text bold"/>
    <w:basedOn w:val="Normal"/>
    <w:link w:val="Emphasis"/>
    <w:uiPriority w:val="20"/>
    <w:qFormat/>
    <w:rsid w:val="00F65876"/>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F658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47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23314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B56594-61BC-F849-A2B1-5FB56A6F6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18</Pages>
  <Words>9069</Words>
  <Characters>51696</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13</cp:revision>
  <dcterms:created xsi:type="dcterms:W3CDTF">2021-09-26T23:26:00Z</dcterms:created>
  <dcterms:modified xsi:type="dcterms:W3CDTF">2021-09-27T01:39:00Z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