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54D4" w:rsidRPr="006948C8" w:rsidRDefault="008454D4" w:rsidP="008454D4">
      <w:pPr>
        <w:pStyle w:val="Heading2"/>
        <w:rPr>
          <w:rFonts w:cs="Calibri"/>
          <w:color w:val="000000" w:themeColor="text1"/>
        </w:rPr>
      </w:pPr>
      <w:bookmarkStart w:id="0" w:name="OLE_LINK11"/>
      <w:bookmarkStart w:id="1" w:name="OLE_LINK12"/>
      <w:r>
        <w:rPr>
          <w:rFonts w:cs="Calibri"/>
          <w:color w:val="000000" w:themeColor="text1"/>
        </w:rPr>
        <w:t>1</w:t>
      </w:r>
    </w:p>
    <w:p w:rsidR="008454D4" w:rsidRPr="006948C8" w:rsidRDefault="008454D4" w:rsidP="008454D4">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8454D4" w:rsidRPr="006948C8" w:rsidRDefault="008454D4" w:rsidP="008454D4">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454D4" w:rsidRPr="006948C8" w:rsidRDefault="008454D4" w:rsidP="008454D4">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8454D4" w:rsidRPr="006948C8" w:rsidRDefault="008454D4" w:rsidP="008454D4">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8454D4" w:rsidRPr="006948C8" w:rsidRDefault="008454D4" w:rsidP="008454D4">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454D4" w:rsidRDefault="008454D4" w:rsidP="008454D4">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8454D4" w:rsidRPr="0089796E" w:rsidRDefault="008454D4" w:rsidP="008454D4">
      <w:pPr>
        <w:pStyle w:val="Heading4"/>
        <w:spacing w:before="0" w:line="276" w:lineRule="auto"/>
        <w:rPr>
          <w:rFonts w:cs="Calibri"/>
        </w:rPr>
      </w:pPr>
      <w:r>
        <w:rPr>
          <w:rFonts w:cs="Calibri"/>
        </w:rPr>
        <w:t xml:space="preserve">The affirmative’s scenario planning through the invocation of fiat is a voting issue – engagement with simulation forces disability to contemplate the nature of ability and disability which fosters internalized ableism and necessitates </w:t>
      </w:r>
      <w:proofErr w:type="spellStart"/>
      <w:r>
        <w:rPr>
          <w:rFonts w:cs="Calibri"/>
        </w:rPr>
        <w:t>crip</w:t>
      </w:r>
      <w:proofErr w:type="spellEnd"/>
      <w:r>
        <w:rPr>
          <w:rFonts w:cs="Calibri"/>
        </w:rPr>
        <w:t xml:space="preserve"> death.</w:t>
      </w:r>
    </w:p>
    <w:p w:rsidR="008454D4" w:rsidRPr="00A35A28" w:rsidRDefault="008454D4" w:rsidP="008454D4">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hyperlink r:id="rId11"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rsidR="008454D4" w:rsidRPr="00185FCF" w:rsidRDefault="008454D4" w:rsidP="008454D4">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 xml:space="preserve">We </w:t>
      </w:r>
      <w:proofErr w:type="spellStart"/>
      <w:r w:rsidRPr="00F55A49">
        <w:rPr>
          <w:rStyle w:val="Emphasis"/>
          <w:highlight w:val="green"/>
        </w:rPr>
        <w:t>harbour</w:t>
      </w:r>
      <w:proofErr w:type="spellEnd"/>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self-images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proofErr w:type="spellStart"/>
      <w:r w:rsidRPr="00900FBB">
        <w:rPr>
          <w:rStyle w:val="Emphasis"/>
          <w:highlight w:val="green"/>
        </w:rPr>
        <w:t>Internalised</w:t>
      </w:r>
      <w:proofErr w:type="spellEnd"/>
      <w:r w:rsidRPr="00900FBB">
        <w:rPr>
          <w:rStyle w:val="Emphasis"/>
          <w:highlight w:val="green"/>
        </w:rPr>
        <w:t xml:space="preserve"> ableism means that to assimilate into the norm</w:t>
      </w:r>
      <w:r w:rsidRPr="002C528E">
        <w:rPr>
          <w:rStyle w:val="StyleUnderline"/>
        </w:rPr>
        <w:t xml:space="preserve"> the </w:t>
      </w:r>
      <w:r w:rsidRPr="00F55A49">
        <w:rPr>
          <w:rStyle w:val="StyleUnderline"/>
        </w:rPr>
        <w:t xml:space="preserve">referentially disabled individual is required to embrace, </w:t>
      </w:r>
      <w:proofErr w:type="gramStart"/>
      <w:r w:rsidRPr="00F55A49">
        <w:rPr>
          <w:rStyle w:val="StyleUnderline"/>
        </w:rPr>
        <w:t>indeed</w:t>
      </w:r>
      <w:proofErr w:type="gramEnd"/>
      <w:r w:rsidRPr="00F55A49">
        <w:rPr>
          <w:rStyle w:val="StyleUnderline"/>
        </w:rPr>
        <w:t xml:space="preserve"> to assume an ‘identity’ other than one’s own</w:t>
      </w:r>
      <w:r w:rsidRPr="00603C72">
        <w:rPr>
          <w:sz w:val="16"/>
        </w:rPr>
        <w:t xml:space="preserve"> – and </w:t>
      </w:r>
      <w:r w:rsidRPr="00F55A49">
        <w:rPr>
          <w:rStyle w:val="StyleUnderline"/>
        </w:rPr>
        <w:t xml:space="preserve">this subject is repeatedly reminded by epistemological formations and individuals with hegemonic </w:t>
      </w:r>
      <w:proofErr w:type="spellStart"/>
      <w:r w:rsidRPr="00F55A49">
        <w:rPr>
          <w:rStyle w:val="StyleUnderline"/>
        </w:rPr>
        <w:t>subjectifications</w:t>
      </w:r>
      <w:proofErr w:type="spellEnd"/>
      <w:r w:rsidRPr="00F55A49">
        <w:rPr>
          <w:rStyle w:val="StyleUnderline"/>
        </w:rPr>
        <w:t xml:space="preserve"> of their provisional and (real) identity.</w:t>
      </w:r>
      <w:r w:rsidRPr="00603C72">
        <w:rPr>
          <w:sz w:val="16"/>
        </w:rPr>
        <w:t xml:space="preserve"> I am not implying that subjects have a true or real essence. </w:t>
      </w:r>
      <w:proofErr w:type="gramStart"/>
      <w:r w:rsidRPr="00603C72">
        <w:rPr>
          <w:sz w:val="16"/>
        </w:rPr>
        <w:t>Indeed</w:t>
      </w:r>
      <w:proofErr w:type="gramEnd"/>
      <w:r w:rsidRPr="00603C72">
        <w:rPr>
          <w:sz w:val="16"/>
        </w:rPr>
        <w:t xml:space="preserve">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w:t>
      </w:r>
      <w:proofErr w:type="spellStart"/>
      <w:r w:rsidRPr="00603C72">
        <w:rPr>
          <w:sz w:val="16"/>
        </w:rPr>
        <w:t>internalised</w:t>
      </w:r>
      <w:proofErr w:type="spellEnd"/>
      <w:r w:rsidRPr="00603C72">
        <w:rPr>
          <w:sz w:val="16"/>
        </w:rPr>
        <w:t xml:space="preserve"> ableism cannot be simply deduced by assessing the responses of individuals to Althusser’s famous interpolative hailing “Hey you, there” (Althusser &amp; </w:t>
      </w:r>
      <w:proofErr w:type="spellStart"/>
      <w:r w:rsidRPr="00603C72">
        <w:rPr>
          <w:sz w:val="16"/>
        </w:rPr>
        <w:t>Balibar</w:t>
      </w:r>
      <w:proofErr w:type="spellEnd"/>
      <w:r w:rsidRPr="00603C72">
        <w:rPr>
          <w:sz w:val="16"/>
        </w:rPr>
        <w:t xml:space="preserve">, 1979). Whilst a subject may respond to “Hey you there, </w:t>
      </w:r>
      <w:proofErr w:type="spellStart"/>
      <w:r w:rsidRPr="00603C72">
        <w:rPr>
          <w:sz w:val="16"/>
        </w:rPr>
        <w:t>crip</w:t>
      </w:r>
      <w:proofErr w:type="spellEnd"/>
      <w:r w:rsidRPr="00603C72">
        <w:rPr>
          <w:sz w:val="16"/>
        </w:rPr>
        <w:t xml:space="preserve">!” – it is naïve to assume that an affirmative response to this hailing repressively inaugurates negative disabled subjectification. In </w:t>
      </w:r>
      <w:proofErr w:type="gramStart"/>
      <w:r w:rsidRPr="00603C72">
        <w:rPr>
          <w:sz w:val="16"/>
        </w:rPr>
        <w:t>fact</w:t>
      </w:r>
      <w:proofErr w:type="gramEnd"/>
      <w:r w:rsidRPr="00603C72">
        <w:rPr>
          <w:sz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w:t>
      </w:r>
      <w:proofErr w:type="spellStart"/>
      <w:r w:rsidRPr="00603C72">
        <w:rPr>
          <w:sz w:val="16"/>
        </w:rPr>
        <w:t>theorisation</w:t>
      </w:r>
      <w:proofErr w:type="spellEnd"/>
      <w:r w:rsidRPr="00603C72">
        <w:rPr>
          <w:sz w:val="16"/>
        </w:rPr>
        <w:t xml:space="preserve"> of power as productive may provide some offerings from which to build a conversation about </w:t>
      </w:r>
      <w:proofErr w:type="spellStart"/>
      <w:r w:rsidRPr="00603C72">
        <w:rPr>
          <w:sz w:val="16"/>
        </w:rPr>
        <w:t>internalised</w:t>
      </w:r>
      <w:proofErr w:type="spellEnd"/>
      <w:r w:rsidRPr="00603C72">
        <w:rPr>
          <w:sz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603C72">
        <w:rPr>
          <w:sz w:val="16"/>
        </w:rPr>
        <w:t>subjectifying</w:t>
      </w:r>
      <w:proofErr w:type="spellEnd"/>
      <w:r w:rsidRPr="00603C72">
        <w:rPr>
          <w:sz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w:t>
      </w:r>
      <w:proofErr w:type="spellStart"/>
      <w:r w:rsidRPr="00603C72">
        <w:rPr>
          <w:sz w:val="16"/>
        </w:rPr>
        <w:t>mnemic</w:t>
      </w:r>
      <w:proofErr w:type="spellEnd"/>
      <w:r w:rsidRPr="00603C72">
        <w:rPr>
          <w:sz w:val="16"/>
        </w:rPr>
        <w:t xml:space="preserve"> trace”: One need only consider the way in which the history of having been called an injurious name is embodied, how the words enter the limbs, craft the gesture, bend the spine …how these slurs </w:t>
      </w:r>
      <w:r w:rsidRPr="00603C72">
        <w:rPr>
          <w:sz w:val="16"/>
        </w:rPr>
        <w:lastRenderedPageBreak/>
        <w:t xml:space="preserve">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603C72">
        <w:rPr>
          <w:sz w:val="16"/>
        </w:rPr>
        <w:t>Wolfensberger</w:t>
      </w:r>
      <w:proofErr w:type="spellEnd"/>
      <w:r w:rsidRPr="00603C72">
        <w:rPr>
          <w:sz w:val="16"/>
        </w:rPr>
        <w:t xml:space="preserve">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w:t>
      </w:r>
      <w:proofErr w:type="spellStart"/>
      <w:r w:rsidRPr="00603C72">
        <w:rPr>
          <w:rStyle w:val="StyleUnderline"/>
        </w:rPr>
        <w:t>enfleshed</w:t>
      </w:r>
      <w:proofErr w:type="spellEnd"/>
      <w:r w:rsidRPr="00603C72">
        <w:rPr>
          <w:rStyle w:val="StyleUnderline"/>
        </w:rPr>
        <w:t xml:space="preserve">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 xml:space="preserve">is filled with </w:t>
      </w:r>
      <w:proofErr w:type="spellStart"/>
      <w:r w:rsidRPr="00603C72">
        <w:rPr>
          <w:rStyle w:val="Emphasis"/>
          <w:highlight w:val="green"/>
        </w:rPr>
        <w:t>internalised</w:t>
      </w:r>
      <w:proofErr w:type="spellEnd"/>
      <w:r w:rsidRPr="00603C72">
        <w:rPr>
          <w:rStyle w:val="Emphasis"/>
          <w:highlight w:val="green"/>
        </w:rPr>
        <w:t xml:space="preserve">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in effect performs a new hyper reality of be-</w:t>
      </w:r>
      <w:proofErr w:type="spellStart"/>
      <w:r w:rsidRPr="00603C72">
        <w:rPr>
          <w:sz w:val="16"/>
        </w:rPr>
        <w:t>ing</w:t>
      </w:r>
      <w:proofErr w:type="spellEnd"/>
      <w:r w:rsidRPr="00603C72">
        <w:rPr>
          <w:sz w:val="16"/>
        </w:rPr>
        <w:t xml:space="preserve">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rsidR="008454D4" w:rsidRPr="006948C8" w:rsidRDefault="008454D4" w:rsidP="008454D4">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8454D4" w:rsidRPr="006948C8" w:rsidRDefault="008454D4" w:rsidP="008454D4">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8454D4" w:rsidRPr="006948C8" w:rsidRDefault="008454D4" w:rsidP="008454D4">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lastRenderedPageBreak/>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8454D4" w:rsidRPr="006948C8" w:rsidRDefault="008454D4" w:rsidP="008454D4">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8454D4" w:rsidRPr="006948C8" w:rsidRDefault="008454D4" w:rsidP="008454D4">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8454D4" w:rsidRPr="006948C8" w:rsidRDefault="008454D4" w:rsidP="008454D4">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w:t>
      </w:r>
      <w:r w:rsidRPr="006948C8">
        <w:rPr>
          <w:sz w:val="14"/>
        </w:rPr>
        <w:lastRenderedPageBreak/>
        <w:t xml:space="preserve">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w:t>
      </w:r>
      <w:r w:rsidRPr="006948C8">
        <w:rPr>
          <w:sz w:val="14"/>
        </w:rPr>
        <w:lastRenderedPageBreak/>
        <w:t>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8454D4" w:rsidRPr="006948C8" w:rsidRDefault="008454D4" w:rsidP="008454D4">
      <w:pPr>
        <w:pStyle w:val="Heading4"/>
        <w:rPr>
          <w:rFonts w:cs="Calibri"/>
        </w:rPr>
      </w:pPr>
      <w:r w:rsidRPr="006948C8">
        <w:rPr>
          <w:rFonts w:cs="Calibri"/>
        </w:rPr>
        <w:t>Psychoanalysis is both falsifiable and accurate – studies prove.</w:t>
      </w:r>
    </w:p>
    <w:p w:rsidR="008454D4" w:rsidRPr="006948C8" w:rsidRDefault="008454D4" w:rsidP="008454D4">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8454D4" w:rsidRDefault="008454D4" w:rsidP="008454D4">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proofErr w:type="gramStart"/>
      <w:r w:rsidRPr="00B60288">
        <w:rPr>
          <w:rStyle w:val="Emphasis"/>
          <w:highlight w:val="green"/>
        </w:rPr>
        <w:t>has</w:t>
      </w:r>
      <w:proofErr w:type="gramEnd"/>
      <w:r w:rsidRPr="00B60288">
        <w:rPr>
          <w:rStyle w:val="Emphasis"/>
          <w:highlight w:val="green"/>
        </w:rPr>
        <w:t xml:space="preserve">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8454D4" w:rsidRDefault="008454D4" w:rsidP="008454D4">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0"/>
    <w:bookmarkEnd w:id="1"/>
    <w:bookmarkEnd w:id="2"/>
    <w:bookmarkEnd w:id="3"/>
    <w:p w:rsidR="00632C1F" w:rsidRDefault="00632C1F" w:rsidP="00632C1F"/>
    <w:p w:rsidR="008454D4" w:rsidRPr="00632C1F" w:rsidRDefault="008454D4" w:rsidP="00632C1F">
      <w:bookmarkStart w:id="4" w:name="_GoBack"/>
      <w:bookmarkEnd w:id="4"/>
    </w:p>
    <w:sectPr w:rsidR="008454D4" w:rsidRPr="00632C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4E500E"/>
    <w:multiLevelType w:val="hybridMultilevel"/>
    <w:tmpl w:val="CFF46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2C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4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AD8"/>
    <w:rsid w:val="001F1173"/>
    <w:rsid w:val="002005A8"/>
    <w:rsid w:val="00203DD8"/>
    <w:rsid w:val="00204E1D"/>
    <w:rsid w:val="002059BD"/>
    <w:rsid w:val="00207FD8"/>
    <w:rsid w:val="00210FAF"/>
    <w:rsid w:val="00213B1E"/>
    <w:rsid w:val="00215284"/>
    <w:rsid w:val="002168F2"/>
    <w:rsid w:val="0022589F"/>
    <w:rsid w:val="002343FE"/>
    <w:rsid w:val="00235F7B"/>
    <w:rsid w:val="0023632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658"/>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0B6"/>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C1F"/>
    <w:rsid w:val="006379E9"/>
    <w:rsid w:val="006438CB"/>
    <w:rsid w:val="006472F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BA3"/>
    <w:rsid w:val="00775694"/>
    <w:rsid w:val="0079278A"/>
    <w:rsid w:val="00793F46"/>
    <w:rsid w:val="007A1325"/>
    <w:rsid w:val="007A1A18"/>
    <w:rsid w:val="007A3BAF"/>
    <w:rsid w:val="007B1C1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4D4"/>
    <w:rsid w:val="008536AF"/>
    <w:rsid w:val="00853D40"/>
    <w:rsid w:val="008564FC"/>
    <w:rsid w:val="008643A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E7"/>
    <w:rsid w:val="00B6656B"/>
    <w:rsid w:val="00B71625"/>
    <w:rsid w:val="00B75C54"/>
    <w:rsid w:val="00B8710E"/>
    <w:rsid w:val="00B92A93"/>
    <w:rsid w:val="00BA17A8"/>
    <w:rsid w:val="00BA3C33"/>
    <w:rsid w:val="00BB0878"/>
    <w:rsid w:val="00BB1879"/>
    <w:rsid w:val="00BC0ABE"/>
    <w:rsid w:val="00BC30DB"/>
    <w:rsid w:val="00BC4B86"/>
    <w:rsid w:val="00BC64FF"/>
    <w:rsid w:val="00BC7C37"/>
    <w:rsid w:val="00BD2244"/>
    <w:rsid w:val="00BE6472"/>
    <w:rsid w:val="00BF29B8"/>
    <w:rsid w:val="00BF46EA"/>
    <w:rsid w:val="00C07769"/>
    <w:rsid w:val="00C07D05"/>
    <w:rsid w:val="00C10856"/>
    <w:rsid w:val="00C203FA"/>
    <w:rsid w:val="00C244F5"/>
    <w:rsid w:val="00C30C4F"/>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86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EC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3F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81F"/>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73C6072-2160-924F-B19D-7ED79421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54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2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2C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32C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632C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2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C1F"/>
  </w:style>
  <w:style w:type="character" w:customStyle="1" w:styleId="Heading1Char">
    <w:name w:val="Heading 1 Char"/>
    <w:aliases w:val="Pocket Char"/>
    <w:basedOn w:val="DefaultParagraphFont"/>
    <w:link w:val="Heading1"/>
    <w:uiPriority w:val="9"/>
    <w:rsid w:val="00632C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2C1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32C1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32C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32C1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1"/>
    <w:qFormat/>
    <w:rsid w:val="00632C1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632C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2C1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32C1F"/>
    <w:rPr>
      <w:color w:val="auto"/>
      <w:u w:val="none"/>
    </w:rPr>
  </w:style>
  <w:style w:type="paragraph" w:styleId="DocumentMap">
    <w:name w:val="Document Map"/>
    <w:basedOn w:val="Normal"/>
    <w:link w:val="DocumentMapChar"/>
    <w:uiPriority w:val="99"/>
    <w:semiHidden/>
    <w:unhideWhenUsed/>
    <w:rsid w:val="00632C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2C1F"/>
    <w:rPr>
      <w:rFonts w:ascii="Lucida Grande" w:hAnsi="Lucida Grande" w:cs="Lucida Grande"/>
    </w:rPr>
  </w:style>
  <w:style w:type="paragraph" w:customStyle="1" w:styleId="textbold">
    <w:name w:val="text bold"/>
    <w:basedOn w:val="Normal"/>
    <w:link w:val="Emphasis"/>
    <w:uiPriority w:val="20"/>
    <w:qFormat/>
    <w:rsid w:val="00480658"/>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No Spacing11211,No Spacing23"/>
    <w:basedOn w:val="Heading1"/>
    <w:link w:val="Hyperlink"/>
    <w:autoRedefine/>
    <w:uiPriority w:val="99"/>
    <w:qFormat/>
    <w:rsid w:val="008454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472F6"/>
    <w:pPr>
      <w:ind w:left="720"/>
      <w:contextualSpacing/>
    </w:pPr>
  </w:style>
  <w:style w:type="paragraph" w:styleId="NoSpacing">
    <w:name w:val="No Spacing"/>
    <w:aliases w:val="Card Format,ClearFormatting,Clear,DDI Tag,Tag Title,No Spacing6,No Spacing7,No Spacing8,Dont u,No Spacing311,No Spacing51,ca"/>
    <w:basedOn w:val="Heading1"/>
    <w:autoRedefine/>
    <w:uiPriority w:val="99"/>
    <w:qFormat/>
    <w:rsid w:val="006472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075070">
      <w:bodyDiv w:val="1"/>
      <w:marLeft w:val="0"/>
      <w:marRight w:val="0"/>
      <w:marTop w:val="0"/>
      <w:marBottom w:val="0"/>
      <w:divBdr>
        <w:top w:val="none" w:sz="0" w:space="0" w:color="auto"/>
        <w:left w:val="none" w:sz="0" w:space="0" w:color="auto"/>
        <w:bottom w:val="none" w:sz="0" w:space="0" w:color="auto"/>
        <w:right w:val="none" w:sz="0" w:space="0" w:color="auto"/>
      </w:divBdr>
    </w:div>
    <w:div w:id="15536946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98.griffith.edu.au/dspace/bitstream/handle/10072/21024/50540_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E772A3-77E7-A04B-B4FC-E98A3C859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79</TotalTime>
  <Pages>10</Pages>
  <Words>8105</Words>
  <Characters>46201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9</cp:revision>
  <dcterms:created xsi:type="dcterms:W3CDTF">2022-02-19T18:26:00Z</dcterms:created>
  <dcterms:modified xsi:type="dcterms:W3CDTF">2022-02-20T00:27:00Z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