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3448" w:rsidRDefault="00993448" w:rsidP="00993448">
      <w:pPr>
        <w:pStyle w:val="Heading1"/>
      </w:pPr>
      <w:r>
        <w:t>AC</w:t>
      </w:r>
    </w:p>
    <w:p w:rsidR="00993448" w:rsidRPr="00CF49AE" w:rsidRDefault="00993448" w:rsidP="00993448">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993448" w:rsidRPr="0004302C" w:rsidRDefault="00993448" w:rsidP="00993448">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993448" w:rsidRPr="0004302C" w:rsidRDefault="00993448" w:rsidP="00993448">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993448" w:rsidRDefault="00993448" w:rsidP="00993448">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r>
        <w:t xml:space="preserve"> I would want to be topical but not at the cost of retrenching rehabilitative futurism and ableist violence. The topic is terminally futuristic and I simply can’t defend it.</w:t>
      </w:r>
    </w:p>
    <w:p w:rsidR="00993448" w:rsidRPr="0004302C" w:rsidRDefault="00993448" w:rsidP="00993448">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w:t>
      </w:r>
      <w:r w:rsidRPr="0004302C">
        <w:rPr>
          <w:color w:val="000000" w:themeColor="text1"/>
          <w:sz w:val="16"/>
          <w:szCs w:val="16"/>
        </w:rPr>
        <w:lastRenderedPageBreak/>
        <w:t xml:space="preserve">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993448" w:rsidRPr="0004302C" w:rsidRDefault="00993448" w:rsidP="00993448">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993448" w:rsidRPr="00CF49AE" w:rsidRDefault="00993448" w:rsidP="00993448">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r>
        <w:t xml:space="preserve"> Pointing out violence in the activity and refusing to retrench ableist violence comes before any conception of topicality or what debate should be.</w:t>
      </w:r>
      <w:r w:rsidR="004C4400">
        <w:t xml:space="preserve"> It is violent to force us defend a violent topic and silence our voice on systematic violence just because it’s not your ideal view of debate.</w:t>
      </w:r>
      <w:bookmarkStart w:id="0" w:name="_GoBack"/>
      <w:bookmarkEnd w:id="0"/>
    </w:p>
    <w:p w:rsidR="00993448" w:rsidRPr="006948C8" w:rsidRDefault="00993448" w:rsidP="00993448">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993448" w:rsidRDefault="00993448" w:rsidP="00993448">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 xml:space="preserve">accumulation of capital necessarily leads to the polarisation of </w:t>
      </w:r>
      <w:r w:rsidRPr="004B73C8">
        <w:rPr>
          <w:rStyle w:val="Emphasis"/>
        </w:rPr>
        <w:lastRenderedPageBreak/>
        <w:t>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 xml:space="preserve">threatens posthuman subjectivity by being unmalleable and </w:t>
      </w:r>
      <w:r w:rsidRPr="004B73C8">
        <w:rPr>
          <w:rStyle w:val="Emphasis"/>
          <w:highlight w:val="green"/>
        </w:rPr>
        <w:lastRenderedPageBreak/>
        <w:t>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993448" w:rsidRDefault="00993448" w:rsidP="00993448">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993448" w:rsidRPr="009C5080" w:rsidRDefault="00993448" w:rsidP="00993448">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993448" w:rsidRPr="00CF49AE" w:rsidRDefault="00993448" w:rsidP="00993448">
      <w:pPr>
        <w:rPr>
          <w:b/>
          <w:iCs/>
          <w:sz w:val="26"/>
          <w:u w:val="single"/>
        </w:rPr>
      </w:pPr>
      <w:r w:rsidRPr="0004302C">
        <w:rPr>
          <w:rStyle w:val="Emphasis"/>
        </w:rPr>
        <w:t xml:space="preserve">The disabled are dying and with them dis/abled culture is being eradicated. In the time between formulating this project and its completion already too many disabled souls have </w:t>
      </w:r>
      <w:r w:rsidRPr="0004302C">
        <w:rPr>
          <w:rStyle w:val="Emphasis"/>
        </w:rPr>
        <w:lastRenderedPageBreak/>
        <w:t>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w:t>
      </w:r>
      <w:r w:rsidRPr="0004302C">
        <w:rPr>
          <w:sz w:val="14"/>
        </w:rPr>
        <w:lastRenderedPageBreak/>
        <w:t xml:space="preserve">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w:t>
      </w:r>
      <w:r w:rsidRPr="0004302C">
        <w:rPr>
          <w:sz w:val="14"/>
        </w:rPr>
        <w:lastRenderedPageBreak/>
        <w:t xml:space="preserve">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993448" w:rsidRPr="0004302C" w:rsidRDefault="00993448" w:rsidP="00993448">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993448" w:rsidRPr="0004302C" w:rsidRDefault="00993448" w:rsidP="00993448">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993448" w:rsidRDefault="00993448" w:rsidP="00993448">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993448" w:rsidRPr="00D24FE5" w:rsidRDefault="00993448" w:rsidP="00993448">
      <w:pPr>
        <w:pStyle w:val="Heading4"/>
        <w:rPr>
          <w:rFonts w:cs="Calibri"/>
        </w:rPr>
      </w:pPr>
      <w:r>
        <w:rPr>
          <w:rFonts w:cs="Calibri"/>
        </w:rPr>
        <w:lastRenderedPageBreak/>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993448" w:rsidRPr="00D24FE5" w:rsidRDefault="00993448" w:rsidP="00993448">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993448" w:rsidRPr="00CF49AE" w:rsidRDefault="00993448" w:rsidP="00993448">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 xml:space="preserve">the ableist social and psychic </w:t>
      </w:r>
      <w:r w:rsidRPr="009C2DDA">
        <w:rPr>
          <w:b/>
          <w:sz w:val="26"/>
          <w:szCs w:val="26"/>
          <w:highlight w:val="green"/>
          <w:u w:val="single"/>
        </w:rPr>
        <w:lastRenderedPageBreak/>
        <w:t>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993448" w:rsidRDefault="00993448" w:rsidP="00993448">
      <w:pPr>
        <w:pStyle w:val="Heading2"/>
      </w:pPr>
      <w:r>
        <w:lastRenderedPageBreak/>
        <w:t>UV</w:t>
      </w:r>
    </w:p>
    <w:p w:rsidR="00993448" w:rsidRPr="0005677F" w:rsidRDefault="00993448" w:rsidP="00993448">
      <w:pPr>
        <w:pStyle w:val="Heading4"/>
        <w:rPr>
          <w:rFonts w:cs="Calibri"/>
        </w:rPr>
      </w:pPr>
      <w:r>
        <w:rPr>
          <w:rFonts w:cs="Calibri"/>
        </w:rPr>
        <w:t>Exclusionary conceptions of topical correctness are violent.</w:t>
      </w:r>
    </w:p>
    <w:p w:rsidR="00993448" w:rsidRPr="003A2CE2" w:rsidRDefault="00993448" w:rsidP="00993448">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993448" w:rsidRPr="003A2CE2" w:rsidRDefault="00993448" w:rsidP="00993448">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993448" w:rsidRPr="00B10F37" w:rsidRDefault="00993448" w:rsidP="00993448">
      <w:pPr>
        <w:pStyle w:val="Heading4"/>
        <w:rPr>
          <w:sz w:val="8"/>
        </w:rPr>
      </w:pPr>
      <w:r>
        <w:t xml:space="preserve">Notions of competitive equity </w:t>
      </w:r>
      <w:r w:rsidRPr="00B10F37">
        <w:t>marginalize the out group and retrench power structures</w:t>
      </w:r>
      <w:r>
        <w:t>.</w:t>
      </w:r>
    </w:p>
    <w:p w:rsidR="00993448" w:rsidRDefault="00993448" w:rsidP="00993448">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993448" w:rsidRDefault="00993448" w:rsidP="00993448">
      <w:r>
        <w:t xml:space="preserve">A lot of things explain objective approach to fairness is false. </w:t>
      </w:r>
    </w:p>
    <w:p w:rsidR="00993448" w:rsidRDefault="00993448" w:rsidP="00993448">
      <w:r>
        <w:t>Fairness is non unique in the round</w:t>
      </w:r>
    </w:p>
    <w:p w:rsidR="00993448" w:rsidRPr="002C0175" w:rsidRDefault="00993448" w:rsidP="00993448">
      <w:r>
        <w:t>Impact turns fairness: even if fairness is good, your form of fairness ignores structural fairness(tfwk only cares about in round competive equity), which means you further entrenches violence and unfairness.</w:t>
      </w:r>
    </w:p>
    <w:p w:rsidR="00993448" w:rsidRPr="00B10F37" w:rsidRDefault="00993448" w:rsidP="00993448">
      <w:pPr>
        <w:pStyle w:val="Smalltext"/>
        <w:rPr>
          <w:color w:val="000000" w:themeColor="text1"/>
        </w:rPr>
      </w:pPr>
    </w:p>
    <w:p w:rsidR="00993448" w:rsidRDefault="00993448" w:rsidP="00993448">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993448" w:rsidRPr="00BC324F" w:rsidRDefault="00993448" w:rsidP="00993448">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993448" w:rsidRPr="00BC324F" w:rsidRDefault="00993448" w:rsidP="00993448">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993448" w:rsidRPr="00BC324F" w:rsidRDefault="00993448" w:rsidP="00993448">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34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400"/>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448"/>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53E44A4-ABFA-6D46-B65F-4AAC0406A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34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3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34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34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9934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3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448"/>
  </w:style>
  <w:style w:type="character" w:customStyle="1" w:styleId="Heading1Char">
    <w:name w:val="Heading 1 Char"/>
    <w:aliases w:val="Pocket Char"/>
    <w:basedOn w:val="DefaultParagraphFont"/>
    <w:link w:val="Heading1"/>
    <w:uiPriority w:val="9"/>
    <w:rsid w:val="009934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34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344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99344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3448"/>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99344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934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3448"/>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993448"/>
    <w:rPr>
      <w:color w:val="auto"/>
      <w:u w:val="none"/>
    </w:rPr>
  </w:style>
  <w:style w:type="paragraph" w:styleId="DocumentMap">
    <w:name w:val="Document Map"/>
    <w:basedOn w:val="Normal"/>
    <w:link w:val="DocumentMapChar"/>
    <w:uiPriority w:val="99"/>
    <w:semiHidden/>
    <w:unhideWhenUsed/>
    <w:rsid w:val="009934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3448"/>
    <w:rPr>
      <w:rFonts w:ascii="Lucida Grande" w:hAnsi="Lucida Grande" w:cs="Lucida Grande"/>
    </w:rPr>
  </w:style>
  <w:style w:type="paragraph" w:customStyle="1" w:styleId="textbold">
    <w:name w:val="text bold"/>
    <w:basedOn w:val="Normal"/>
    <w:link w:val="Emphasis"/>
    <w:uiPriority w:val="20"/>
    <w:qFormat/>
    <w:rsid w:val="00993448"/>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9934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993448"/>
    <w:rPr>
      <w:rFonts w:eastAsia="Calibri"/>
      <w:sz w:val="14"/>
    </w:rPr>
  </w:style>
  <w:style w:type="character" w:customStyle="1" w:styleId="SmalltextChar">
    <w:name w:val="Small text Char"/>
    <w:aliases w:val="Quote Char,Quote1 Char1"/>
    <w:link w:val="Smalltext"/>
    <w:rsid w:val="00993448"/>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74BF69-995C-AD4F-9263-C1F26FFB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15</Pages>
  <Words>11097</Words>
  <Characters>63258</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2021-11-13T16:18:00Z</dcterms:created>
  <dcterms:modified xsi:type="dcterms:W3CDTF">2021-11-13T16:28:00Z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