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25A9B" w:rsidRPr="005B0098" w:rsidRDefault="00925A9B" w:rsidP="00925A9B">
      <w:pPr>
        <w:pStyle w:val="Heading3"/>
      </w:pPr>
      <w:r w:rsidRPr="005B0098">
        <w:t>Framework</w:t>
      </w:r>
    </w:p>
    <w:p w:rsidR="00925A9B" w:rsidRPr="00925D23" w:rsidRDefault="00925A9B" w:rsidP="00925A9B">
      <w:pPr>
        <w:pStyle w:val="Heading4"/>
        <w:rPr>
          <w:rFonts w:cs="Calibri"/>
        </w:rPr>
      </w:pPr>
      <w:r w:rsidRPr="00925D23">
        <w:rPr>
          <w:rFonts w:cs="Calibri"/>
        </w:rPr>
        <w:t>Ethics must begin a priori</w:t>
      </w:r>
      <w:r>
        <w:rPr>
          <w:rFonts w:cs="Calibri"/>
        </w:rPr>
        <w:t>:</w:t>
      </w:r>
    </w:p>
    <w:p w:rsidR="00925A9B" w:rsidRPr="00925D23" w:rsidRDefault="00925A9B" w:rsidP="00925A9B">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rsidR="00925A9B" w:rsidRPr="00D836FE" w:rsidRDefault="00925A9B" w:rsidP="00925A9B">
      <w:pPr>
        <w:pStyle w:val="Heading4"/>
        <w:rPr>
          <w:rFonts w:cs="Calibri"/>
        </w:rPr>
      </w:pPr>
      <w:r>
        <w:rPr>
          <w:rFonts w:cs="Calibri"/>
        </w:rPr>
        <w:t>[B]</w:t>
      </w:r>
      <w:r w:rsidRPr="00925D23">
        <w:rPr>
          <w:rFonts w:cs="Calibri"/>
        </w:rPr>
        <w:t xml:space="preserve"> </w:t>
      </w:r>
      <w:r>
        <w:rPr>
          <w:rFonts w:cs="Calibri"/>
          <w:u w:val="single"/>
        </w:rPr>
        <w:t>Empirical Uncertainty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rsidR="00925A9B" w:rsidRDefault="00925A9B" w:rsidP="00925A9B">
      <w:pPr>
        <w:pStyle w:val="Heading4"/>
        <w:rPr>
          <w:rFonts w:cs="Calibri"/>
        </w:rPr>
      </w:pPr>
      <w:r>
        <w:rPr>
          <w:rFonts w:cs="Calibri"/>
        </w:rPr>
        <w:t>[C]</w:t>
      </w:r>
      <w:r w:rsidRPr="00925D23">
        <w:rPr>
          <w:rFonts w:cs="Calibri"/>
        </w:rPr>
        <w:t xml:space="preserve"> </w:t>
      </w:r>
      <w:r>
        <w:rPr>
          <w:rFonts w:cs="Calibri"/>
          <w:u w:val="single"/>
        </w:rPr>
        <w:t>Authority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rsidR="00925A9B" w:rsidRPr="00AD6005" w:rsidRDefault="00925A9B" w:rsidP="00925A9B">
      <w:pPr>
        <w:pStyle w:val="Heading4"/>
        <w:rPr>
          <w:rFonts w:cs="Calibri"/>
        </w:rPr>
      </w:pPr>
      <w:r w:rsidRPr="005B0098">
        <w:rPr>
          <w:rFonts w:cs="Calibri"/>
        </w:rPr>
        <w:t>[</w:t>
      </w:r>
      <w:r>
        <w:rPr>
          <w:rFonts w:cs="Calibri"/>
        </w:rPr>
        <w:t>D</w:t>
      </w:r>
      <w:r w:rsidRPr="005B0098">
        <w:rPr>
          <w:rFonts w:cs="Calibri"/>
        </w:rPr>
        <w:t xml:space="preserve">] </w:t>
      </w:r>
      <w:r w:rsidRPr="00AD6005">
        <w:rPr>
          <w:rFonts w:cs="Calibri"/>
          <w:u w:val="single"/>
        </w:rPr>
        <w:t>Consequences Fail</w:t>
      </w:r>
      <w:r w:rsidRPr="005B0098">
        <w:rPr>
          <w:rFonts w:cs="Calibri"/>
        </w:rPr>
        <w:t>: [</w:t>
      </w:r>
      <w:r>
        <w:rPr>
          <w:rFonts w:cs="Calibri"/>
        </w:rPr>
        <w:t>1</w:t>
      </w:r>
      <w:r w:rsidRPr="005B0098">
        <w:rPr>
          <w:rFonts w:cs="Calibri"/>
        </w:rPr>
        <w:t>]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2</w:t>
      </w:r>
      <w:r w:rsidRPr="005B0098">
        <w:rPr>
          <w:rFonts w:cs="Calibri"/>
        </w:rPr>
        <w:t>] Induction is circular because it relies on the assumption that nature will hold uniform and we could only reach that conclusion through inductive reasoning based on observation of past events. [</w:t>
      </w:r>
      <w:r>
        <w:rPr>
          <w:rFonts w:cs="Calibri"/>
        </w:rPr>
        <w:t>3</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headaches</w:t>
      </w:r>
      <w:r>
        <w:rPr>
          <w:rFonts w:cs="Calibri"/>
        </w:rPr>
        <w:t>.</w:t>
      </w:r>
    </w:p>
    <w:p w:rsidR="00925A9B" w:rsidRDefault="00925A9B" w:rsidP="00925A9B">
      <w:pPr>
        <w:pStyle w:val="Heading4"/>
        <w:rPr>
          <w:rFonts w:cs="Calibri"/>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r>
        <w:rPr>
          <w:rFonts w:cs="Times New Roman"/>
          <w:color w:val="000000" w:themeColor="text1"/>
        </w:rPr>
        <w:t xml:space="preserve"> and </w:t>
      </w:r>
      <w:r>
        <w:rPr>
          <w:rFonts w:cs="Calibri"/>
        </w:rPr>
        <w:t>e</w:t>
      </w:r>
      <w:r w:rsidRPr="00722C80">
        <w:rPr>
          <w:rFonts w:cs="Calibri"/>
        </w:rPr>
        <w:t xml:space="preserve">valuate the debate after the </w:t>
      </w:r>
      <w:bookmarkStart w:id="0" w:name="_GoBack"/>
      <w:bookmarkEnd w:id="0"/>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rsidR="00925A9B" w:rsidRPr="005B0098" w:rsidRDefault="00925A9B" w:rsidP="00925A9B">
      <w:pPr>
        <w:pStyle w:val="Heading4"/>
        <w:spacing w:line="240" w:lineRule="auto"/>
        <w:rPr>
          <w:rFonts w:cs="Calibri"/>
          <w:color w:val="000000" w:themeColor="text1"/>
        </w:rPr>
      </w:pPr>
      <w:r w:rsidRPr="005B0098">
        <w:rPr>
          <w:rFonts w:cs="Calibri"/>
          <w:color w:val="000000" w:themeColor="text1"/>
        </w:rPr>
        <w:lastRenderedPageBreak/>
        <w:t xml:space="preserve">[1] </w:t>
      </w:r>
      <w:r>
        <w:rPr>
          <w:rFonts w:cs="Calibri"/>
          <w:color w:val="000000" w:themeColor="text1"/>
        </w:rPr>
        <w:t>F</w:t>
      </w:r>
      <w:r w:rsidRPr="005B0098">
        <w:rPr>
          <w:rFonts w:cs="Calibri"/>
          <w:color w:val="000000" w:themeColor="text1"/>
        </w:rPr>
        <w:t>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rsidR="00925A9B" w:rsidRDefault="00925A9B" w:rsidP="00925A9B">
      <w:pPr>
        <w:pStyle w:val="Heading4"/>
        <w:rPr>
          <w:rFonts w:cs="Calibri"/>
        </w:rPr>
      </w:pPr>
      <w:r w:rsidRPr="005B0098">
        <w:rPr>
          <w:rFonts w:cs="Calibri"/>
        </w:rPr>
        <w:t>[2] Externalism fails: no reason why we ought to care about higher order because they can just say screw it and not follow that order which takes out consequences because we don’t care about them.</w:t>
      </w:r>
    </w:p>
    <w:p w:rsidR="00925A9B" w:rsidRDefault="00925A9B" w:rsidP="00925A9B">
      <w:pPr>
        <w:pStyle w:val="Heading4"/>
      </w:pPr>
      <w:r w:rsidRPr="00A20754">
        <w:t xml:space="preserve">Impact calc: [A] There’s an act/omission distinction – otherwise we’d be held infinitely culpable for every omission which kills any conception of morality [B] </w:t>
      </w:r>
      <w:r w:rsidRPr="003B0254">
        <w:t>Action under one framework doesn’t preclude action under another. For example, if I am a Kantian, I can still have an obligation under Kant, even if the aff is bad under Hobbes. This means that winning a framing issue doesn’t exclude my offense. Particularly allowing for individual meaning creation is inherently good regardless of the content of index</w:t>
      </w:r>
      <w:r>
        <w:t xml:space="preserve"> and drop them if they go to Harker, key to reciprocity since your teammate beat me at the sophomore round robin. </w:t>
      </w:r>
    </w:p>
    <w:p w:rsidR="00925A9B" w:rsidRPr="00925A9B" w:rsidRDefault="00925A9B" w:rsidP="00925A9B">
      <w:pPr>
        <w:pStyle w:val="Heading4"/>
      </w:pPr>
      <w:r>
        <w:t>[3]</w:t>
      </w:r>
      <w:r w:rsidRPr="00925A9B">
        <w:t>Whatever argument the negative is running doesn’t prove the resolution false on its own terms, but rather challenges an assumption of the resolution. Secondly, statements like the resolution which make such assumptions should read as tacit conditionals or “If p, then q”. Thirdly, for all conditionals, if the antecedent, or the if part, is false, then the conditional as a whole is true. These three claims in combination, then, mean that by refuting an “assumption” of the resolution, the negative has actually proven it true.</w:t>
      </w:r>
    </w:p>
    <w:p w:rsidR="00925A9B" w:rsidRDefault="00925A9B" w:rsidP="00925A9B">
      <w:pPr>
        <w:pStyle w:val="Heading3"/>
      </w:pPr>
      <w:r>
        <w:lastRenderedPageBreak/>
        <w:t>Advocacy</w:t>
      </w:r>
    </w:p>
    <w:p w:rsidR="00925A9B" w:rsidRPr="006857CB" w:rsidRDefault="00925A9B" w:rsidP="0061317A">
      <w:pPr>
        <w:pStyle w:val="Heading4"/>
      </w:pPr>
      <w:r w:rsidRPr="006857CB">
        <w:rPr>
          <w:color w:val="000000" w:themeColor="text1"/>
        </w:rPr>
        <w:t xml:space="preserve">Thus, the </w:t>
      </w:r>
      <w:r>
        <w:rPr>
          <w:color w:val="000000" w:themeColor="text1"/>
        </w:rPr>
        <w:t>advocacy</w:t>
      </w:r>
      <w:r w:rsidRPr="006857CB">
        <w:rPr>
          <w:color w:val="000000" w:themeColor="text1"/>
        </w:rPr>
        <w:t xml:space="preserve"> – Resolved</w:t>
      </w:r>
      <w:r w:rsidRPr="006857CB">
        <w:t xml:space="preserve">: </w:t>
      </w:r>
      <w:r w:rsidR="0061317A" w:rsidRPr="00E875D9">
        <w:t>The member nations of the World Trade Organization ought to reduce intellectual property protections for medicines.</w:t>
      </w:r>
      <w:r w:rsidRPr="006857CB">
        <w:t xml:space="preserve">. </w:t>
      </w:r>
      <w:r w:rsidRPr="006857CB">
        <w:rPr>
          <w:color w:val="000000" w:themeColor="text1"/>
        </w:rPr>
        <w:t>CP and PICs affirm because they do not disprove my general thesis</w:t>
      </w:r>
      <w:r w:rsidRPr="006857CB">
        <w:t xml:space="preserve"> and check the doc for a list for spec.</w:t>
      </w:r>
    </w:p>
    <w:p w:rsidR="00925A9B" w:rsidRPr="0095603E" w:rsidRDefault="00925A9B" w:rsidP="00925A9B">
      <w:pPr>
        <w:rPr>
          <w:color w:val="000000" w:themeColor="text1"/>
        </w:rPr>
      </w:pPr>
      <w:r w:rsidRPr="0095603E">
        <w:rPr>
          <w:color w:val="000000" w:themeColor="text1"/>
        </w:rPr>
        <w:t>For SPEC, if you need a list in the aff its here, but im willing to change it to what you need in cx</w:t>
      </w:r>
      <w:r>
        <w:rPr>
          <w:color w:val="000000" w:themeColor="text1"/>
        </w:rPr>
        <w:t xml:space="preserve"> within reason</w:t>
      </w:r>
    </w:p>
    <w:p w:rsidR="00925A9B" w:rsidRPr="006F4D8E" w:rsidRDefault="00925A9B" w:rsidP="00925A9B">
      <w:pPr>
        <w:pStyle w:val="Heading4"/>
      </w:pPr>
      <w:r w:rsidRPr="006F4D8E">
        <w:rPr>
          <w:color w:val="000000" w:themeColor="text1"/>
        </w:rPr>
        <w:t xml:space="preserve">Oxford </w:t>
      </w:r>
      <w:r w:rsidRPr="006F4D8E">
        <w:t xml:space="preserve">defines States as “express something definitely or clearly in speech or writing.” OUGHT TO ELIMINATE </w:t>
      </w:r>
      <w:r>
        <w:t xml:space="preserve">LETHAL AUTONOMOUS WEAPONS. </w:t>
      </w:r>
    </w:p>
    <w:p w:rsidR="00925A9B" w:rsidRPr="006F4D8E" w:rsidRDefault="00925A9B" w:rsidP="00925A9B">
      <w:pPr>
        <w:pStyle w:val="Heading4"/>
      </w:pPr>
      <w:r w:rsidRPr="006F4D8E">
        <w:t>Oxford defines resolved as “firmly determined to do something” Auto affirm because I’m firmly determined to affirm</w:t>
      </w:r>
    </w:p>
    <w:p w:rsidR="00925A9B" w:rsidRPr="006F4D8E" w:rsidRDefault="00925A9B" w:rsidP="00925A9B">
      <w:pPr>
        <w:pStyle w:val="Heading4"/>
      </w:pPr>
      <w:r w:rsidRPr="006F4D8E">
        <w:t>Oxford defines affirmative as “agreeing with or consenting to a statement or request” Auto affirm because I agree with the res</w:t>
      </w:r>
    </w:p>
    <w:p w:rsidR="00925A9B" w:rsidRPr="00925A9B" w:rsidRDefault="00925A9B" w:rsidP="00925A9B"/>
    <w:p w:rsidR="00925A9B" w:rsidRPr="00A70380" w:rsidRDefault="00925A9B" w:rsidP="00925A9B">
      <w:r w:rsidRPr="007F614E">
        <w:rPr>
          <w:rStyle w:val="Style13ptBold"/>
        </w:rPr>
        <w:t>Merriam Webster</w:t>
      </w:r>
      <w:r w:rsidRPr="00A70380">
        <w:rPr>
          <w:sz w:val="16"/>
          <w:szCs w:val="16"/>
        </w:rPr>
        <w:t xml:space="preserve"> ["Ought." Merriam-Webster.com. Merriam-Webster, n.d. Web. 27 Dec. 2018. </w:t>
      </w:r>
      <w:hyperlink r:id="rId9"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rsidR="00925A9B" w:rsidRPr="007F614E" w:rsidRDefault="00925A9B" w:rsidP="00925A9B">
      <w:pPr>
        <w:rPr>
          <w:sz w:val="14"/>
        </w:rPr>
      </w:pPr>
      <w:r w:rsidRPr="007F614E">
        <w:rPr>
          <w:rStyle w:val="Emphasis"/>
        </w:rPr>
        <w:t xml:space="preserve">Ought </w:t>
      </w:r>
      <w:hyperlink r:id="rId10" w:history="1">
        <w:r w:rsidRPr="007F614E">
          <w:rPr>
            <w:rStyle w:val="Hyperlink"/>
            <w:sz w:val="14"/>
          </w:rPr>
          <w:t>auxiliary verb</w:t>
        </w:r>
      </w:hyperlink>
      <w:r w:rsidRPr="007F614E">
        <w:rPr>
          <w:sz w:val="14"/>
        </w:rPr>
        <w:t xml:space="preserve"> \ˈȯt  \ Definition of ought  (</w:t>
      </w:r>
      <w:r w:rsidRPr="007F614E">
        <w:rPr>
          <w:rStyle w:val="Emphasis"/>
        </w:rPr>
        <w:t>Entry 1</w:t>
      </w:r>
      <w:r w:rsidRPr="007F614E">
        <w:rPr>
          <w:sz w:val="14"/>
        </w:rPr>
        <w:t xml:space="preserve"> of 4) —</w:t>
      </w:r>
      <w:r w:rsidRPr="007F614E">
        <w:rPr>
          <w:rStyle w:val="Emphasis"/>
        </w:rPr>
        <w:t xml:space="preserve">used to express obligation </w:t>
      </w:r>
      <w:r w:rsidRPr="007F614E">
        <w:rPr>
          <w:sz w:val="14"/>
        </w:rPr>
        <w:t xml:space="preserve">ought to pay our debts, advisability ought to take care of yourself, natural expectation ought to be here by now, or logical consequence the result ought to be infinity ought </w:t>
      </w:r>
      <w:hyperlink r:id="rId11" w:history="1">
        <w:r w:rsidRPr="007F614E">
          <w:rPr>
            <w:rStyle w:val="Hyperlink"/>
            <w:sz w:val="14"/>
          </w:rPr>
          <w:t>verb</w:t>
        </w:r>
      </w:hyperlink>
      <w:r w:rsidRPr="007F614E">
        <w:rPr>
          <w:sz w:val="14"/>
        </w:rPr>
        <w:t xml:space="preserve"> \ˈȯ(ḵ)t  \ Definition of ought (Entry 2 of 4) </w:t>
      </w:r>
      <w:hyperlink r:id="rId12" w:history="1">
        <w:r w:rsidRPr="007F614E">
          <w:rPr>
            <w:rStyle w:val="Hyperlink"/>
            <w:sz w:val="14"/>
          </w:rPr>
          <w:t>transitive verb</w:t>
        </w:r>
      </w:hyperlink>
      <w:r w:rsidRPr="007F614E">
        <w:rPr>
          <w:sz w:val="14"/>
        </w:rPr>
        <w:t xml:space="preserve"> 1chiefly Scotland : </w:t>
      </w:r>
      <w:hyperlink r:id="rId13" w:history="1">
        <w:r w:rsidRPr="007F614E">
          <w:rPr>
            <w:rStyle w:val="Hyperlink"/>
            <w:sz w:val="14"/>
          </w:rPr>
          <w:t>POSSESS</w:t>
        </w:r>
      </w:hyperlink>
      <w:r w:rsidRPr="007F614E">
        <w:rPr>
          <w:sz w:val="14"/>
        </w:rPr>
        <w:t xml:space="preserve"> 2chiefly Scotland : </w:t>
      </w:r>
      <w:hyperlink r:id="rId14" w:history="1">
        <w:r w:rsidRPr="007F614E">
          <w:rPr>
            <w:rStyle w:val="Hyperlink"/>
            <w:sz w:val="14"/>
          </w:rPr>
          <w:t>OWE</w:t>
        </w:r>
      </w:hyperlink>
      <w:r w:rsidRPr="007F614E">
        <w:rPr>
          <w:sz w:val="14"/>
        </w:rPr>
        <w:t xml:space="preserve"> ought  </w:t>
      </w:r>
      <w:hyperlink r:id="rId15" w:history="1">
        <w:r w:rsidRPr="007F614E">
          <w:rPr>
            <w:rStyle w:val="Hyperlink"/>
            <w:sz w:val="14"/>
          </w:rPr>
          <w:t>noun</w:t>
        </w:r>
      </w:hyperlink>
      <w:r w:rsidRPr="007F614E">
        <w:rPr>
          <w:sz w:val="14"/>
        </w:rPr>
        <w:t xml:space="preserve"> \ˈȯt  \ Definition of ought (Entry 3 of 4) : moral obligation : </w:t>
      </w:r>
      <w:hyperlink r:id="rId16" w:history="1">
        <w:r w:rsidRPr="007F614E">
          <w:rPr>
            <w:rStyle w:val="Hyperlink"/>
            <w:sz w:val="14"/>
          </w:rPr>
          <w:t>DUTY</w:t>
        </w:r>
      </w:hyperlink>
      <w:r w:rsidRPr="007F614E">
        <w:rPr>
          <w:sz w:val="14"/>
        </w:rPr>
        <w:t xml:space="preserve"> ought \ˈȯt,  ˈät\ Definition of ought (Entry 4 of 4) archaic spelling of </w:t>
      </w:r>
      <w:hyperlink r:id="rId17" w:history="1">
        <w:r w:rsidRPr="007F614E">
          <w:rPr>
            <w:rStyle w:val="Hyperlink"/>
            <w:sz w:val="14"/>
          </w:rPr>
          <w:t>AUGHT</w:t>
        </w:r>
      </w:hyperlink>
    </w:p>
    <w:p w:rsidR="00925A9B" w:rsidRDefault="00925A9B" w:rsidP="00925A9B">
      <w:pPr>
        <w:pStyle w:val="Heading3"/>
      </w:pPr>
      <w:r>
        <w:lastRenderedPageBreak/>
        <w:t>Offense</w:t>
      </w:r>
    </w:p>
    <w:p w:rsidR="00925A9B" w:rsidRDefault="001653C1" w:rsidP="00925A9B">
      <w:pPr>
        <w:pStyle w:val="Heading4"/>
      </w:pPr>
      <w:r>
        <w:t xml:space="preserve"> </w:t>
      </w:r>
      <w:r w:rsidR="00925A9B">
        <w:t>[1] Intellectual property protection violates the formula of autonomy – multiple warrants.</w:t>
      </w:r>
    </w:p>
    <w:p w:rsidR="00925A9B" w:rsidRPr="001D194D" w:rsidRDefault="00925A9B" w:rsidP="00925A9B">
      <w:pPr>
        <w:rPr>
          <w:sz w:val="16"/>
          <w:szCs w:val="16"/>
        </w:rPr>
      </w:pPr>
      <w:r w:rsidRPr="00EC76DA">
        <w:rPr>
          <w:rFonts w:eastAsiaTheme="majorEastAsia" w:cstheme="majorBidi"/>
          <w:b/>
          <w:bCs/>
          <w:sz w:val="26"/>
          <w:szCs w:val="26"/>
        </w:rPr>
        <w:t>Hale 18</w:t>
      </w:r>
      <w:r>
        <w:t xml:space="preserve"> </w:t>
      </w:r>
      <w:r w:rsidRPr="001D194D">
        <w:rPr>
          <w:sz w:val="16"/>
          <w:szCs w:val="16"/>
        </w:rPr>
        <w:t xml:space="preserve">Zachary A., 4-4-2018, "Patently Unfair: The Tensions Between Human Rights and Intellectual Property Protection," Arkansas Journal of Social Change and Public Service, </w:t>
      </w:r>
      <w:hyperlink r:id="rId18" w:history="1">
        <w:r w:rsidRPr="001D194D">
          <w:rPr>
            <w:rStyle w:val="Hyperlink"/>
            <w:sz w:val="16"/>
            <w:szCs w:val="16"/>
          </w:rPr>
          <w:t>https://ualr.edu/socialchange/2018/04/04/patently-unfair/</w:t>
        </w:r>
      </w:hyperlink>
      <w:r w:rsidRPr="001D194D">
        <w:rPr>
          <w:sz w:val="16"/>
          <w:szCs w:val="16"/>
        </w:rPr>
        <w:t xml:space="preserve"> JG</w:t>
      </w:r>
    </w:p>
    <w:p w:rsidR="00925A9B" w:rsidRPr="00EC76DA" w:rsidRDefault="00925A9B" w:rsidP="00925A9B">
      <w:pPr>
        <w:rPr>
          <w:sz w:val="14"/>
        </w:rPr>
      </w:pPr>
      <w:r w:rsidRPr="00EC76DA">
        <w:rPr>
          <w:rStyle w:val="Emphasis"/>
        </w:rPr>
        <w:t xml:space="preserve">Before entering discussion of more recent institutional developments, it is germane to the object of this paper to </w:t>
      </w:r>
      <w:r w:rsidRPr="00EC76DA">
        <w:rPr>
          <w:rStyle w:val="Emphasis"/>
          <w:highlight w:val="green"/>
        </w:rPr>
        <w:t>examine</w:t>
      </w:r>
      <w:r w:rsidRPr="00EC76DA">
        <w:rPr>
          <w:rStyle w:val="Emphasis"/>
        </w:rPr>
        <w:t xml:space="preserve"> the </w:t>
      </w:r>
      <w:r w:rsidRPr="00EC76DA">
        <w:rPr>
          <w:rStyle w:val="Emphasis"/>
          <w:highlight w:val="green"/>
        </w:rPr>
        <w:t>role of intellectual property</w:t>
      </w:r>
      <w:r w:rsidRPr="00EC76DA">
        <w:rPr>
          <w:rStyle w:val="Emphasis"/>
        </w:rPr>
        <w:t xml:space="preserve"> in the United Nations preceding the incorporation of the WIPO. As noted above, intellectual property rights were included in the UDHR. Article 27 of the UDHR states that:</w:t>
      </w:r>
      <w:r>
        <w:rPr>
          <w:rStyle w:val="Emphasis"/>
        </w:rPr>
        <w:t xml:space="preserve"> </w:t>
      </w:r>
      <w:r w:rsidRPr="00EC76DA">
        <w:rPr>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a large number of states disagreed with Article 27, they were overpowered by states convinced of the material value of intellectual property protection. As Paul Torremans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favour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literary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EC76DA">
        <w:rPr>
          <w:rStyle w:val="Emphasis"/>
        </w:rPr>
        <w:t>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Bogsch (Deputy Director of BIRPI and first Director General of WIPO) in response to the concerns of multinational corporations about international patent applicability.[23]</w:t>
      </w:r>
      <w:r>
        <w:rPr>
          <w:rStyle w:val="Emphasis"/>
        </w:rPr>
        <w:t xml:space="preserve"> </w:t>
      </w:r>
      <w:r w:rsidRPr="00EC76DA">
        <w:rPr>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a large number of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EC76DA">
        <w:rPr>
          <w:rStyle w:val="Emphasis"/>
        </w:rPr>
        <w:t xml:space="preserve">Although the </w:t>
      </w:r>
      <w:r w:rsidRPr="00EC76DA">
        <w:rPr>
          <w:rStyle w:val="Emphasis"/>
          <w:highlight w:val="green"/>
        </w:rPr>
        <w:t>right to the protection</w:t>
      </w:r>
      <w:r w:rsidRPr="00EC76DA">
        <w:rPr>
          <w:rStyle w:val="Emphasis"/>
        </w:rPr>
        <w:t xml:space="preserve"> of “</w:t>
      </w:r>
      <w:r w:rsidRPr="00EC76DA">
        <w:rPr>
          <w:rStyle w:val="Emphasis"/>
          <w:highlight w:val="green"/>
        </w:rPr>
        <w:t>moral</w:t>
      </w:r>
      <w:r w:rsidRPr="00EC76DA">
        <w:rPr>
          <w:rStyle w:val="Emphasis"/>
        </w:rPr>
        <w:t xml:space="preserve"> and material </w:t>
      </w:r>
      <w:r w:rsidRPr="00EC76DA">
        <w:rPr>
          <w:rStyle w:val="Emphasis"/>
          <w:highlight w:val="green"/>
        </w:rPr>
        <w:t>interests</w:t>
      </w:r>
      <w:r w:rsidRPr="00EC76DA">
        <w:rPr>
          <w:rStyle w:val="Emphasis"/>
        </w:rPr>
        <w:t xml:space="preserve"> resulting from any scientific, literary, or artistic production,”[32] is a </w:t>
      </w:r>
      <w:r w:rsidRPr="00EC76DA">
        <w:rPr>
          <w:rStyle w:val="Emphasis"/>
          <w:highlight w:val="green"/>
        </w:rPr>
        <w:t>human right as defined</w:t>
      </w:r>
      <w:r w:rsidRPr="00EC76DA">
        <w:rPr>
          <w:rStyle w:val="Emphasis"/>
        </w:rPr>
        <w:t xml:space="preserve"> in the UDHR and the ICESCR, the current system of </w:t>
      </w:r>
      <w:r w:rsidRPr="00EC76DA">
        <w:rPr>
          <w:rStyle w:val="Emphasis"/>
          <w:highlight w:val="green"/>
        </w:rPr>
        <w:t xml:space="preserve">intellectual property protection conflicts with </w:t>
      </w:r>
      <w:r w:rsidRPr="00EC76DA">
        <w:rPr>
          <w:rStyle w:val="Emphasis"/>
          <w:highlight w:val="green"/>
        </w:rPr>
        <w:lastRenderedPageBreak/>
        <w:t>and even violates rights that are considered to be fundamental</w:t>
      </w:r>
      <w:r w:rsidRPr="00EC76DA">
        <w:rPr>
          <w:rStyle w:val="Emphasis"/>
        </w:rPr>
        <w:t xml:space="preserve"> to human life</w:t>
      </w:r>
      <w:r w:rsidRPr="00EC76DA">
        <w:rPr>
          <w:sz w:val="14"/>
        </w:rPr>
        <w:t xml:space="preserve">. Although </w:t>
      </w:r>
      <w:r w:rsidRPr="00EC76DA">
        <w:rPr>
          <w:rStyle w:val="Emphasis"/>
          <w:highlight w:val="green"/>
        </w:rPr>
        <w:t>intellectual</w:t>
      </w:r>
      <w:r w:rsidRPr="00EC76DA">
        <w:rPr>
          <w:rStyle w:val="Emphasis"/>
        </w:rPr>
        <w:t xml:space="preserve"> property </w:t>
      </w:r>
      <w:r w:rsidRPr="00EC76DA">
        <w:rPr>
          <w:rStyle w:val="Emphasis"/>
          <w:highlight w:val="green"/>
        </w:rPr>
        <w:t>instruments</w:t>
      </w:r>
      <w:r w:rsidRPr="00EC76DA">
        <w:rPr>
          <w:rStyle w:val="Emphasis"/>
        </w:rPr>
        <w:t xml:space="preserve"> are certainly used to </w:t>
      </w:r>
      <w:r w:rsidRPr="00EC76DA">
        <w:rPr>
          <w:rStyle w:val="Emphasis"/>
          <w:highlight w:val="green"/>
        </w:rPr>
        <w:t>violate essential civil and political freedoms</w:t>
      </w:r>
      <w:r w:rsidRPr="00EC76DA">
        <w:rPr>
          <w:rStyle w:val="Emphasis"/>
        </w:rPr>
        <w:t xml:space="preserve"> like the freedom of expression, and economic and social freedoms like the freedom to share in the scientific advancements of society, the </w:t>
      </w:r>
      <w:r w:rsidRPr="00EC76DA">
        <w:rPr>
          <w:rStyle w:val="Emphasis"/>
          <w:highlight w:val="green"/>
        </w:rPr>
        <w:t>most blatant violations</w:t>
      </w:r>
      <w:r w:rsidRPr="00EC76DA">
        <w:rPr>
          <w:rStyle w:val="Emphasis"/>
        </w:rPr>
        <w:t xml:space="preserve"> of human rights </w:t>
      </w:r>
      <w:r w:rsidRPr="00EC76DA">
        <w:rPr>
          <w:rStyle w:val="Emphasis"/>
          <w:highlight w:val="green"/>
        </w:rPr>
        <w:t>caused by intellectual property protection</w:t>
      </w:r>
      <w:r w:rsidRPr="00EC76DA">
        <w:rPr>
          <w:rStyle w:val="Emphasis"/>
        </w:rPr>
        <w:t xml:space="preserve"> occur </w:t>
      </w:r>
      <w:r w:rsidRPr="00EC76DA">
        <w:rPr>
          <w:rStyle w:val="Emphasis"/>
          <w:highlight w:val="green"/>
        </w:rPr>
        <w:t>in the fields of</w:t>
      </w:r>
      <w:r w:rsidRPr="00EC76DA">
        <w:rPr>
          <w:rStyle w:val="Emphasis"/>
        </w:rPr>
        <w:t xml:space="preserve"> nutrition, </w:t>
      </w:r>
      <w:r w:rsidRPr="00EC76DA">
        <w:rPr>
          <w:rStyle w:val="Emphasis"/>
          <w:highlight w:val="green"/>
        </w:rPr>
        <w:t>healthcare</w:t>
      </w:r>
      <w:r w:rsidRPr="00EC76DA">
        <w:rPr>
          <w:rStyle w:val="Emphasis"/>
        </w:rPr>
        <w:t>, and culture.[</w:t>
      </w:r>
      <w:r w:rsidRPr="00EC76DA">
        <w:rPr>
          <w:sz w:val="14"/>
        </w:rPr>
        <w:t xml:space="preserve">33] Of these essential entitlements, the rights to food and health are </w:t>
      </w:r>
      <w:r w:rsidRPr="00EC76DA">
        <w:rPr>
          <w:rStyle w:val="Emphasis"/>
        </w:rPr>
        <w:t xml:space="preserve">made even </w:t>
      </w:r>
      <w:r w:rsidRPr="00EC76DA">
        <w:rPr>
          <w:rStyle w:val="Emphasis"/>
          <w:highlight w:val="green"/>
        </w:rPr>
        <w:t>more significant</w:t>
      </w:r>
      <w:r w:rsidRPr="00EC76DA">
        <w:rPr>
          <w:rStyle w:val="Emphasis"/>
        </w:rPr>
        <w:t xml:space="preserve"> </w:t>
      </w:r>
      <w:r w:rsidRPr="00EC76DA">
        <w:rPr>
          <w:rStyle w:val="Emphasis"/>
          <w:highlight w:val="green"/>
        </w:rPr>
        <w:t>by</w:t>
      </w:r>
      <w:r w:rsidRPr="00EC76DA">
        <w:rPr>
          <w:rStyle w:val="Emphasis"/>
        </w:rPr>
        <w:t xml:space="preserve"> their </w:t>
      </w:r>
      <w:r w:rsidRPr="00EC76DA">
        <w:rPr>
          <w:rStyle w:val="Emphasis"/>
          <w:highlight w:val="green"/>
        </w:rPr>
        <w:t>relationship</w:t>
      </w:r>
      <w:r w:rsidRPr="00EC76DA">
        <w:rPr>
          <w:rStyle w:val="Emphasis"/>
        </w:rPr>
        <w:t xml:space="preserve"> </w:t>
      </w:r>
      <w:r w:rsidRPr="00EC76DA">
        <w:rPr>
          <w:rStyle w:val="Emphasis"/>
          <w:highlight w:val="green"/>
        </w:rPr>
        <w:t>to</w:t>
      </w:r>
      <w:r w:rsidRPr="00EC76DA">
        <w:rPr>
          <w:rStyle w:val="Emphasis"/>
        </w:rPr>
        <w:t xml:space="preserve"> the most fundamental of all human rights: the </w:t>
      </w:r>
      <w:r w:rsidRPr="00EC76DA">
        <w:rPr>
          <w:rStyle w:val="Emphasis"/>
          <w:highlight w:val="green"/>
        </w:rPr>
        <w:t>right to life</w:t>
      </w:r>
      <w:r w:rsidRPr="00EC76DA">
        <w:rPr>
          <w:rStyle w:val="Emphasis"/>
        </w:rPr>
        <w:t>.</w:t>
      </w:r>
    </w:p>
    <w:p w:rsidR="00925A9B" w:rsidRPr="00EC76DA" w:rsidRDefault="00925A9B" w:rsidP="00925A9B">
      <w:pPr>
        <w:pStyle w:val="Heading4"/>
      </w:pPr>
      <w:r>
        <w:t>[2] States shouldn’t be forced to submit to a legal framework outside of their own anarchic conditions – that’s a violation of their own choice which is a contradiction in will.</w:t>
      </w:r>
    </w:p>
    <w:p w:rsidR="00925A9B" w:rsidRDefault="00925A9B" w:rsidP="00925A9B">
      <w:pPr>
        <w:pStyle w:val="Heading3"/>
      </w:pPr>
      <w:r>
        <w:lastRenderedPageBreak/>
        <w:t>Additionally</w:t>
      </w:r>
    </w:p>
    <w:p w:rsidR="00925A9B" w:rsidRPr="008E4C26" w:rsidRDefault="00925A9B" w:rsidP="00925A9B">
      <w:pPr>
        <w:pStyle w:val="Heading4"/>
        <w:rPr>
          <w:rFonts w:cs="Calibri"/>
        </w:rPr>
      </w:pPr>
      <w:r>
        <w:rPr>
          <w:rFonts w:cs="Calibri"/>
        </w:rPr>
        <w:t xml:space="preserve">[1] </w:t>
      </w:r>
      <w:r w:rsidRPr="008E4C26">
        <w:rPr>
          <w:rFonts w:cs="Calibri"/>
        </w:rPr>
        <w:t>Only univeralizable reason can effectively explain the perspectives of agents – that’s the best method for combatting oppression.</w:t>
      </w:r>
    </w:p>
    <w:p w:rsidR="00925A9B" w:rsidRPr="008E4C26" w:rsidRDefault="00925A9B" w:rsidP="00925A9B">
      <w:r w:rsidRPr="008E4C26">
        <w:rPr>
          <w:rStyle w:val="Style13ptBold"/>
        </w:rPr>
        <w:t>Farr 02</w:t>
      </w:r>
      <w:r w:rsidRPr="008E4C26">
        <w:rPr>
          <w:sz w:val="16"/>
        </w:rPr>
        <w:t xml:space="preserve"> </w:t>
      </w:r>
      <w:r w:rsidRPr="008E4C26">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925A9B" w:rsidRPr="0074322A" w:rsidRDefault="00925A9B" w:rsidP="00925A9B">
      <w:pPr>
        <w:rPr>
          <w:b/>
          <w:u w:val="single"/>
        </w:rPr>
      </w:pPr>
      <w:r w:rsidRPr="008E4C26">
        <w:rPr>
          <w:b/>
          <w:u w:val="single"/>
        </w:rPr>
        <w:t>One</w:t>
      </w:r>
      <w:r w:rsidRPr="008E4C26">
        <w:rPr>
          <w:sz w:val="16"/>
        </w:rPr>
        <w:t xml:space="preserve"> of the most popular </w:t>
      </w:r>
      <w:r w:rsidRPr="008E4C26">
        <w:rPr>
          <w:b/>
          <w:u w:val="single"/>
        </w:rPr>
        <w:t>criticism</w:t>
      </w:r>
      <w:r w:rsidRPr="008E4C26">
        <w:rPr>
          <w:sz w:val="16"/>
        </w:rPr>
        <w:t xml:space="preserve">s </w:t>
      </w:r>
      <w:r w:rsidRPr="008E4C26">
        <w:rPr>
          <w:b/>
          <w:u w:val="single"/>
        </w:rPr>
        <w:t>of Kant’s moral philosophy is that it is too formalistic.</w:t>
      </w:r>
      <w:r w:rsidRPr="008E4C26">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8E4C26">
        <w:rPr>
          <w:sz w:val="16"/>
        </w:rPr>
        <w:t xml:space="preserve"> a </w:t>
      </w:r>
      <w:r w:rsidRPr="008E4C26">
        <w:rPr>
          <w:b/>
          <w:u w:val="single"/>
        </w:rPr>
        <w:t>valid</w:t>
      </w:r>
      <w:r w:rsidRPr="008E4C26">
        <w:rPr>
          <w:sz w:val="16"/>
        </w:rPr>
        <w:t xml:space="preserve"> distinction, </w:t>
      </w:r>
      <w:r w:rsidRPr="008E4C26">
        <w:rPr>
          <w:b/>
          <w:u w:val="single"/>
        </w:rPr>
        <w:t>the unity of the two is required for</w:t>
      </w:r>
      <w:r w:rsidRPr="008E4C26">
        <w:rPr>
          <w:sz w:val="16"/>
        </w:rPr>
        <w:t xml:space="preserve"> an understanding of human </w:t>
      </w:r>
      <w:r w:rsidRPr="008E4C26">
        <w:rPr>
          <w:b/>
          <w:u w:val="single"/>
        </w:rPr>
        <w:t>agency.</w:t>
      </w:r>
      <w:r w:rsidRPr="008E4C26">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8E4C26">
        <w:rPr>
          <w:sz w:val="16"/>
        </w:rPr>
        <w:t xml:space="preserve"> often </w:t>
      </w:r>
      <w:r w:rsidRPr="008E4C26">
        <w:rPr>
          <w:b/>
          <w:u w:val="single"/>
        </w:rPr>
        <w:t>accused of making the moral agent an abstract, empty</w:t>
      </w:r>
      <w:r w:rsidRPr="008E4C26">
        <w:rPr>
          <w:sz w:val="16"/>
        </w:rPr>
        <w:t xml:space="preserve">, noumenal </w:t>
      </w:r>
      <w:r w:rsidRPr="008E4C26">
        <w:rPr>
          <w:b/>
          <w:u w:val="single"/>
        </w:rPr>
        <w:t>subject. Nothing could be further from the truth. The Kantian subject is</w:t>
      </w:r>
      <w:r w:rsidRPr="008E4C26">
        <w:rPr>
          <w:sz w:val="16"/>
        </w:rPr>
        <w:t xml:space="preserve"> an </w:t>
      </w:r>
      <w:r w:rsidRPr="008E4C26">
        <w:rPr>
          <w:rStyle w:val="Emphasis"/>
        </w:rPr>
        <w:t>embodied</w:t>
      </w:r>
      <w:r w:rsidRPr="008E4C26">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B56B10">
        <w:rPr>
          <w:sz w:val="16"/>
          <w:highlight w:val="green"/>
        </w:rPr>
        <w:t xml:space="preserve">. </w:t>
      </w:r>
      <w:r w:rsidRPr="00B56B10">
        <w:rPr>
          <w:b/>
          <w:highlight w:val="green"/>
          <w:u w:val="single"/>
        </w:rPr>
        <w:t>The</w:t>
      </w:r>
      <w:r w:rsidRPr="008E4C26">
        <w:rPr>
          <w:sz w:val="16"/>
        </w:rPr>
        <w:t xml:space="preserve"> very </w:t>
      </w:r>
      <w:r w:rsidRPr="00B56B10">
        <w:rPr>
          <w:b/>
          <w:highlight w:val="green"/>
          <w:u w:val="single"/>
        </w:rPr>
        <w:t>fact that I cannot</w:t>
      </w:r>
      <w:r w:rsidRPr="008E4C26">
        <w:rPr>
          <w:b/>
          <w:u w:val="single"/>
        </w:rPr>
        <w:t xml:space="preserve"> simply </w:t>
      </w:r>
      <w:r w:rsidRPr="00B56B10">
        <w:rPr>
          <w:b/>
          <w:highlight w:val="green"/>
          <w:u w:val="single"/>
        </w:rPr>
        <w:t>satisfy my desires without considering the rightness</w:t>
      </w:r>
      <w:r w:rsidRPr="008E4C26">
        <w:rPr>
          <w:sz w:val="16"/>
        </w:rPr>
        <w:t xml:space="preserve"> or wrongness </w:t>
      </w:r>
      <w:r w:rsidRPr="00B56B10">
        <w:rPr>
          <w:b/>
          <w:highlight w:val="green"/>
          <w:u w:val="single"/>
        </w:rPr>
        <w:t>of my actions suggests that my empirical character must be held in check</w:t>
      </w:r>
      <w:r w:rsidRPr="008E4C26">
        <w:rPr>
          <w:sz w:val="16"/>
        </w:rPr>
        <w:t xml:space="preserve"> by something, or else I behave like a Freudian id. My empiri- cal character must be held in check </w:t>
      </w:r>
      <w:r w:rsidRPr="008E4C26">
        <w:rPr>
          <w:b/>
          <w:u w:val="single"/>
        </w:rPr>
        <w:t>by my intelligible character</w:t>
      </w:r>
      <w:r w:rsidRPr="008E4C26">
        <w:rPr>
          <w:sz w:val="16"/>
        </w:rPr>
        <w:t xml:space="preserve">, which is the legislative activity of practical reason. It is through our intelligible character that </w:t>
      </w:r>
      <w:r w:rsidRPr="008E4C26">
        <w:rPr>
          <w:b/>
          <w:u w:val="single"/>
        </w:rPr>
        <w:t>we formulate principles that keep our</w:t>
      </w:r>
      <w:r w:rsidRPr="008E4C26">
        <w:rPr>
          <w:sz w:val="16"/>
        </w:rPr>
        <w:t xml:space="preserve"> empirical </w:t>
      </w:r>
      <w:r w:rsidRPr="008E4C26">
        <w:rPr>
          <w:b/>
          <w:u w:val="single"/>
        </w:rPr>
        <w:t>impulses in check.</w:t>
      </w:r>
      <w:r w:rsidRPr="008E4C26">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B56B10">
        <w:rPr>
          <w:b/>
          <w:highlight w:val="green"/>
          <w:u w:val="single"/>
        </w:rPr>
        <w:t>The Formula of Universal Law enjoins no more than that we act only on maxims that are open to others also</w:t>
      </w:r>
      <w:r w:rsidRPr="008E4C26">
        <w:rPr>
          <w:b/>
          <w:u w:val="single"/>
        </w:rPr>
        <w:t>.</w:t>
      </w:r>
      <w:r w:rsidRPr="008E4C26">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B56B10">
        <w:rPr>
          <w:sz w:val="16"/>
          <w:highlight w:val="green"/>
        </w:rPr>
        <w:t xml:space="preserve">. </w:t>
      </w:r>
      <w:r w:rsidRPr="00B56B10">
        <w:rPr>
          <w:rStyle w:val="Emphasis"/>
          <w:highlight w:val="green"/>
        </w:rPr>
        <w:t>The individual is not allowed to exclude others</w:t>
      </w:r>
      <w:r w:rsidRPr="00B56B10">
        <w:rPr>
          <w:b/>
          <w:highlight w:val="green"/>
          <w:u w:val="single"/>
        </w:rPr>
        <w:t xml:space="preserve"> as</w:t>
      </w:r>
      <w:r w:rsidRPr="008E4C26">
        <w:rPr>
          <w:sz w:val="16"/>
        </w:rPr>
        <w:t xml:space="preserve"> rational </w:t>
      </w:r>
      <w:r w:rsidRPr="00B56B10">
        <w:rPr>
          <w:b/>
          <w:highlight w:val="green"/>
          <w:u w:val="single"/>
        </w:rPr>
        <w:t>moral agents</w:t>
      </w:r>
      <w:r w:rsidRPr="008E4C26">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8E4C26">
        <w:rPr>
          <w:b/>
          <w:u w:val="single"/>
        </w:rPr>
        <w:t>Hence,</w:t>
      </w:r>
      <w:r w:rsidRPr="008E4C26">
        <w:rPr>
          <w:sz w:val="16"/>
        </w:rPr>
        <w:t xml:space="preserve"> </w:t>
      </w:r>
      <w:r w:rsidRPr="00B56B10">
        <w:rPr>
          <w:sz w:val="16"/>
          <w:highlight w:val="green"/>
        </w:rPr>
        <w:t xml:space="preserve">the </w:t>
      </w:r>
      <w:r w:rsidRPr="00B56B10">
        <w:rPr>
          <w:b/>
          <w:highlight w:val="green"/>
          <w:u w:val="single"/>
        </w:rPr>
        <w:t>universalizability</w:t>
      </w:r>
      <w:r w:rsidRPr="008E4C26">
        <w:rPr>
          <w:sz w:val="16"/>
        </w:rPr>
        <w:t xml:space="preserve"> criterion </w:t>
      </w:r>
      <w:r w:rsidRPr="00B56B10">
        <w:rPr>
          <w:b/>
          <w:highlight w:val="green"/>
          <w:u w:val="single"/>
        </w:rPr>
        <w:t>is a principle of consistency and</w:t>
      </w:r>
      <w:r w:rsidRPr="008E4C26">
        <w:rPr>
          <w:sz w:val="16"/>
        </w:rPr>
        <w:t xml:space="preserve"> a principle </w:t>
      </w:r>
      <w:r w:rsidRPr="00B56B10">
        <w:rPr>
          <w:sz w:val="16"/>
          <w:highlight w:val="green"/>
        </w:rPr>
        <w:t xml:space="preserve">of </w:t>
      </w:r>
      <w:r w:rsidRPr="00B56B10">
        <w:rPr>
          <w:b/>
          <w:highlight w:val="green"/>
          <w:u w:val="single"/>
        </w:rPr>
        <w:t>inclusion</w:t>
      </w:r>
      <w:r w:rsidRPr="008E4C26">
        <w:rPr>
          <w:b/>
          <w:u w:val="single"/>
        </w:rPr>
        <w:t>.</w:t>
      </w:r>
      <w:r w:rsidRPr="008E4C26">
        <w:rPr>
          <w:sz w:val="16"/>
        </w:rPr>
        <w:t xml:space="preserve"> That is, in choosing my maxims </w:t>
      </w:r>
      <w:r w:rsidRPr="008E4C26">
        <w:rPr>
          <w:b/>
          <w:u w:val="single"/>
        </w:rPr>
        <w:t>I</w:t>
      </w:r>
      <w:r w:rsidRPr="008E4C26">
        <w:rPr>
          <w:sz w:val="16"/>
        </w:rPr>
        <w:t xml:space="preserve"> attempt to </w:t>
      </w:r>
      <w:r w:rsidRPr="00B56B10">
        <w:rPr>
          <w:b/>
          <w:highlight w:val="green"/>
          <w:u w:val="single"/>
        </w:rPr>
        <w:t>include the perspective of other moral agents</w:t>
      </w:r>
      <w:r w:rsidRPr="008E4C26">
        <w:rPr>
          <w:b/>
          <w:u w:val="single"/>
        </w:rPr>
        <w:t>.</w:t>
      </w:r>
    </w:p>
    <w:p w:rsidR="00925A9B" w:rsidRDefault="00925A9B" w:rsidP="00925A9B">
      <w:pPr>
        <w:pStyle w:val="Heading4"/>
        <w:rPr>
          <w:color w:val="000000" w:themeColor="text1"/>
        </w:rPr>
      </w:pPr>
      <w:r w:rsidRPr="00394AF8">
        <w:rPr>
          <w:rFonts w:cs="Calibri"/>
          <w:color w:val="000000" w:themeColor="text1"/>
        </w:rPr>
        <w:lastRenderedPageBreak/>
        <w:t>[</w:t>
      </w:r>
      <w:r>
        <w:rPr>
          <w:rFonts w:cs="Calibri"/>
          <w:color w:val="000000" w:themeColor="text1"/>
        </w:rPr>
        <w:t>2</w:t>
      </w:r>
      <w:r w:rsidRPr="00394AF8">
        <w:rPr>
          <w:rFonts w:cs="Calibri"/>
          <w:color w:val="000000" w:themeColor="text1"/>
        </w:rPr>
        <w:t xml:space="preserve">] Aff gets </w:t>
      </w:r>
      <w:r w:rsidRPr="00394AF8">
        <w:rPr>
          <w:color w:val="000000" w:themeColor="text1"/>
        </w:rPr>
        <w:t xml:space="preserve">1AR theory since the neg can be infinitely abusive and I can’t check back. It’s drop the debater since the 1ar is too short to win both theory and substance. No </w:t>
      </w:r>
      <w:r>
        <w:rPr>
          <w:color w:val="000000" w:themeColor="text1"/>
        </w:rPr>
        <w:t>2NR</w:t>
      </w:r>
      <w:r w:rsidRPr="00394AF8">
        <w:rPr>
          <w:color w:val="000000" w:themeColor="text1"/>
        </w:rPr>
        <w:t xml:space="preserve"> </w:t>
      </w:r>
      <w:r>
        <w:rPr>
          <w:color w:val="000000" w:themeColor="text1"/>
        </w:rPr>
        <w:t>RVI,</w:t>
      </w:r>
      <w:r w:rsidRPr="00394AF8">
        <w:rPr>
          <w:color w:val="000000" w:themeColor="text1"/>
        </w:rPr>
        <w:t xml:space="preserve"> paradigm issues</w:t>
      </w:r>
      <w:r>
        <w:rPr>
          <w:color w:val="000000" w:themeColor="text1"/>
        </w:rPr>
        <w:t>, or theory</w:t>
      </w:r>
      <w:r w:rsidRPr="00394AF8">
        <w:rPr>
          <w:color w:val="000000" w:themeColor="text1"/>
        </w:rPr>
        <w:t xml:space="preserve"> since they’d dump on it for 6 minutes and my 3-minute 2AR is spread too thin. Competing interps since reasonability is arbitrary and bites judge intervention.</w:t>
      </w:r>
    </w:p>
    <w:p w:rsidR="00925A9B" w:rsidRPr="00AD6005" w:rsidRDefault="00925A9B" w:rsidP="00925A9B">
      <w:pPr>
        <w:pStyle w:val="Heading4"/>
      </w:pPr>
    </w:p>
    <w:p w:rsidR="00925A9B" w:rsidRPr="007F614E" w:rsidRDefault="00925A9B" w:rsidP="00925A9B">
      <w:pPr>
        <w:pStyle w:val="Heading3"/>
      </w:pPr>
      <w:r>
        <w:lastRenderedPageBreak/>
        <w:t>Shell</w:t>
      </w:r>
    </w:p>
    <w:p w:rsidR="00925A9B" w:rsidRDefault="00925A9B" w:rsidP="00925A9B">
      <w:pPr>
        <w:pStyle w:val="Heading4"/>
      </w:pPr>
      <w:r>
        <w:t>Interpretation: The negative must concede the affirmative framework.</w:t>
      </w:r>
    </w:p>
    <w:p w:rsidR="00925A9B" w:rsidRDefault="00925A9B" w:rsidP="00925A9B">
      <w:pPr>
        <w:pStyle w:val="Heading4"/>
      </w:pPr>
      <w:r>
        <w:t>Violation: It’s preemptive</w:t>
      </w:r>
    </w:p>
    <w:p w:rsidR="00925A9B" w:rsidRDefault="00925A9B" w:rsidP="00925A9B">
      <w:pPr>
        <w:pStyle w:val="Heading4"/>
      </w:pPr>
      <w:r>
        <w:t>Prefer-</w:t>
      </w:r>
    </w:p>
    <w:p w:rsidR="00925A9B" w:rsidRPr="001C4EB8" w:rsidRDefault="00925A9B" w:rsidP="00925A9B">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rsidR="00925A9B" w:rsidRDefault="00925A9B" w:rsidP="00925A9B">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r w:rsidRPr="00FE0F26">
        <w:rPr>
          <w:u w:val="single"/>
        </w:rPr>
        <w:t>Constitutivism</w:t>
      </w:r>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rsidR="00925A9B" w:rsidRDefault="00925A9B" w:rsidP="00925A9B">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rsidR="00925A9B" w:rsidRPr="00925A9B" w:rsidRDefault="00925A9B" w:rsidP="00925A9B">
      <w:pPr>
        <w:pStyle w:val="Heading4"/>
      </w:pPr>
      <w:r>
        <w:t>Aff theory is the highest layer of the round – introduced first in the round so it’s a framing issue, the violation is preemptive, it’s your fault if you violate.</w:t>
      </w:r>
    </w:p>
    <w:p w:rsidR="00925A9B" w:rsidRDefault="00925A9B" w:rsidP="00925A9B">
      <w:pPr>
        <w:pStyle w:val="Heading4"/>
      </w:pPr>
      <w:r>
        <w:t xml:space="preserve">No RVI’s or OCIs on 1AC Theory- A] Incentivizes a 7 min collapse in the 1NC which destroys the short 1ar B] Moots all the time we spend reading the 1ac </w:t>
      </w:r>
    </w:p>
    <w:p w:rsidR="00925A9B" w:rsidRDefault="00925A9B" w:rsidP="00925A9B">
      <w:pPr>
        <w:pStyle w:val="Heading4"/>
      </w:pPr>
      <w:r>
        <w:t>1AC Theory is DTD—its key to making sure they’re held accountable</w:t>
      </w:r>
    </w:p>
    <w:p w:rsidR="00925A9B" w:rsidRDefault="00925A9B" w:rsidP="00925A9B">
      <w:pPr>
        <w:pStyle w:val="Heading4"/>
      </w:pPr>
      <w:r>
        <w:t>Competing interps on 1AC Theory- A] 7 minutes is more than enough time to robustly justify their counter interp B] Gives us the opportunity to flesh out our model of debate since it’s introduced earlier in the aff</w:t>
      </w:r>
    </w:p>
    <w:p w:rsidR="00925A9B" w:rsidRPr="00925A9B" w:rsidRDefault="00925A9B" w:rsidP="00925A9B"/>
    <w:p w:rsidR="00925A9B" w:rsidRPr="00925A9B" w:rsidRDefault="00925A9B" w:rsidP="00925A9B">
      <w:pPr>
        <w:pStyle w:val="Heading4"/>
      </w:pPr>
    </w:p>
    <w:sectPr w:rsidR="00925A9B" w:rsidRPr="00925A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660E8"/>
    <w:multiLevelType w:val="hybridMultilevel"/>
    <w:tmpl w:val="6C8A5C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942096"/>
    <w:multiLevelType w:val="hybridMultilevel"/>
    <w:tmpl w:val="44FA7CFE"/>
    <w:lvl w:ilvl="0" w:tplc="7BD630DE">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524CE"/>
    <w:multiLevelType w:val="hybridMultilevel"/>
    <w:tmpl w:val="42483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5A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7D3"/>
    <w:rsid w:val="001653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77A"/>
    <w:rsid w:val="002502CF"/>
    <w:rsid w:val="0025609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17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A9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B0F"/>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1BB0851-A467-6145-AF94-1D0B99DA1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5A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5A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5A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25A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925A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5A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A9B"/>
  </w:style>
  <w:style w:type="character" w:customStyle="1" w:styleId="Heading1Char">
    <w:name w:val="Heading 1 Char"/>
    <w:aliases w:val="Pocket Char"/>
    <w:basedOn w:val="DefaultParagraphFont"/>
    <w:link w:val="Heading1"/>
    <w:uiPriority w:val="9"/>
    <w:rsid w:val="00925A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5A9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25A9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925A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5A9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25A9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925A9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5A9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925A9B"/>
    <w:rPr>
      <w:color w:val="auto"/>
      <w:u w:val="none"/>
    </w:rPr>
  </w:style>
  <w:style w:type="paragraph" w:styleId="DocumentMap">
    <w:name w:val="Document Map"/>
    <w:basedOn w:val="Normal"/>
    <w:link w:val="DocumentMapChar"/>
    <w:uiPriority w:val="99"/>
    <w:semiHidden/>
    <w:unhideWhenUsed/>
    <w:rsid w:val="00925A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5A9B"/>
    <w:rPr>
      <w:rFonts w:ascii="Lucida Grande" w:hAnsi="Lucida Grande" w:cs="Lucida Grande"/>
    </w:rPr>
  </w:style>
  <w:style w:type="paragraph" w:customStyle="1" w:styleId="textbold">
    <w:name w:val="text bold"/>
    <w:basedOn w:val="Normal"/>
    <w:link w:val="Emphasis"/>
    <w:uiPriority w:val="20"/>
    <w:qFormat/>
    <w:rsid w:val="00925A9B"/>
    <w:pPr>
      <w:spacing w:after="0" w:line="240" w:lineRule="auto"/>
      <w:ind w:left="720"/>
      <w:jc w:val="both"/>
    </w:pPr>
    <w:rPr>
      <w:b/>
      <w:iCs/>
      <w:u w:val="single"/>
    </w:rPr>
  </w:style>
  <w:style w:type="paragraph" w:customStyle="1" w:styleId="Emphasis1">
    <w:name w:val="Emphasis1"/>
    <w:basedOn w:val="Normal"/>
    <w:uiPriority w:val="7"/>
    <w:qFormat/>
    <w:rsid w:val="00925A9B"/>
    <w:pPr>
      <w:pBdr>
        <w:top w:val="single" w:sz="12" w:space="1" w:color="auto"/>
        <w:left w:val="single" w:sz="12" w:space="4" w:color="auto"/>
        <w:bottom w:val="single" w:sz="12" w:space="1" w:color="auto"/>
        <w:right w:val="single" w:sz="12" w:space="4" w:color="auto"/>
      </w:pBdr>
      <w:ind w:left="720"/>
      <w:jc w:val="both"/>
    </w:pPr>
    <w:rPr>
      <w:rFonts w:eastAsiaTheme="minorHAnsi" w:cs="Calibri"/>
      <w:b/>
      <w:iCs/>
      <w:szCs w:val="22"/>
      <w:u w:val="single"/>
    </w:rPr>
  </w:style>
  <w:style w:type="paragraph" w:styleId="ListParagraph">
    <w:name w:val="List Paragraph"/>
    <w:basedOn w:val="Normal"/>
    <w:uiPriority w:val="34"/>
    <w:qFormat/>
    <w:rsid w:val="00925A9B"/>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925A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8365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possess" TargetMode="External"/><Relationship Id="rId18" Type="http://schemas.openxmlformats.org/officeDocument/2006/relationships/hyperlink" Target="https://ualr.edu/socialchange/2018/04/04/patently-unfai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transitive" TargetMode="External"/><Relationship Id="rId17" Type="http://schemas.openxmlformats.org/officeDocument/2006/relationships/hyperlink" Target="https://www.merriam-webster.com/dictionary/aught" TargetMode="External"/><Relationship Id="rId2" Type="http://schemas.openxmlformats.org/officeDocument/2006/relationships/customXml" Target="../customXml/item2.xml"/><Relationship Id="rId16" Type="http://schemas.openxmlformats.org/officeDocument/2006/relationships/hyperlink" Target="https://www.merriam-webster.com/dictionary/du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verb" TargetMode="External"/><Relationship Id="rId5" Type="http://schemas.openxmlformats.org/officeDocument/2006/relationships/numbering" Target="numbering.xml"/><Relationship Id="rId15" Type="http://schemas.openxmlformats.org/officeDocument/2006/relationships/hyperlink" Target="https://www.merriam-webster.com/dictionary/noun" TargetMode="External"/><Relationship Id="rId10" Type="http://schemas.openxmlformats.org/officeDocument/2006/relationships/hyperlink" Target="https://www.merriam-webster.com/dictionary/auxiliary%20verb"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ought%20//" TargetMode="External"/><Relationship Id="rId14" Type="http://schemas.openxmlformats.org/officeDocument/2006/relationships/hyperlink" Target="https://www.merriam-webster.com/dictionary/ow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27605E-261C-734F-9C40-42C9B41D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8</Pages>
  <Words>3231</Words>
  <Characters>17128</Characters>
  <Application>Microsoft Office Word</Application>
  <DocSecurity>0</DocSecurity>
  <Lines>167</Lines>
  <Paragraphs>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2021-09-04T15:29:00Z</dcterms:created>
  <dcterms:modified xsi:type="dcterms:W3CDTF">2021-09-05T02:13:00Z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