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458DF" w:rsidRPr="00CF49AE" w:rsidRDefault="00B458DF" w:rsidP="00B458DF">
      <w:pPr>
        <w:pStyle w:val="Heading2"/>
      </w:pPr>
      <w:r>
        <w:t>AC</w:t>
      </w:r>
    </w:p>
    <w:p w:rsidR="00B458DF" w:rsidRPr="00CF49AE" w:rsidRDefault="00B458DF" w:rsidP="00B458DF">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rsidR="00B458DF" w:rsidRPr="0004302C" w:rsidRDefault="00B458DF" w:rsidP="00B458DF">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B458DF" w:rsidRPr="0004302C" w:rsidRDefault="00B458DF" w:rsidP="00B458DF">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rsidR="00B458DF" w:rsidRDefault="00B458DF" w:rsidP="00B458DF">
      <w:pPr>
        <w:pStyle w:val="Heading4"/>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w:t>
      </w:r>
      <w:r w:rsidRPr="005F25D3">
        <w:t>argumentation becomes unethically flawed – thus, the role of the ballot is to disrupt biopolitical systems of productivity and futurity.</w:t>
      </w:r>
    </w:p>
    <w:p w:rsidR="00B458DF" w:rsidRPr="0004302C" w:rsidRDefault="00B458DF" w:rsidP="00B458DF">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rsidR="00B458DF" w:rsidRPr="0004302C" w:rsidRDefault="00B458DF" w:rsidP="00B458DF">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rsidR="00B458DF" w:rsidRPr="00CF49AE" w:rsidRDefault="00B458DF" w:rsidP="00B458DF">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rsidR="00C45A4F" w:rsidRPr="006948C8" w:rsidRDefault="00C45A4F" w:rsidP="00C45A4F">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rsidR="00C45A4F" w:rsidRDefault="00C45A4F" w:rsidP="00C45A4F">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rsidR="00B458DF" w:rsidRDefault="00B458DF" w:rsidP="00B458DF">
      <w:pPr>
        <w:pStyle w:val="Heading4"/>
      </w:pPr>
      <w:bookmarkStart w:id="0" w:name="_GoBack"/>
      <w:bookmarkEnd w:id="0"/>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rsidR="00B458DF" w:rsidRPr="009C5080" w:rsidRDefault="00B458DF" w:rsidP="00B458DF">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rsidR="00B458DF" w:rsidRPr="00CF49AE" w:rsidRDefault="00B458DF" w:rsidP="00B458DF">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rsidR="00B458DF" w:rsidRPr="0004302C" w:rsidRDefault="00B458DF" w:rsidP="00B458DF">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rsidR="00B458DF" w:rsidRPr="0004302C" w:rsidRDefault="00B458DF" w:rsidP="00B458DF">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rsidR="00B458DF" w:rsidRDefault="00B458DF" w:rsidP="00B458DF">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rsidR="00B458DF" w:rsidRPr="00D24FE5" w:rsidRDefault="00B458DF" w:rsidP="00B458DF">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rsidR="00B458DF" w:rsidRPr="00D24FE5" w:rsidRDefault="00B458DF" w:rsidP="00B458DF">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rsidR="00B458DF" w:rsidRPr="00CF49AE" w:rsidRDefault="00B458DF" w:rsidP="00B458DF">
      <w:pPr>
        <w:rPr>
          <w:sz w:val="14"/>
          <w:szCs w:val="26"/>
        </w:rPr>
      </w:pPr>
      <w:r w:rsidRPr="00CF49AE">
        <w:rPr>
          <w:sz w:val="14"/>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rsidR="00B458DF" w:rsidRDefault="00B458DF" w:rsidP="00B458DF">
      <w:pPr>
        <w:pStyle w:val="Heading2"/>
      </w:pPr>
      <w:r>
        <w:t>UV</w:t>
      </w:r>
    </w:p>
    <w:p w:rsidR="00B458DF" w:rsidRPr="0005677F" w:rsidRDefault="00B458DF" w:rsidP="00B458DF">
      <w:pPr>
        <w:pStyle w:val="Heading4"/>
        <w:rPr>
          <w:rFonts w:cs="Calibri"/>
        </w:rPr>
      </w:pPr>
      <w:r>
        <w:rPr>
          <w:rFonts w:cs="Calibri"/>
        </w:rPr>
        <w:t>Exclusionary conceptions of topical correctness are violent.</w:t>
      </w:r>
    </w:p>
    <w:p w:rsidR="00B458DF" w:rsidRPr="003A2CE2" w:rsidRDefault="00B458DF" w:rsidP="00B458DF">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rsidR="00B458DF" w:rsidRPr="003A2CE2" w:rsidRDefault="00B458DF" w:rsidP="00B458DF">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rsidR="00B458DF" w:rsidRPr="00B10F37" w:rsidRDefault="00B458DF" w:rsidP="00B458DF">
      <w:pPr>
        <w:pStyle w:val="Heading4"/>
        <w:rPr>
          <w:sz w:val="8"/>
        </w:rPr>
      </w:pPr>
      <w:r>
        <w:t xml:space="preserve">Notions of competitive equity </w:t>
      </w:r>
      <w:r w:rsidRPr="00B10F37">
        <w:t>marginalize the out group and retrench power structures</w:t>
      </w:r>
      <w:r>
        <w:t>.</w:t>
      </w:r>
    </w:p>
    <w:p w:rsidR="00B458DF" w:rsidRDefault="00B458DF" w:rsidP="00B458DF">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rsidR="00B458DF" w:rsidRDefault="00B458DF" w:rsidP="00B458DF">
      <w:r>
        <w:t xml:space="preserve">A lot of things explain objective approach to fairness is false. </w:t>
      </w:r>
    </w:p>
    <w:p w:rsidR="00B458DF" w:rsidRDefault="00B458DF" w:rsidP="00B458DF">
      <w:r>
        <w:t>Fairness is non unique in the round</w:t>
      </w:r>
    </w:p>
    <w:p w:rsidR="00B458DF" w:rsidRPr="002C0175" w:rsidRDefault="00B458DF" w:rsidP="00B458DF">
      <w:r>
        <w:t>Impact turns fairness: even if fairness is good, your form of fairness ignores structural fairness(tfwk only cares about in round competive equity), which means you further entrenches violence and unfairness.</w:t>
      </w:r>
    </w:p>
    <w:p w:rsidR="00B458DF" w:rsidRPr="00B10F37" w:rsidRDefault="00B458DF" w:rsidP="00B458DF">
      <w:pPr>
        <w:pStyle w:val="Smalltext"/>
        <w:rPr>
          <w:color w:val="000000" w:themeColor="text1"/>
        </w:rPr>
      </w:pPr>
    </w:p>
    <w:p w:rsidR="00B458DF" w:rsidRDefault="00B458DF" w:rsidP="00B458DF">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1" w:name="PAGE_820_8325"/>
      <w:bookmarkEnd w:id="1"/>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2" w:name="PAGE_821_8325"/>
      <w:bookmarkEnd w:id="2"/>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rsidR="00B458DF" w:rsidRPr="00BC324F" w:rsidRDefault="00B458DF" w:rsidP="00B458DF">
      <w:pPr>
        <w:pStyle w:val="Heading4"/>
        <w:rPr>
          <w:color w:val="000000" w:themeColor="text1"/>
        </w:rPr>
      </w:pPr>
      <w:r w:rsidRPr="00BC324F">
        <w:rPr>
          <w:color w:val="000000" w:themeColor="text1"/>
        </w:rPr>
        <w:t xml:space="preserve">View voting affirmative as an alternative to the exclusionary processes of the status quo. How we as subjects are positioned in debate is a prerequisite to interpreting and understanding the resolution or its implications – how we know and view the world is influenced by construction of social reality through discourses of knowledge – not actors of simulation  </w:t>
      </w:r>
    </w:p>
    <w:p w:rsidR="00B458DF" w:rsidRPr="00BC324F" w:rsidRDefault="00B458DF" w:rsidP="00B458DF">
      <w:pPr>
        <w:rPr>
          <w:color w:val="000000" w:themeColor="text1"/>
        </w:rPr>
      </w:pPr>
      <w:r w:rsidRPr="00BC324F">
        <w:rPr>
          <w:b/>
          <w:bCs/>
          <w:color w:val="000000" w:themeColor="text1"/>
          <w:sz w:val="26"/>
          <w:szCs w:val="26"/>
        </w:rPr>
        <w:t>Antonio 95</w:t>
      </w:r>
      <w:r w:rsidRPr="00BC324F">
        <w:rPr>
          <w:color w:val="000000" w:themeColor="text1"/>
        </w:rPr>
        <w:t xml:space="preserve"> [Robert; Professor of Sociology at the University of Kansas; Nietzsche’s Antisociology: Subjectified Culture and the End of History; American Journal of Sociology; Volume 101, No. 1; July 1995]</w:t>
      </w:r>
    </w:p>
    <w:p w:rsidR="00B458DF" w:rsidRDefault="00B458DF" w:rsidP="00B458DF">
      <w:pPr>
        <w:rPr>
          <w:color w:val="000000" w:themeColor="text1"/>
          <w:sz w:val="10"/>
          <w:szCs w:val="22"/>
        </w:rPr>
      </w:pPr>
      <w:r w:rsidRPr="00BC324F">
        <w:rPr>
          <w:color w:val="000000" w:themeColor="text1"/>
          <w:sz w:val="10"/>
          <w:szCs w:val="22"/>
        </w:rPr>
        <w:t xml:space="preserve">While modern theorists saw differentiated roles and professions as a matrix of autonomy and reflexivity, Nietzsche held that </w:t>
      </w:r>
      <w:r w:rsidRPr="00B04ECE">
        <w:rPr>
          <w:b/>
          <w:bCs/>
          <w:color w:val="000000" w:themeColor="text1"/>
          <w:szCs w:val="22"/>
          <w:highlight w:val="green"/>
          <w:u w:val="single"/>
        </w:rPr>
        <w:t>persons</w:t>
      </w:r>
      <w:r w:rsidRPr="00BC324F">
        <w:rPr>
          <w:color w:val="000000" w:themeColor="text1"/>
          <w:szCs w:val="22"/>
          <w:u w:val="single"/>
        </w:rPr>
        <w:t xml:space="preserve"> </w:t>
      </w:r>
      <w:r w:rsidRPr="00BC324F">
        <w:rPr>
          <w:color w:val="000000" w:themeColor="text1"/>
          <w:sz w:val="10"/>
          <w:szCs w:val="22"/>
        </w:rPr>
        <w:t xml:space="preserve">(especially male professionals) in specialized occupations </w:t>
      </w:r>
      <w:r w:rsidRPr="00B04ECE">
        <w:rPr>
          <w:b/>
          <w:bCs/>
          <w:color w:val="000000" w:themeColor="text1"/>
          <w:szCs w:val="22"/>
          <w:highlight w:val="green"/>
          <w:u w:val="single"/>
        </w:rPr>
        <w:t>overidentify with their positions and engage</w:t>
      </w:r>
      <w:r w:rsidRPr="00BC324F">
        <w:rPr>
          <w:b/>
          <w:bCs/>
          <w:color w:val="000000" w:themeColor="text1"/>
          <w:szCs w:val="22"/>
          <w:u w:val="single"/>
        </w:rPr>
        <w:t xml:space="preserve"> </w:t>
      </w:r>
      <w:r w:rsidRPr="00B04ECE">
        <w:rPr>
          <w:b/>
          <w:bCs/>
          <w:color w:val="000000" w:themeColor="text1"/>
          <w:szCs w:val="22"/>
          <w:highlight w:val="green"/>
          <w:u w:val="single"/>
        </w:rPr>
        <w:t>in gross fabrications to obtain advancement</w:t>
      </w:r>
      <w:r w:rsidRPr="00BC324F">
        <w:rPr>
          <w:b/>
          <w:bCs/>
          <w:color w:val="000000" w:themeColor="text1"/>
          <w:szCs w:val="22"/>
          <w:u w:val="single"/>
        </w:rPr>
        <w:t xml:space="preserve">. They look hesitantly to the opinion of others, asking themselves, "How ought I feel about this?" </w:t>
      </w:r>
      <w:r w:rsidRPr="00B04ECE">
        <w:rPr>
          <w:b/>
          <w:bCs/>
          <w:color w:val="000000" w:themeColor="text1"/>
          <w:szCs w:val="22"/>
          <w:highlight w:val="green"/>
          <w:u w:val="single"/>
        </w:rPr>
        <w:t>They are so</w:t>
      </w:r>
      <w:r w:rsidRPr="00BC324F">
        <w:rPr>
          <w:b/>
          <w:bCs/>
          <w:color w:val="000000" w:themeColor="text1"/>
          <w:szCs w:val="22"/>
          <w:u w:val="single"/>
        </w:rPr>
        <w:t xml:space="preserve"> thoroughly </w:t>
      </w:r>
      <w:r w:rsidRPr="00B04ECE">
        <w:rPr>
          <w:b/>
          <w:bCs/>
          <w:color w:val="000000" w:themeColor="text1"/>
          <w:szCs w:val="22"/>
          <w:highlight w:val="green"/>
          <w:u w:val="single"/>
        </w:rPr>
        <w:t>absorbed in simulating</w:t>
      </w:r>
      <w:r w:rsidRPr="00BC324F">
        <w:rPr>
          <w:b/>
          <w:bCs/>
          <w:color w:val="000000" w:themeColor="text1"/>
          <w:szCs w:val="22"/>
          <w:u w:val="single"/>
        </w:rPr>
        <w:t xml:space="preserve"> </w:t>
      </w:r>
      <w:r w:rsidRPr="00B04ECE">
        <w:rPr>
          <w:b/>
          <w:bCs/>
          <w:color w:val="000000" w:themeColor="text1"/>
          <w:szCs w:val="22"/>
          <w:highlight w:val="green"/>
          <w:u w:val="single"/>
        </w:rPr>
        <w:t>effective role players</w:t>
      </w:r>
      <w:r w:rsidRPr="00BC324F">
        <w:rPr>
          <w:b/>
          <w:bCs/>
          <w:color w:val="000000" w:themeColor="text1"/>
          <w:szCs w:val="22"/>
          <w:u w:val="single"/>
        </w:rPr>
        <w:t xml:space="preserve"> that </w:t>
      </w:r>
      <w:r w:rsidRPr="00B04ECE">
        <w:rPr>
          <w:b/>
          <w:bCs/>
          <w:color w:val="000000" w:themeColor="text1"/>
          <w:szCs w:val="22"/>
          <w:highlight w:val="green"/>
          <w:u w:val="single"/>
        </w:rPr>
        <w:t>they have trouble being anything but actors-"</w:t>
      </w:r>
      <w:r w:rsidRPr="00BC324F">
        <w:rPr>
          <w:b/>
          <w:bCs/>
          <w:color w:val="000000" w:themeColor="text1"/>
          <w:szCs w:val="22"/>
          <w:u w:val="single"/>
        </w:rPr>
        <w:t>The role has actually become the character." This</w:t>
      </w:r>
      <w:r w:rsidRPr="00BC324F">
        <w:rPr>
          <w:color w:val="000000" w:themeColor="text1"/>
          <w:sz w:val="10"/>
          <w:szCs w:val="22"/>
        </w:rPr>
        <w:t xml:space="preserve"> highly subjectified social self or </w:t>
      </w:r>
      <w:r w:rsidRPr="00BC324F">
        <w:rPr>
          <w:color w:val="000000" w:themeColor="text1"/>
          <w:szCs w:val="22"/>
          <w:u w:val="single"/>
        </w:rPr>
        <w:t>simulator suffers devastating inauthenticity</w:t>
      </w:r>
      <w:r w:rsidRPr="00BC324F">
        <w:rPr>
          <w:color w:val="000000" w:themeColor="text1"/>
          <w:sz w:val="10"/>
          <w:szCs w:val="22"/>
        </w:rPr>
        <w:t>. The powerful authority given the social greatly amplifies Socratic culture's already self-indulgent "inwardness</w:t>
      </w:r>
      <w:r w:rsidRPr="00BC324F">
        <w:rPr>
          <w:color w:val="000000" w:themeColor="text1"/>
          <w:szCs w:val="22"/>
          <w:u w:val="single"/>
        </w:rPr>
        <w:t xml:space="preserve">." </w:t>
      </w:r>
      <w:r w:rsidRPr="00B04ECE">
        <w:rPr>
          <w:b/>
          <w:bCs/>
          <w:color w:val="000000" w:themeColor="text1"/>
          <w:szCs w:val="22"/>
          <w:highlight w:val="green"/>
          <w:u w:val="single"/>
        </w:rPr>
        <w:t>Integrity,</w:t>
      </w:r>
      <w:r w:rsidRPr="00BC324F">
        <w:rPr>
          <w:b/>
          <w:bCs/>
          <w:color w:val="000000" w:themeColor="text1"/>
          <w:szCs w:val="22"/>
          <w:u w:val="single"/>
        </w:rPr>
        <w:t xml:space="preserve"> decisiveness, spontaneity, </w:t>
      </w:r>
      <w:r w:rsidRPr="00B04ECE">
        <w:rPr>
          <w:b/>
          <w:bCs/>
          <w:color w:val="000000" w:themeColor="text1"/>
          <w:szCs w:val="22"/>
          <w:highlight w:val="green"/>
          <w:u w:val="single"/>
        </w:rPr>
        <w:t xml:space="preserve">and pleasure are undone by </w:t>
      </w:r>
      <w:r w:rsidRPr="00BC324F">
        <w:rPr>
          <w:b/>
          <w:bCs/>
          <w:color w:val="000000" w:themeColor="text1"/>
          <w:szCs w:val="22"/>
          <w:u w:val="single"/>
        </w:rPr>
        <w:t xml:space="preserve">paralyzing </w:t>
      </w:r>
      <w:r w:rsidRPr="00B04ECE">
        <w:rPr>
          <w:b/>
          <w:bCs/>
          <w:color w:val="000000" w:themeColor="text1"/>
          <w:szCs w:val="22"/>
          <w:highlight w:val="green"/>
          <w:u w:val="single"/>
        </w:rPr>
        <w:t xml:space="preserve">overconcern about possible </w:t>
      </w:r>
      <w:r w:rsidRPr="00BC324F">
        <w:rPr>
          <w:b/>
          <w:bCs/>
          <w:color w:val="000000" w:themeColor="text1"/>
          <w:szCs w:val="22"/>
          <w:u w:val="single"/>
        </w:rPr>
        <w:t xml:space="preserve">causes, meanings, and </w:t>
      </w:r>
      <w:r w:rsidRPr="00B04ECE">
        <w:rPr>
          <w:b/>
          <w:bCs/>
          <w:color w:val="000000" w:themeColor="text1"/>
          <w:szCs w:val="22"/>
          <w:highlight w:val="green"/>
          <w:u w:val="single"/>
        </w:rPr>
        <w:t xml:space="preserve">consequences of acts </w:t>
      </w:r>
      <w:r w:rsidRPr="00BC324F">
        <w:rPr>
          <w:b/>
          <w:bCs/>
          <w:color w:val="000000" w:themeColor="text1"/>
          <w:szCs w:val="22"/>
          <w:u w:val="single"/>
        </w:rPr>
        <w:t>and unending internal dialogue about what others might think, expect, say, or do</w:t>
      </w:r>
      <w:r w:rsidRPr="00BC324F">
        <w:rPr>
          <w:color w:val="000000" w:themeColor="text1"/>
          <w:sz w:val="10"/>
          <w:szCs w:val="22"/>
        </w:rPr>
        <w:t xml:space="preserve"> (Nietzsche 1983, pp. 83-86; 1986, pp. 39-40; 1974, pp. 302-4, 316-17). Nervous </w:t>
      </w:r>
      <w:r w:rsidRPr="00B04ECE">
        <w:rPr>
          <w:b/>
          <w:bCs/>
          <w:color w:val="000000" w:themeColor="text1"/>
          <w:szCs w:val="22"/>
          <w:highlight w:val="green"/>
          <w:u w:val="single"/>
        </w:rPr>
        <w:t>rotation</w:t>
      </w:r>
      <w:r w:rsidRPr="00BC324F">
        <w:rPr>
          <w:b/>
          <w:bCs/>
          <w:color w:val="000000" w:themeColor="text1"/>
          <w:szCs w:val="22"/>
          <w:u w:val="single"/>
        </w:rPr>
        <w:t xml:space="preserve"> </w:t>
      </w:r>
      <w:r w:rsidRPr="00B04ECE">
        <w:rPr>
          <w:b/>
          <w:bCs/>
          <w:color w:val="000000" w:themeColor="text1"/>
          <w:szCs w:val="22"/>
          <w:highlight w:val="green"/>
          <w:u w:val="single"/>
        </w:rPr>
        <w:t>of socially appropriate "masks" reduces persons to hypostatized</w:t>
      </w:r>
      <w:r w:rsidRPr="00BC324F">
        <w:rPr>
          <w:b/>
          <w:bCs/>
          <w:color w:val="000000" w:themeColor="text1"/>
          <w:szCs w:val="22"/>
          <w:u w:val="single"/>
        </w:rPr>
        <w:t xml:space="preserve"> "shadows," "abstracts," or </w:t>
      </w:r>
      <w:r w:rsidRPr="00B04ECE">
        <w:rPr>
          <w:b/>
          <w:bCs/>
          <w:color w:val="000000" w:themeColor="text1"/>
          <w:szCs w:val="22"/>
          <w:highlight w:val="green"/>
          <w:u w:val="single"/>
        </w:rPr>
        <w:t>simulacra</w:t>
      </w:r>
      <w:r w:rsidRPr="00BC324F">
        <w:rPr>
          <w:b/>
          <w:bCs/>
          <w:color w:val="000000" w:themeColor="text1"/>
          <w:sz w:val="10"/>
          <w:szCs w:val="22"/>
        </w:rPr>
        <w:t xml:space="preserve">. </w:t>
      </w:r>
      <w:r w:rsidRPr="00BC324F">
        <w:rPr>
          <w:b/>
          <w:bCs/>
          <w:color w:val="000000" w:themeColor="text1"/>
          <w:szCs w:val="22"/>
          <w:u w:val="single"/>
        </w:rPr>
        <w:t>One adopts "many roles," playing them "badly and superficially" in the fashion of a stiff "puppet play."</w:t>
      </w:r>
      <w:r w:rsidRPr="00BC324F">
        <w:rPr>
          <w:color w:val="000000" w:themeColor="text1"/>
          <w:sz w:val="10"/>
          <w:szCs w:val="22"/>
        </w:rPr>
        <w:t xml:space="preserve"> Nietzsche asked, "Are you genuine? </w:t>
      </w:r>
      <w:r w:rsidRPr="00BC324F">
        <w:rPr>
          <w:b/>
          <w:bCs/>
          <w:color w:val="000000" w:themeColor="text1"/>
          <w:szCs w:val="22"/>
          <w:u w:val="single"/>
        </w:rPr>
        <w:t>Or only an actor? A</w:t>
      </w:r>
      <w:r w:rsidRPr="00BC324F">
        <w:rPr>
          <w:color w:val="000000" w:themeColor="text1"/>
          <w:sz w:val="10"/>
          <w:szCs w:val="22"/>
        </w:rPr>
        <w:t xml:space="preserve"> representative or that which is represented? . . . [</w:t>
      </w:r>
      <w:r w:rsidRPr="00BC324F">
        <w:rPr>
          <w:b/>
          <w:bCs/>
          <w:color w:val="000000" w:themeColor="text1"/>
          <w:szCs w:val="22"/>
          <w:u w:val="single"/>
        </w:rPr>
        <w:t xml:space="preserve">Or] no more than an imitation of an actor?" </w:t>
      </w:r>
      <w:r w:rsidRPr="00B04ECE">
        <w:rPr>
          <w:b/>
          <w:bCs/>
          <w:color w:val="000000" w:themeColor="text1"/>
          <w:szCs w:val="22"/>
          <w:highlight w:val="green"/>
          <w:u w:val="single"/>
        </w:rPr>
        <w:t xml:space="preserve">Simulation is so pervasive that it is hard to tell the </w:t>
      </w:r>
      <w:r w:rsidRPr="00BC324F">
        <w:rPr>
          <w:b/>
          <w:bCs/>
          <w:color w:val="000000" w:themeColor="text1"/>
          <w:szCs w:val="22"/>
          <w:u w:val="single"/>
        </w:rPr>
        <w:t xml:space="preserve">copy from </w:t>
      </w:r>
      <w:r w:rsidRPr="00B04ECE">
        <w:rPr>
          <w:b/>
          <w:bCs/>
          <w:color w:val="000000" w:themeColor="text1"/>
          <w:szCs w:val="22"/>
          <w:highlight w:val="green"/>
          <w:u w:val="single"/>
        </w:rPr>
        <w:t>the genuine article</w:t>
      </w:r>
      <w:r w:rsidRPr="00BC324F">
        <w:rPr>
          <w:color w:val="000000" w:themeColor="text1"/>
          <w:szCs w:val="22"/>
          <w:u w:val="single"/>
        </w:rPr>
        <w:t xml:space="preserve">; </w:t>
      </w:r>
      <w:r w:rsidRPr="00BC324F">
        <w:rPr>
          <w:color w:val="000000" w:themeColor="text1"/>
          <w:sz w:val="10"/>
          <w:szCs w:val="22"/>
        </w:rPr>
        <w:t xml:space="preserve">social selves "prefer the copies to the originals" (Nietzsche 1983, pp. 84-86; 1986, p. 136; 1974, pp. 232- 33, 259; 1969b, pp. 268, 300, 302; 1968a, pp. 26-27). Their inwardness and aleatory scripts foreclose genuine attachment to others. </w:t>
      </w:r>
      <w:r w:rsidRPr="00BC324F">
        <w:rPr>
          <w:b/>
          <w:bCs/>
          <w:color w:val="000000" w:themeColor="text1"/>
          <w:szCs w:val="22"/>
          <w:u w:val="single"/>
        </w:rPr>
        <w:t>This type of actor cannot plan for the long term or participate in enduring networks of interdependence</w:t>
      </w:r>
      <w:r w:rsidRPr="00BC324F">
        <w:rPr>
          <w:color w:val="000000" w:themeColor="text1"/>
          <w:sz w:val="10"/>
          <w:szCs w:val="22"/>
        </w:rPr>
        <w:t xml:space="preserv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w:t>
      </w:r>
      <w:r w:rsidRPr="00BC324F">
        <w:rPr>
          <w:b/>
          <w:bCs/>
          <w:color w:val="000000" w:themeColor="text1"/>
          <w:szCs w:val="22"/>
          <w:u w:val="single"/>
        </w:rPr>
        <w:t>Pervasive leveling</w:t>
      </w:r>
      <w:r w:rsidRPr="00BC324F">
        <w:rPr>
          <w:color w:val="000000" w:themeColor="text1"/>
          <w:sz w:val="10"/>
          <w:szCs w:val="22"/>
        </w:rPr>
        <w:t>, improvising</w:t>
      </w:r>
      <w:r w:rsidRPr="00BC324F">
        <w:rPr>
          <w:b/>
          <w:bCs/>
          <w:color w:val="000000" w:themeColor="text1"/>
          <w:sz w:val="10"/>
          <w:szCs w:val="22"/>
        </w:rPr>
        <w:t xml:space="preserve">, </w:t>
      </w:r>
      <w:r w:rsidRPr="00BC324F">
        <w:rPr>
          <w:b/>
          <w:bCs/>
          <w:color w:val="000000" w:themeColor="text1"/>
          <w:szCs w:val="22"/>
          <w:u w:val="single"/>
        </w:rPr>
        <w:t>and faking foster</w:t>
      </w:r>
      <w:r w:rsidRPr="00BC324F">
        <w:rPr>
          <w:color w:val="000000" w:themeColor="text1"/>
          <w:sz w:val="10"/>
          <w:szCs w:val="22"/>
        </w:rPr>
        <w:t xml:space="preserve"> an inflated sense of ability and </w:t>
      </w:r>
      <w:r w:rsidRPr="00BC324F">
        <w:rPr>
          <w:b/>
          <w:bCs/>
          <w:color w:val="000000" w:themeColor="text1"/>
          <w:szCs w:val="22"/>
          <w:u w:val="single"/>
        </w:rPr>
        <w:t>an oblivious attitude about the fortuitous circumstances that contribute to role attainment</w:t>
      </w:r>
      <w:r w:rsidRPr="00BC324F">
        <w:rPr>
          <w:b/>
          <w:bCs/>
          <w:color w:val="000000" w:themeColor="text1"/>
          <w:sz w:val="10"/>
          <w:szCs w:val="22"/>
        </w:rPr>
        <w:t xml:space="preserve"> (e.g., </w:t>
      </w:r>
      <w:r w:rsidRPr="00BC324F">
        <w:rPr>
          <w:b/>
          <w:bCs/>
          <w:color w:val="000000" w:themeColor="text1"/>
          <w:szCs w:val="22"/>
          <w:u w:val="single"/>
        </w:rPr>
        <w:t>class or ethnicity</w:t>
      </w:r>
      <w:r w:rsidRPr="00BC324F">
        <w:rPr>
          <w:color w:val="000000" w:themeColor="text1"/>
          <w:sz w:val="10"/>
          <w:szCs w:val="22"/>
        </w:rPr>
        <w:t xml:space="preserve">). The most </w:t>
      </w:r>
      <w:r w:rsidRPr="00BC324F">
        <w:rPr>
          <w:b/>
          <w:bCs/>
          <w:color w:val="000000" w:themeColor="text1"/>
          <w:szCs w:val="22"/>
          <w:u w:val="single"/>
        </w:rPr>
        <w:t>mediocre people believe they can fill any position, even cultural leadership. Nietzsche respected the self-mastery of genuine ascetic priests</w:t>
      </w:r>
      <w:r w:rsidRPr="00BC324F">
        <w:rPr>
          <w:color w:val="000000" w:themeColor="text1"/>
          <w:sz w:val="10"/>
          <w:szCs w:val="22"/>
        </w:rPr>
        <w:t xml:space="preserve">, like Socrates, </w:t>
      </w:r>
      <w:r w:rsidRPr="00BC324F">
        <w:rPr>
          <w:color w:val="000000" w:themeColor="text1"/>
          <w:szCs w:val="22"/>
          <w:u w:val="single"/>
        </w:rPr>
        <w:t>and praised their ability to redirect ressentiment creatively</w:t>
      </w:r>
      <w:r w:rsidRPr="00BC324F">
        <w:rPr>
          <w:color w:val="000000" w:themeColor="text1"/>
          <w:sz w:val="10"/>
          <w:szCs w:val="22"/>
        </w:rPr>
        <w:t xml:space="preserve"> and to render the "sick" harmless. But </w:t>
      </w:r>
      <w:r w:rsidRPr="00BC324F">
        <w:rPr>
          <w:color w:val="000000" w:themeColor="text1"/>
          <w:szCs w:val="22"/>
          <w:u w:val="single"/>
        </w:rPr>
        <w:t>he deeply feared the new simulated versions. Lacking</w:t>
      </w:r>
      <w:r w:rsidRPr="00BC324F">
        <w:rPr>
          <w:color w:val="000000" w:themeColor="text1"/>
          <w:sz w:val="10"/>
          <w:szCs w:val="22"/>
        </w:rPr>
        <w:t xml:space="preserve"> the "born physician's" capacities, </w:t>
      </w:r>
      <w:r w:rsidRPr="00BC324F">
        <w:rPr>
          <w:b/>
          <w:bCs/>
          <w:color w:val="000000" w:themeColor="text1"/>
          <w:szCs w:val="22"/>
          <w:u w:val="single"/>
        </w:rPr>
        <w:t xml:space="preserve">these </w:t>
      </w:r>
      <w:r w:rsidRPr="00B04ECE">
        <w:rPr>
          <w:b/>
          <w:bCs/>
          <w:color w:val="000000" w:themeColor="text1"/>
          <w:szCs w:val="22"/>
          <w:highlight w:val="green"/>
          <w:u w:val="single"/>
        </w:rPr>
        <w:t>impostors amplify the</w:t>
      </w:r>
      <w:r w:rsidRPr="00BC324F">
        <w:rPr>
          <w:b/>
          <w:bCs/>
          <w:color w:val="000000" w:themeColor="text1"/>
          <w:szCs w:val="22"/>
          <w:u w:val="single"/>
        </w:rPr>
        <w:t xml:space="preserve"> worst inclinations of the </w:t>
      </w:r>
      <w:r w:rsidRPr="00B04ECE">
        <w:rPr>
          <w:b/>
          <w:bCs/>
          <w:color w:val="000000" w:themeColor="text1"/>
          <w:szCs w:val="22"/>
          <w:highlight w:val="green"/>
          <w:u w:val="single"/>
        </w:rPr>
        <w:t>herd; they are "violent, envious</w:t>
      </w:r>
      <w:r w:rsidRPr="00BC324F">
        <w:rPr>
          <w:b/>
          <w:bCs/>
          <w:color w:val="000000" w:themeColor="text1"/>
          <w:szCs w:val="22"/>
          <w:u w:val="single"/>
        </w:rPr>
        <w:t xml:space="preserve">, </w:t>
      </w:r>
      <w:r w:rsidRPr="00B04ECE">
        <w:rPr>
          <w:b/>
          <w:bCs/>
          <w:color w:val="000000" w:themeColor="text1"/>
          <w:szCs w:val="22"/>
          <w:highlight w:val="green"/>
          <w:u w:val="single"/>
        </w:rPr>
        <w:t>exploitative</w:t>
      </w:r>
      <w:r w:rsidRPr="00BC324F">
        <w:rPr>
          <w:b/>
          <w:bCs/>
          <w:color w:val="000000" w:themeColor="text1"/>
          <w:szCs w:val="22"/>
          <w:u w:val="single"/>
        </w:rPr>
        <w:t>, scheming, fawning, cringing</w:t>
      </w:r>
      <w:r w:rsidRPr="00BC324F">
        <w:rPr>
          <w:color w:val="000000" w:themeColor="text1"/>
          <w:sz w:val="10"/>
          <w:szCs w:val="22"/>
        </w:rPr>
        <w:t xml:space="preserve">, arrogant, all according to circumstances. " </w:t>
      </w:r>
      <w:r w:rsidRPr="00BC324F">
        <w:rPr>
          <w:b/>
          <w:bCs/>
          <w:color w:val="000000" w:themeColor="text1"/>
          <w:szCs w:val="22"/>
          <w:u w:val="single"/>
        </w:rPr>
        <w:t>Social selves are fodder for the "great man of the masse</w:t>
      </w:r>
      <w:r w:rsidRPr="00BC324F">
        <w:rPr>
          <w:b/>
          <w:bCs/>
          <w:color w:val="000000" w:themeColor="text1"/>
          <w:sz w:val="10"/>
          <w:szCs w:val="22"/>
        </w:rPr>
        <w:t>s</w:t>
      </w:r>
      <w:r w:rsidRPr="00BC324F">
        <w:rPr>
          <w:color w:val="000000" w:themeColor="text1"/>
          <w:sz w:val="10"/>
          <w:szCs w:val="22"/>
        </w:rPr>
        <w:t>." Nietzsche held that "</w:t>
      </w:r>
      <w:r w:rsidRPr="00BC324F">
        <w:rPr>
          <w:b/>
          <w:bCs/>
          <w:color w:val="000000" w:themeColor="text1"/>
          <w:szCs w:val="22"/>
          <w:u w:val="single"/>
        </w:rPr>
        <w:t>the less one knows how to command, the more urgently one covets someone who commands</w:t>
      </w:r>
      <w:r w:rsidRPr="00BC324F">
        <w:rPr>
          <w:color w:val="000000" w:themeColor="text1"/>
          <w:sz w:val="10"/>
          <w:szCs w:val="22"/>
        </w:rPr>
        <w:t xml:space="preserve">, who commands severely- a god, prince, class, physician, father confessor, dogma, or party conscience. </w:t>
      </w:r>
      <w:r w:rsidRPr="00BC324F">
        <w:rPr>
          <w:b/>
          <w:bCs/>
          <w:color w:val="000000" w:themeColor="text1"/>
          <w:szCs w:val="22"/>
          <w:u w:val="single"/>
        </w:rPr>
        <w:t>The deadly combination of desperate conforming and overreaching and untrammeled ressentiment paves the way for a new type of tyrant</w:t>
      </w:r>
      <w:r w:rsidRPr="00BC324F">
        <w:rPr>
          <w:color w:val="000000" w:themeColor="text1"/>
          <w:sz w:val="10"/>
          <w:szCs w:val="22"/>
        </w:rPr>
        <w:t xml:space="preserve"> (Nietzsche 1986, pp. 137, 168; 1974, pp. 117-18, 213, 288-89, 303-4).</w:t>
      </w:r>
    </w:p>
    <w:p w:rsidR="00B458DF" w:rsidRPr="003C0707" w:rsidRDefault="00B458DF" w:rsidP="00B458DF">
      <w:pPr>
        <w:pStyle w:val="Heading4"/>
      </w:pPr>
      <w:bookmarkStart w:id="3" w:name="OLE_LINK9"/>
      <w:bookmarkStart w:id="4" w:name="OLE_LINK10"/>
      <w:bookmarkStart w:id="5" w:name="OLE_LINK7"/>
      <w:r>
        <w:t xml:space="preserve">The 1AC method is compatible with a form of </w:t>
      </w:r>
      <w:r w:rsidRPr="003C0707">
        <w:t>conspiratorial communism – it’s the only solution</w:t>
      </w:r>
      <w:r>
        <w:t xml:space="preserve"> to neoliberalism.</w:t>
      </w:r>
    </w:p>
    <w:p w:rsidR="00B458DF" w:rsidRPr="003C0707" w:rsidRDefault="00B458DF" w:rsidP="00B458DF">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rsidR="00B458DF" w:rsidRDefault="00B458DF" w:rsidP="00B458DF">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rsidR="00B458DF" w:rsidRDefault="00B458DF" w:rsidP="00B458DF">
      <w:pPr>
        <w:rPr>
          <w:sz w:val="16"/>
        </w:rPr>
      </w:pPr>
    </w:p>
    <w:p w:rsidR="00B458DF" w:rsidRPr="00F36ABA" w:rsidRDefault="00B458DF" w:rsidP="00B458DF">
      <w:pPr>
        <w:pStyle w:val="Heading4"/>
        <w:spacing w:before="0" w:after="80" w:line="276" w:lineRule="auto"/>
        <w:rPr>
          <w:rFonts w:cs="Calibri"/>
        </w:rPr>
      </w:pPr>
      <w:r w:rsidRPr="00F36ABA">
        <w:rPr>
          <w:rFonts w:cs="Calibri"/>
        </w:rPr>
        <w:t xml:space="preserve">Gradations in suffering is how the 1ACs analysis operates. Semiocapitalism has shifted the terrain and now requires information to move quickly and effortlessly. The result is the capacitation of certain disabled bodies at the expense of debilitating dysfluent laborers. </w:t>
      </w:r>
    </w:p>
    <w:p w:rsidR="00B458DF" w:rsidRPr="00F36ABA" w:rsidRDefault="00B458DF" w:rsidP="00B458DF">
      <w:pPr>
        <w:spacing w:after="80" w:line="276" w:lineRule="auto"/>
        <w:rPr>
          <w:rFonts w:cs="Calibri"/>
          <w:b/>
        </w:rPr>
      </w:pPr>
      <w:r w:rsidRPr="00F36ABA">
        <w:rPr>
          <w:rFonts w:cs="Calibri"/>
          <w:b/>
          <w:sz w:val="26"/>
          <w:szCs w:val="26"/>
        </w:rPr>
        <w:t xml:space="preserve">St. Pierre 2 </w:t>
      </w:r>
      <w:r w:rsidRPr="00F36ABA">
        <w:rPr>
          <w:rFonts w:cs="Calibri"/>
          <w:sz w:val="16"/>
          <w:szCs w:val="16"/>
        </w:rPr>
        <w:t>[Becoming Dysfluent: Fluency as Biopolitics and Hegemony Joshua St. Pierre Journal of Literary &amp; Cultural Disability Studies, Volume 11, Issue 3, 2017, pp. 339-356 (Article) Published by Liverpool University Press // UTDD]</w:t>
      </w:r>
    </w:p>
    <w:p w:rsidR="00B458DF" w:rsidRPr="00F36ABA" w:rsidRDefault="00B458DF" w:rsidP="00B458DF">
      <w:pPr>
        <w:spacing w:after="80" w:line="276" w:lineRule="auto"/>
        <w:rPr>
          <w:rFonts w:cs="Calibri"/>
          <w:sz w:val="16"/>
          <w:szCs w:val="16"/>
        </w:rPr>
      </w:pPr>
      <w:r w:rsidRPr="00F36ABA">
        <w:rPr>
          <w:rFonts w:cs="Calibri"/>
        </w:rPr>
        <w:t xml:space="preserve"> “</w:t>
      </w:r>
      <w:r w:rsidRPr="00F36ABA">
        <w:rPr>
          <w:rFonts w:cs="Calibri"/>
          <w:sz w:val="16"/>
          <w:szCs w:val="16"/>
        </w:rPr>
        <w:t>Considered</w:t>
      </w:r>
      <w:r w:rsidRPr="00F36ABA">
        <w:rPr>
          <w:rFonts w:cs="Calibri"/>
        </w:rPr>
        <w:t xml:space="preserve"> </w:t>
      </w:r>
      <w:r w:rsidRPr="00F36ABA">
        <w:rPr>
          <w:rFonts w:cs="Calibri"/>
          <w:b/>
          <w:u w:val="single"/>
        </w:rPr>
        <w:t>in terms of optimization</w:t>
      </w:r>
      <w:r w:rsidRPr="00F36ABA">
        <w:rPr>
          <w:rFonts w:cs="Calibri"/>
          <w:sz w:val="16"/>
          <w:szCs w:val="16"/>
        </w:rPr>
        <w:t xml:space="preserve">, the function of </w:t>
      </w:r>
      <w:r w:rsidRPr="00F36ABA">
        <w:rPr>
          <w:rFonts w:cs="Calibri"/>
          <w:b/>
          <w:u w:val="single"/>
        </w:rPr>
        <w:t>fluency</w:t>
      </w:r>
      <w:r w:rsidRPr="00F36ABA">
        <w:rPr>
          <w:rFonts w:cs="Calibri"/>
        </w:rPr>
        <w:t xml:space="preserve"> </w:t>
      </w:r>
      <w:r w:rsidRPr="00F36ABA">
        <w:rPr>
          <w:rFonts w:cs="Calibri"/>
          <w:sz w:val="16"/>
          <w:szCs w:val="16"/>
        </w:rPr>
        <w:t xml:space="preserve">is quite familiar: </w:t>
      </w:r>
      <w:r w:rsidRPr="00F36ABA">
        <w:rPr>
          <w:rFonts w:cs="Calibri"/>
          <w:b/>
          <w:u w:val="single"/>
        </w:rPr>
        <w:t xml:space="preserve">technologies </w:t>
      </w:r>
      <w:r w:rsidRPr="00F36ABA">
        <w:rPr>
          <w:rFonts w:cs="Calibri"/>
          <w:sz w:val="16"/>
          <w:szCs w:val="16"/>
        </w:rPr>
        <w:t>of normalizing embodied difference</w:t>
      </w:r>
      <w:r w:rsidRPr="00F36ABA">
        <w:rPr>
          <w:rFonts w:cs="Calibri"/>
        </w:rPr>
        <w:t xml:space="preserve"> </w:t>
      </w:r>
      <w:r w:rsidRPr="00F36ABA">
        <w:rPr>
          <w:rFonts w:cs="Calibri"/>
          <w:b/>
          <w:u w:val="single"/>
        </w:rPr>
        <w:t>rely upon manageable or “docile” communication channels and semiotic protocols</w:t>
      </w:r>
      <w:r w:rsidRPr="00F36ABA">
        <w:rPr>
          <w:rFonts w:cs="Calibri"/>
        </w:rPr>
        <w:t xml:space="preserve"> </w:t>
      </w:r>
      <w:r w:rsidRPr="00F36ABA">
        <w:rPr>
          <w:rFonts w:cs="Calibri"/>
          <w:sz w:val="16"/>
          <w:szCs w:val="16"/>
        </w:rPr>
        <w:t xml:space="preserve">(Foucault, “The Subject and Power,” 135). </w:t>
      </w:r>
      <w:r w:rsidRPr="00F36ABA">
        <w:rPr>
          <w:rFonts w:cs="Calibri"/>
          <w:b/>
          <w:highlight w:val="cyan"/>
          <w:u w:val="single"/>
        </w:rPr>
        <w:t>Speech is now human capital</w:t>
      </w:r>
      <w:r w:rsidRPr="00F36ABA">
        <w:rPr>
          <w:rFonts w:cs="Calibri"/>
        </w:rPr>
        <w:t xml:space="preserve"> </w:t>
      </w:r>
      <w:r w:rsidRPr="00F36ABA">
        <w:rPr>
          <w:rFonts w:cs="Calibri"/>
          <w:sz w:val="16"/>
          <w:szCs w:val="16"/>
        </w:rPr>
        <w:t xml:space="preserve">(a flattened capacity that produces future return) and it is hardly surprising that </w:t>
      </w:r>
      <w:r w:rsidRPr="00F36ABA">
        <w:rPr>
          <w:rFonts w:cs="Calibri"/>
          <w:b/>
          <w:highlight w:val="cyan"/>
          <w:u w:val="single"/>
        </w:rPr>
        <w:t xml:space="preserve">technologies of fluency </w:t>
      </w:r>
      <w:r w:rsidRPr="00F36ABA">
        <w:rPr>
          <w:rFonts w:cs="Calibri"/>
          <w:b/>
          <w:u w:val="single"/>
        </w:rPr>
        <w:t xml:space="preserve">have come to </w:t>
      </w:r>
      <w:r w:rsidRPr="00F36ABA">
        <w:rPr>
          <w:rFonts w:cs="Calibri"/>
          <w:b/>
          <w:highlight w:val="cyan"/>
          <w:u w:val="single"/>
        </w:rPr>
        <w:t xml:space="preserve">play a central role in </w:t>
      </w:r>
      <w:r w:rsidRPr="00F36ABA">
        <w:rPr>
          <w:rFonts w:cs="Calibri"/>
          <w:b/>
          <w:u w:val="single"/>
        </w:rPr>
        <w:t xml:space="preserve">the productive machinery of </w:t>
      </w:r>
      <w:r w:rsidRPr="00F36ABA">
        <w:rPr>
          <w:rFonts w:cs="Calibri"/>
          <w:b/>
          <w:highlight w:val="cyan"/>
          <w:u w:val="single"/>
        </w:rPr>
        <w:t>semiocapitalism. This system requires</w:t>
      </w:r>
      <w:r w:rsidRPr="00F36ABA">
        <w:rPr>
          <w:rFonts w:cs="Calibri"/>
          <w:b/>
          <w:u w:val="single"/>
        </w:rPr>
        <w:t xml:space="preserve"> not only vast quantities of </w:t>
      </w:r>
      <w:r w:rsidRPr="00F36ABA">
        <w:rPr>
          <w:rFonts w:cs="Calibri"/>
          <w:b/>
          <w:highlight w:val="cyan"/>
          <w:u w:val="single"/>
        </w:rPr>
        <w:t>information</w:t>
      </w:r>
      <w:r w:rsidRPr="00F36ABA">
        <w:rPr>
          <w:rFonts w:cs="Calibri"/>
          <w:b/>
          <w:u w:val="single"/>
        </w:rPr>
        <w:t xml:space="preserve">, but the ability </w:t>
      </w:r>
      <w:r w:rsidRPr="00F36ABA">
        <w:rPr>
          <w:rFonts w:cs="Calibri"/>
          <w:b/>
          <w:highlight w:val="cyan"/>
          <w:u w:val="single"/>
        </w:rPr>
        <w:t>to move</w:t>
      </w:r>
      <w:r w:rsidRPr="00F36ABA">
        <w:rPr>
          <w:rFonts w:cs="Calibri"/>
          <w:b/>
          <w:u w:val="single"/>
        </w:rPr>
        <w:t xml:space="preserve"> it around </w:t>
      </w:r>
      <w:r w:rsidRPr="00F36ABA">
        <w:rPr>
          <w:rFonts w:cs="Calibri"/>
          <w:b/>
          <w:highlight w:val="cyan"/>
          <w:u w:val="single"/>
        </w:rPr>
        <w:t xml:space="preserve">quickly and effortlessly. Fluency </w:t>
      </w:r>
      <w:r w:rsidRPr="00F36ABA">
        <w:rPr>
          <w:rFonts w:cs="Calibri"/>
          <w:b/>
          <w:u w:val="single"/>
        </w:rPr>
        <w:t>is not a “repressive” but a productive force</w:t>
      </w:r>
      <w:r w:rsidRPr="00F36ABA">
        <w:rPr>
          <w:rFonts w:cs="Calibri"/>
        </w:rPr>
        <w:t xml:space="preserve"> </w:t>
      </w:r>
      <w:r w:rsidRPr="00F36ABA">
        <w:rPr>
          <w:rFonts w:cs="Calibri"/>
          <w:sz w:val="16"/>
          <w:szCs w:val="16"/>
        </w:rPr>
        <w:t xml:space="preserve">(Foucault, Discipline and Punish), </w:t>
      </w:r>
      <w:r w:rsidRPr="00F36ABA">
        <w:rPr>
          <w:rFonts w:cs="Calibri"/>
          <w:b/>
          <w:u w:val="single"/>
        </w:rPr>
        <w:t xml:space="preserve">one that </w:t>
      </w:r>
      <w:r w:rsidRPr="00F36ABA">
        <w:rPr>
          <w:rFonts w:cs="Calibri"/>
          <w:b/>
          <w:highlight w:val="cyan"/>
          <w:u w:val="single"/>
        </w:rPr>
        <w:t>impels modern subjects to</w:t>
      </w:r>
      <w:r w:rsidRPr="00F36ABA">
        <w:rPr>
          <w:rFonts w:cs="Calibri"/>
        </w:rPr>
        <w:t xml:space="preserve"> </w:t>
      </w:r>
      <w:r w:rsidRPr="00F36ABA">
        <w:rPr>
          <w:rFonts w:cs="Calibri"/>
          <w:sz w:val="16"/>
          <w:szCs w:val="16"/>
        </w:rPr>
        <w:t xml:space="preserve">be loquacious, to </w:t>
      </w:r>
      <w:r w:rsidRPr="00F36ABA">
        <w:rPr>
          <w:rFonts w:cs="Calibri"/>
          <w:b/>
          <w:highlight w:val="cyan"/>
          <w:u w:val="single"/>
        </w:rPr>
        <w:t>increase their information flow</w:t>
      </w:r>
      <w:r w:rsidRPr="00F36ABA">
        <w:rPr>
          <w:rFonts w:cs="Calibri"/>
        </w:rPr>
        <w:t xml:space="preserve"> </w:t>
      </w:r>
      <w:r w:rsidRPr="00F36ABA">
        <w:rPr>
          <w:rFonts w:cs="Calibri"/>
          <w:sz w:val="16"/>
          <w:szCs w:val="16"/>
        </w:rPr>
        <w:t>(see, for example, Starkweather above),</w:t>
      </w:r>
      <w:r w:rsidRPr="00F36ABA">
        <w:rPr>
          <w:rFonts w:cs="Calibri"/>
        </w:rPr>
        <w:t xml:space="preserve"> </w:t>
      </w:r>
      <w:r w:rsidRPr="00F36ABA">
        <w:rPr>
          <w:rFonts w:cs="Calibri"/>
          <w:b/>
          <w:u w:val="single"/>
        </w:rPr>
        <w:t xml:space="preserve">and to maximize their communicative inputs and outputs. These transformations have created new forms of disability oppression. </w:t>
      </w:r>
      <w:r w:rsidRPr="00F36ABA">
        <w:rPr>
          <w:rFonts w:cs="Calibri"/>
          <w:b/>
          <w:highlight w:val="cyan"/>
          <w:u w:val="single"/>
        </w:rPr>
        <w:t>Many disabled people who could not work under industrialized capitalist conditions have benefitted</w:t>
      </w:r>
      <w:r w:rsidRPr="00F36ABA">
        <w:rPr>
          <w:rFonts w:cs="Calibri"/>
          <w:b/>
          <w:u w:val="single"/>
        </w:rPr>
        <w:t xml:space="preserve"> from the fact that communication has become immanent to the production process</w:t>
      </w:r>
      <w:r w:rsidRPr="00F36ABA">
        <w:rPr>
          <w:rFonts w:cs="Calibri"/>
        </w:rPr>
        <w:t xml:space="preserve"> </w:t>
      </w:r>
      <w:r w:rsidRPr="00F36ABA">
        <w:rPr>
          <w:rFonts w:cs="Calibri"/>
          <w:sz w:val="16"/>
          <w:szCs w:val="16"/>
        </w:rPr>
        <w:t xml:space="preserve">(see Mitchell and Snyder, “Disability as Multitude,” 189) </w:t>
      </w:r>
      <w:r w:rsidRPr="00F36ABA">
        <w:rPr>
          <w:rFonts w:cs="Calibri"/>
          <w:b/>
          <w:highlight w:val="cyan"/>
          <w:u w:val="single"/>
        </w:rPr>
        <w:t>yet such changes,</w:t>
      </w:r>
      <w:r w:rsidRPr="00F36ABA">
        <w:rPr>
          <w:rFonts w:cs="Calibri"/>
          <w:b/>
          <w:u w:val="single"/>
        </w:rPr>
        <w:t xml:space="preserve"> while empowering for some, </w:t>
      </w:r>
      <w:r w:rsidRPr="00F36ABA">
        <w:rPr>
          <w:rFonts w:cs="Calibri"/>
          <w:b/>
          <w:highlight w:val="cyan"/>
          <w:u w:val="single"/>
        </w:rPr>
        <w:t>shift the socioeconomic terrain in threatening ways for others.</w:t>
      </w:r>
      <w:r w:rsidRPr="00F36ABA">
        <w:rPr>
          <w:rFonts w:cs="Calibri"/>
        </w:rPr>
        <w:t xml:space="preserve"> </w:t>
      </w:r>
      <w:r w:rsidRPr="00F36ABA">
        <w:rPr>
          <w:rFonts w:cs="Calibri"/>
          <w:b/>
          <w:u w:val="single"/>
        </w:rPr>
        <w:t xml:space="preserve">Call centers, for example, are a mainstay of immaterial labor yet effectively exclude people with communication disabilities from employment across the board. </w:t>
      </w:r>
      <w:r w:rsidRPr="00F36ABA">
        <w:rPr>
          <w:rFonts w:cs="Calibri"/>
          <w:b/>
          <w:highlight w:val="cyan"/>
          <w:u w:val="single"/>
        </w:rPr>
        <w:t>The ability to regulate informational and affective flow has become a baseline for postindustrial labor.</w:t>
      </w:r>
      <w:r w:rsidRPr="00F36ABA">
        <w:rPr>
          <w:rFonts w:cs="Calibri"/>
          <w:b/>
          <w:u w:val="single"/>
        </w:rPr>
        <w:t xml:space="preserve"> </w:t>
      </w:r>
      <w:r w:rsidRPr="00F36ABA">
        <w:rPr>
          <w:rFonts w:cs="Calibri"/>
          <w:sz w:val="16"/>
          <w:szCs w:val="16"/>
        </w:rPr>
        <w:t xml:space="preserve">Clare Butler argues that </w:t>
      </w:r>
      <w:r w:rsidRPr="00F36ABA">
        <w:rPr>
          <w:rFonts w:cs="Calibri"/>
          <w:b/>
          <w:u w:val="single"/>
        </w:rPr>
        <w:t>“Being a skilled verbal communicator is</w:t>
      </w:r>
      <w:r w:rsidRPr="00F36ABA">
        <w:rPr>
          <w:rFonts w:cs="Calibri"/>
        </w:rPr>
        <w:t xml:space="preserve"> </w:t>
      </w:r>
      <w:r w:rsidRPr="00F36ABA">
        <w:rPr>
          <w:rFonts w:cs="Calibri"/>
          <w:sz w:val="16"/>
          <w:szCs w:val="16"/>
        </w:rPr>
        <w:t xml:space="preserve">[now] </w:t>
      </w:r>
      <w:r w:rsidRPr="00F36ABA">
        <w:rPr>
          <w:rFonts w:cs="Calibri"/>
          <w:b/>
          <w:u w:val="single"/>
        </w:rPr>
        <w:t xml:space="preserve">treated as a justifiable requirement in the workplace” (720), </w:t>
      </w:r>
      <w:r w:rsidRPr="00F36ABA">
        <w:rPr>
          <w:rFonts w:cs="Calibri"/>
          <w:b/>
          <w:highlight w:val="cyan"/>
          <w:u w:val="single"/>
        </w:rPr>
        <w:t>such that the imperatives to “sound right” and possess “excellent communication skills” marginalize dysfluent laborers</w:t>
      </w:r>
      <w:r w:rsidRPr="00F36ABA">
        <w:rPr>
          <w:rFonts w:cs="Calibri"/>
        </w:rPr>
        <w:t xml:space="preserve"> </w:t>
      </w:r>
      <w:r w:rsidRPr="00F36ABA">
        <w:rPr>
          <w:rFonts w:cs="Calibri"/>
          <w:sz w:val="16"/>
          <w:szCs w:val="16"/>
        </w:rPr>
        <w:t>in postindustrial economies.</w:t>
      </w:r>
      <w:r w:rsidRPr="00F36ABA">
        <w:rPr>
          <w:rFonts w:cs="Calibri"/>
        </w:rPr>
        <w:t xml:space="preserve">” </w:t>
      </w:r>
      <w:r w:rsidRPr="00F36ABA">
        <w:rPr>
          <w:rFonts w:cs="Calibri"/>
          <w:sz w:val="16"/>
          <w:szCs w:val="16"/>
        </w:rPr>
        <w:t>(344)</w:t>
      </w:r>
    </w:p>
    <w:bookmarkEnd w:id="3"/>
    <w:bookmarkEnd w:id="4"/>
    <w:bookmarkEnd w:id="5"/>
    <w:p w:rsidR="00B458DF" w:rsidRPr="00137A95" w:rsidRDefault="00B458DF" w:rsidP="00B458DF"/>
    <w:p w:rsidR="00B458DF" w:rsidRPr="00BC324F" w:rsidRDefault="00B458DF" w:rsidP="00B458DF">
      <w:pPr>
        <w:rPr>
          <w:color w:val="000000" w:themeColor="text1"/>
          <w:sz w:val="10"/>
          <w:szCs w:val="22"/>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58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BF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F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8DF"/>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A4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CD6B699C-FD3C-8B4C-8324-319E575C2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58D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58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58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58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B458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58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58DF"/>
  </w:style>
  <w:style w:type="character" w:customStyle="1" w:styleId="Heading1Char">
    <w:name w:val="Heading 1 Char"/>
    <w:aliases w:val="Pocket Char"/>
    <w:basedOn w:val="DefaultParagraphFont"/>
    <w:link w:val="Heading1"/>
    <w:uiPriority w:val="9"/>
    <w:rsid w:val="00B458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58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58D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B458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458DF"/>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B458D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B458D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58D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B458DF"/>
    <w:rPr>
      <w:color w:val="auto"/>
      <w:u w:val="none"/>
    </w:rPr>
  </w:style>
  <w:style w:type="paragraph" w:styleId="DocumentMap">
    <w:name w:val="Document Map"/>
    <w:basedOn w:val="Normal"/>
    <w:link w:val="DocumentMapChar"/>
    <w:uiPriority w:val="99"/>
    <w:semiHidden/>
    <w:unhideWhenUsed/>
    <w:rsid w:val="00B458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58DF"/>
    <w:rPr>
      <w:rFonts w:ascii="Lucida Grande" w:hAnsi="Lucida Grande" w:cs="Lucida Grande"/>
    </w:rPr>
  </w:style>
  <w:style w:type="paragraph" w:customStyle="1" w:styleId="textbold">
    <w:name w:val="text bold"/>
    <w:basedOn w:val="Normal"/>
    <w:link w:val="Emphasis"/>
    <w:uiPriority w:val="20"/>
    <w:qFormat/>
    <w:rsid w:val="00B458DF"/>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B458D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B458DF"/>
    <w:rPr>
      <w:rFonts w:eastAsia="Calibri"/>
      <w:sz w:val="14"/>
    </w:rPr>
  </w:style>
  <w:style w:type="character" w:customStyle="1" w:styleId="SmalltextChar">
    <w:name w:val="Small text Char"/>
    <w:aliases w:val="Quote Char,Quote1 Char1"/>
    <w:link w:val="Smalltext"/>
    <w:rsid w:val="00B458DF"/>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nkaigo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8A65B-695A-9144-B56B-7FCD719C8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11863</Words>
  <Characters>67625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Junkai Gong</cp:lastModifiedBy>
  <cp:revision>3</cp:revision>
  <dcterms:created xsi:type="dcterms:W3CDTF">2022-02-20T21:27:00Z</dcterms:created>
  <dcterms:modified xsi:type="dcterms:W3CDTF">2022-02-20T22:05:00Z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