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98C" w:rsidRDefault="00E7498C" w:rsidP="00E7498C">
      <w:pPr>
        <w:pStyle w:val="Heading3"/>
      </w:pPr>
      <w:r>
        <w:t>1</w:t>
      </w:r>
    </w:p>
    <w:p w:rsidR="0000313F" w:rsidRDefault="0000313F" w:rsidP="0000313F">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rsidR="0000313F" w:rsidRDefault="0000313F" w:rsidP="0000313F">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rsidR="0000313F" w:rsidRDefault="0000313F" w:rsidP="0000313F">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rsidR="0000313F" w:rsidRDefault="0000313F" w:rsidP="0000313F">
      <w:pPr>
        <w:pStyle w:val="Analytic"/>
      </w:pPr>
      <w:r>
        <w:t xml:space="preserve">“Unconditional” necessitates the </w:t>
      </w:r>
      <w:r>
        <w:rPr>
          <w:u w:val="single"/>
        </w:rPr>
        <w:t>absence</w:t>
      </w:r>
      <w:r>
        <w:t xml:space="preserve"> of narrowing restrictions.</w:t>
      </w:r>
    </w:p>
    <w:p w:rsidR="0000313F" w:rsidRPr="00483479" w:rsidRDefault="0000313F" w:rsidP="0000313F">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rsidR="0000313F" w:rsidRPr="00C40100" w:rsidRDefault="0000313F" w:rsidP="0000313F">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rsidR="0000313F" w:rsidRDefault="0000313F" w:rsidP="0000313F">
      <w:pPr>
        <w:pStyle w:val="Heading4"/>
      </w:pPr>
      <w:r>
        <w:t>2] Violation – They only grant the Right to Strike to [</w:t>
      </w:r>
      <w:r w:rsidR="003A2512">
        <w:rPr>
          <w:highlight w:val="green"/>
        </w:rPr>
        <w:t>prison workers</w:t>
      </w:r>
      <w:r>
        <w:t xml:space="preserve">]. That by definition is a </w:t>
      </w:r>
      <w:r>
        <w:rPr>
          <w:u w:val="single"/>
        </w:rPr>
        <w:t>condition</w:t>
      </w:r>
      <w:r>
        <w:t xml:space="preserve"> since they </w:t>
      </w:r>
      <w:r>
        <w:rPr>
          <w:u w:val="single"/>
        </w:rPr>
        <w:t>condition</w:t>
      </w:r>
      <w:r>
        <w:t xml:space="preserve"> the right to strike on a particular occupation. </w:t>
      </w:r>
    </w:p>
    <w:p w:rsidR="0000313F" w:rsidRPr="00483479" w:rsidRDefault="0000313F" w:rsidP="0000313F">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483479">
          <w:rPr>
            <w:rStyle w:val="Hyperlink"/>
            <w:sz w:val="16"/>
          </w:rPr>
          <w:t>https://law.stanford.edu/wp-content/uploads/2018/04/Timor-Leste-Constitutional-Rights.pdf</w:t>
        </w:r>
      </w:hyperlink>
      <w:r w:rsidRPr="00483479">
        <w:rPr>
          <w:sz w:val="16"/>
        </w:rPr>
        <w:t>; Accessed: 10-30-2021; AU)</w:t>
      </w:r>
    </w:p>
    <w:p w:rsidR="0000313F" w:rsidRPr="005127AC" w:rsidRDefault="0000313F" w:rsidP="0000313F">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rsidR="0000313F" w:rsidRDefault="0000313F" w:rsidP="0000313F">
      <w:pPr>
        <w:pStyle w:val="Heading4"/>
      </w:pPr>
      <w:r>
        <w:lastRenderedPageBreak/>
        <w:t xml:space="preserve">3] Standards – </w:t>
      </w:r>
    </w:p>
    <w:p w:rsidR="0000313F" w:rsidRDefault="0000313F" w:rsidP="0000313F">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rsidR="0000313F" w:rsidRPr="00097ABF" w:rsidRDefault="0000313F" w:rsidP="0000313F">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rsidR="0000313F" w:rsidRDefault="0000313F" w:rsidP="0000313F">
      <w:pPr>
        <w:pStyle w:val="Heading4"/>
      </w:pPr>
      <w:r>
        <w:t xml:space="preserve">4] </w:t>
      </w:r>
      <w:r w:rsidRPr="00D557B8">
        <w:rPr>
          <w:u w:val="single"/>
        </w:rPr>
        <w:t>TVA</w:t>
      </w:r>
      <w:r>
        <w:t xml:space="preserve"> – read this </w:t>
      </w:r>
      <w:proofErr w:type="spellStart"/>
      <w:r>
        <w:t>aff</w:t>
      </w:r>
      <w:proofErr w:type="spellEnd"/>
      <w:r>
        <w:t xml:space="preserve"> but defend whole res.</w:t>
      </w:r>
    </w:p>
    <w:p w:rsidR="0000313F" w:rsidRDefault="0000313F" w:rsidP="0000313F"/>
    <w:p w:rsidR="00E7498C" w:rsidRDefault="00E7498C" w:rsidP="00E7498C">
      <w:pPr>
        <w:pStyle w:val="Heading3"/>
      </w:pPr>
      <w:r>
        <w:lastRenderedPageBreak/>
        <w:t>2</w:t>
      </w:r>
    </w:p>
    <w:p w:rsidR="00E7498C" w:rsidRPr="004057FA" w:rsidRDefault="00E7498C" w:rsidP="00E7498C">
      <w:pPr>
        <w:pStyle w:val="Heading4"/>
      </w:pPr>
      <w:r w:rsidRPr="002F645F">
        <w:t>The role of the ballot is to determine the truth or falsity of the resolution.</w:t>
      </w:r>
    </w:p>
    <w:p w:rsidR="00E7498C" w:rsidRPr="00DB6DC8" w:rsidRDefault="00E7498C" w:rsidP="00E7498C">
      <w:pPr>
        <w:pStyle w:val="Heading4"/>
      </w:pPr>
      <w:r w:rsidRPr="00E5416C">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E7498C" w:rsidRDefault="00E7498C" w:rsidP="00E7498C">
      <w:pPr>
        <w:pStyle w:val="Heading4"/>
        <w:rPr>
          <w:rFonts w:eastAsia="Calibri" w:cs="Times New Roman"/>
          <w:color w:val="000000" w:themeColor="text1"/>
        </w:rPr>
      </w:pPr>
      <w:r>
        <w:rPr>
          <w:rFonts w:eastAsia="Calibri" w:cs="Times New Roman"/>
          <w:color w:val="000000" w:themeColor="text1"/>
        </w:rPr>
        <w:t>2</w:t>
      </w:r>
      <w:r w:rsidRPr="31A15087">
        <w:rPr>
          <w:rFonts w:eastAsia="Calibri" w:cs="Times New Roman"/>
          <w:color w:val="000000" w:themeColor="text1"/>
        </w:rPr>
        <w:t xml:space="preserve">.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E7498C" w:rsidRPr="00E7498C" w:rsidRDefault="00E7498C" w:rsidP="00E7498C"/>
    <w:p w:rsidR="00E7498C" w:rsidRDefault="00E7498C" w:rsidP="00E7498C">
      <w:pPr>
        <w:pStyle w:val="Heading3"/>
      </w:pPr>
      <w:r>
        <w:lastRenderedPageBreak/>
        <w:t>3</w:t>
      </w:r>
    </w:p>
    <w:p w:rsidR="00E7498C" w:rsidRPr="002F02A7" w:rsidRDefault="00E7498C" w:rsidP="00E7498C">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E7498C" w:rsidRDefault="00E7498C" w:rsidP="00E7498C">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E7498C" w:rsidRPr="00E30850" w:rsidRDefault="00E7498C" w:rsidP="00E7498C">
      <w:pPr>
        <w:pStyle w:val="Heading4"/>
        <w:rPr>
          <w:rFonts w:cs="Calibri"/>
        </w:rPr>
      </w:pPr>
      <w:r>
        <w:rPr>
          <w:rFonts w:cs="Calibri"/>
        </w:rPr>
        <w:t>2</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E7498C" w:rsidRPr="00E7498C" w:rsidRDefault="00E7498C" w:rsidP="00E7498C"/>
    <w:p w:rsidR="00E7498C" w:rsidRDefault="00E7498C" w:rsidP="00E7498C"/>
    <w:p w:rsidR="00E7498C" w:rsidRDefault="00E7498C" w:rsidP="00E7498C">
      <w:pPr>
        <w:pStyle w:val="Heading4"/>
      </w:pPr>
      <w:r>
        <w:t>The existence of extrinsic goodness requires unconditional human worth—that means we must treat others as ends in themselves.</w:t>
      </w:r>
    </w:p>
    <w:p w:rsidR="00E7498C" w:rsidRPr="005627B7" w:rsidRDefault="00E7498C" w:rsidP="00E7498C">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E7498C" w:rsidRDefault="00E7498C" w:rsidP="00E7498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E7498C" w:rsidRDefault="00E7498C" w:rsidP="00E7498C"/>
    <w:p w:rsidR="00E7498C" w:rsidRDefault="00E7498C" w:rsidP="00E7498C">
      <w:pPr>
        <w:pStyle w:val="Heading4"/>
      </w:pPr>
      <w:r>
        <w:lastRenderedPageBreak/>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rsidR="00E7498C" w:rsidRDefault="00E7498C" w:rsidP="00E7498C">
      <w:r>
        <w:t xml:space="preserve"> </w:t>
      </w:r>
    </w:p>
    <w:p w:rsidR="00E7498C" w:rsidRPr="00830FBE" w:rsidRDefault="00E7498C" w:rsidP="00E7498C">
      <w:pPr>
        <w:pStyle w:val="Heading4"/>
      </w:pPr>
      <w:r>
        <w:t xml:space="preserve">Ethics must be universal – 2+2 = 4 can’t be true for me but not for you. That’s incoherent. </w:t>
      </w:r>
    </w:p>
    <w:p w:rsidR="00E7498C" w:rsidRDefault="00E7498C" w:rsidP="00E7498C">
      <w:pPr>
        <w:pStyle w:val="Heading4"/>
      </w:pPr>
      <w:r>
        <w:t xml:space="preserve">There is an act omission distinction otherwise we are infinitely culpable for anything like, me being responsible for the </w:t>
      </w:r>
      <w:proofErr w:type="spellStart"/>
      <w:r>
        <w:t>the</w:t>
      </w:r>
      <w:proofErr w:type="spellEnd"/>
      <w:r>
        <w:t xml:space="preserve"> war in Yemen which is illogical – negate, omitting is a morally permissible action to avoid culpability,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rsidR="00E7498C" w:rsidRPr="00006B7C" w:rsidRDefault="00E7498C" w:rsidP="00E7498C"/>
    <w:p w:rsidR="00E7498C" w:rsidRPr="00F14929" w:rsidRDefault="00E7498C" w:rsidP="00E7498C">
      <w:pPr>
        <w:pStyle w:val="Heading4"/>
      </w:pPr>
      <w:r>
        <w:t>Now negate</w:t>
      </w:r>
    </w:p>
    <w:p w:rsidR="00E7498C" w:rsidRDefault="00E7498C" w:rsidP="00E7498C">
      <w:pPr>
        <w:pStyle w:val="Heading4"/>
        <w:spacing w:before="0"/>
        <w:rPr>
          <w:rFonts w:ascii="Times New Roman" w:hAnsi="Times New Roman"/>
        </w:rPr>
      </w:pPr>
      <w:bookmarkStart w:id="0" w:name="_GoBack"/>
      <w:bookmarkEnd w:id="0"/>
      <w:r>
        <w:rPr>
          <w:rFonts w:cs="Calibri"/>
        </w:rPr>
        <w:t>1] Strikes violate rights.</w:t>
      </w:r>
    </w:p>
    <w:p w:rsidR="00E7498C" w:rsidRDefault="00E7498C" w:rsidP="00E7498C">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E7498C" w:rsidRDefault="00E7498C" w:rsidP="00E7498C">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t>
      </w:r>
      <w:r>
        <w:lastRenderedPageBreak/>
        <w:t xml:space="preserve">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rsidR="00E7498C" w:rsidRPr="007A5B2F" w:rsidRDefault="00E7498C" w:rsidP="00E7498C"/>
    <w:p w:rsidR="00E7498C" w:rsidRDefault="00E7498C" w:rsidP="00E7498C">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E7498C" w:rsidRPr="007C3A73" w:rsidRDefault="00E7498C" w:rsidP="00E7498C">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E7498C" w:rsidRPr="001E56F7" w:rsidRDefault="00E7498C" w:rsidP="00E7498C">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E7498C" w:rsidRDefault="00E7498C" w:rsidP="00E7498C">
      <w:pPr>
        <w:pStyle w:val="Heading4"/>
      </w:pPr>
      <w:r>
        <w:rPr>
          <w:rFonts w:cs="Calibri"/>
        </w:rPr>
        <w:t xml:space="preserve">2]  </w:t>
      </w:r>
      <w:r>
        <w:t>Violates the commitment to not cause harm</w:t>
      </w:r>
    </w:p>
    <w:p w:rsidR="00E7498C" w:rsidRPr="00F21509" w:rsidRDefault="00E7498C" w:rsidP="00E7498C">
      <w:r w:rsidRPr="00F21509">
        <w:rPr>
          <w:rStyle w:val="Style13ptBold"/>
        </w:rPr>
        <w:t>Fourie 17</w:t>
      </w:r>
      <w:r>
        <w:t xml:space="preserve"> </w:t>
      </w:r>
      <w:r w:rsidRPr="00384BFB">
        <w:rPr>
          <w:sz w:val="16"/>
          <w:szCs w:val="16"/>
        </w:rPr>
        <w:t xml:space="preserve">Johan Fourie 11-30-2017 "Ethicality of Labor-Strike Demonstrates by Social Workers" </w:t>
      </w:r>
      <w:hyperlink r:id="rId13"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E7498C" w:rsidRDefault="00E7498C" w:rsidP="00E7498C">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E7498C" w:rsidRDefault="00E7498C" w:rsidP="00E7498C"/>
    <w:p w:rsidR="00E7498C" w:rsidRDefault="00E7498C" w:rsidP="00E7498C">
      <w:pPr>
        <w:pStyle w:val="Heading3"/>
      </w:pPr>
      <w:r>
        <w:lastRenderedPageBreak/>
        <w:t>Case</w:t>
      </w:r>
    </w:p>
    <w:p w:rsidR="00E7498C" w:rsidRDefault="00E7498C" w:rsidP="00E7498C">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rsidR="00E7498C" w:rsidRPr="000E4E41" w:rsidRDefault="00E7498C" w:rsidP="00E7498C">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rsidR="00E7498C" w:rsidRPr="000E4E41" w:rsidRDefault="00E7498C" w:rsidP="00E7498C">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w:t>
      </w:r>
      <w:r w:rsidRPr="000E4E41">
        <w:rPr>
          <w:sz w:val="16"/>
        </w:rPr>
        <w:lastRenderedPageBreak/>
        <w:t xml:space="preserve">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rsidR="00E7498C" w:rsidRDefault="00E7498C" w:rsidP="00E7498C">
      <w:pPr>
        <w:pStyle w:val="Heading4"/>
      </w:pPr>
      <w:r>
        <w:t xml:space="preserve">No visibility – lack of public attention means strikes never generate </w:t>
      </w:r>
      <w:r>
        <w:rPr>
          <w:u w:val="single"/>
        </w:rPr>
        <w:t>sufficient pressure</w:t>
      </w:r>
      <w:r>
        <w:t xml:space="preserve"> to spark change.</w:t>
      </w:r>
    </w:p>
    <w:p w:rsidR="00E7498C" w:rsidRPr="000E4E41" w:rsidRDefault="00E7498C" w:rsidP="00E7498C">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rsidR="00E7498C" w:rsidRPr="000E4E41" w:rsidRDefault="00E7498C" w:rsidP="00E7498C">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rsidR="00E7498C" w:rsidRDefault="00E7498C" w:rsidP="00E7498C">
      <w:pPr>
        <w:pStyle w:val="Heading4"/>
      </w:pPr>
      <w:r>
        <w:rPr>
          <w:u w:val="single"/>
        </w:rPr>
        <w:t>Multiple</w:t>
      </w:r>
      <w:r>
        <w:t xml:space="preserve"> alt causes to recidivism – low wages are a drop in the bucket.</w:t>
      </w:r>
    </w:p>
    <w:p w:rsidR="00E7498C" w:rsidRPr="005B1AE2" w:rsidRDefault="00E7498C" w:rsidP="00E7498C">
      <w:pPr>
        <w:rPr>
          <w:rStyle w:val="Style13ptBold"/>
          <w:b w:val="0"/>
          <w:bCs/>
          <w:sz w:val="16"/>
        </w:rPr>
      </w:pPr>
      <w:proofErr w:type="spellStart"/>
      <w:r>
        <w:rPr>
          <w:rStyle w:val="Style13ptBold"/>
        </w:rPr>
        <w:t>Tegeng</w:t>
      </w:r>
      <w:proofErr w:type="spellEnd"/>
      <w:r>
        <w:rPr>
          <w:rStyle w:val="Style13ptBold"/>
        </w:rPr>
        <w:t xml:space="preserve"> et al. ’18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rsidR="00E7498C" w:rsidRPr="005B1AE2" w:rsidRDefault="00E7498C" w:rsidP="00E7498C">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w:t>
      </w:r>
      <w:r w:rsidRPr="005B1AE2">
        <w:rPr>
          <w:sz w:val="16"/>
        </w:rPr>
        <w:lastRenderedPageBreak/>
        <w:t xml:space="preserve">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 xml:space="preserve">having a </w:t>
      </w:r>
      <w:proofErr w:type="gramStart"/>
      <w:r w:rsidRPr="00E66497">
        <w:rPr>
          <w:b/>
          <w:bCs/>
          <w:u w:val="single"/>
        </w:rPr>
        <w:t>criminal history</w:t>
      </w:r>
      <w:r w:rsidRPr="00B322F0">
        <w:rPr>
          <w:u w:val="single"/>
        </w:rPr>
        <w:t xml:space="preserve"> limits employment opportunities</w:t>
      </w:r>
      <w:proofErr w:type="gramEnd"/>
      <w:r w:rsidRPr="00B322F0">
        <w:rPr>
          <w:u w:val="single"/>
        </w:rPr>
        <w:t xml:space="preserve">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i.e. have tried to point out from legal perspectives. Yet the </w:t>
      </w:r>
      <w:proofErr w:type="gramStart"/>
      <w:r w:rsidRPr="005B1AE2">
        <w:rPr>
          <w:sz w:val="16"/>
        </w:rPr>
        <w:t>amount</w:t>
      </w:r>
      <w:proofErr w:type="gramEnd"/>
      <w:r w:rsidRPr="005B1AE2">
        <w:rPr>
          <w:sz w:val="16"/>
        </w:rPr>
        <w:t xml:space="preserve">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analyze the influence of </w:t>
      </w:r>
      <w:proofErr w:type="gramStart"/>
      <w:r w:rsidRPr="005B1AE2">
        <w:rPr>
          <w:sz w:val="16"/>
        </w:rPr>
        <w:t>socio economic</w:t>
      </w:r>
      <w:proofErr w:type="gramEnd"/>
      <w:r w:rsidRPr="005B1AE2">
        <w:rPr>
          <w:sz w:val="16"/>
        </w:rPr>
        <w:t xml:space="preserve">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rsidR="00E7498C" w:rsidRDefault="00E7498C" w:rsidP="00E7498C">
      <w:pPr>
        <w:pStyle w:val="Heading4"/>
      </w:pPr>
      <w:r>
        <w:lastRenderedPageBreak/>
        <w:t xml:space="preserve">Housing – local environments influence decision-making </w:t>
      </w:r>
      <w:r>
        <w:rPr>
          <w:u w:val="single"/>
        </w:rPr>
        <w:t>post-imprisonment</w:t>
      </w:r>
      <w:r>
        <w:t>.</w:t>
      </w:r>
    </w:p>
    <w:p w:rsidR="00E7498C" w:rsidRPr="004844AD" w:rsidRDefault="00E7498C" w:rsidP="00E7498C">
      <w:pPr>
        <w:rPr>
          <w:rStyle w:val="Style13ptBold"/>
          <w:b w:val="0"/>
          <w:bCs/>
          <w:sz w:val="16"/>
        </w:rPr>
      </w:pPr>
      <w:r>
        <w:rPr>
          <w:rStyle w:val="Style13ptBold"/>
        </w:rPr>
        <w:t xml:space="preserve">Flores ’18 </w:t>
      </w:r>
      <w:r w:rsidRPr="004844AD">
        <w:rPr>
          <w:sz w:val="16"/>
        </w:rPr>
        <w:t>(</w:t>
      </w:r>
      <w:proofErr w:type="spellStart"/>
      <w:r w:rsidRPr="004844AD">
        <w:rPr>
          <w:sz w:val="16"/>
        </w:rPr>
        <w:t>Nayely</w:t>
      </w:r>
      <w:proofErr w:type="spellEnd"/>
      <w:r w:rsidRPr="004844AD">
        <w:rPr>
          <w:sz w:val="16"/>
        </w:rPr>
        <w:t xml:space="preserve">; contributor to the Research Journal of Justice Studies and Forensic Science; 5-21-2018; “Contributing Factors to Mass Incarceration and Recidivism”; San Jose State University; </w:t>
      </w:r>
      <w:r w:rsidRPr="0059156E">
        <w:rPr>
          <w:sz w:val="16"/>
        </w:rPr>
        <w:t>https://scholarworks.sjsu.edu/cgi/viewcontent.cgi?article=1061&amp;context=themis</w:t>
      </w:r>
      <w:r w:rsidRPr="004844AD">
        <w:rPr>
          <w:sz w:val="16"/>
        </w:rPr>
        <w:t>; Accessed: 11-8-2021; AU)</w:t>
      </w:r>
    </w:p>
    <w:p w:rsidR="00E7498C" w:rsidRPr="008E0494" w:rsidRDefault="00E7498C" w:rsidP="00E7498C">
      <w:pPr>
        <w:rPr>
          <w:u w:val="single"/>
        </w:rPr>
      </w:pPr>
      <w:r w:rsidRPr="007B71DA">
        <w:rPr>
          <w:highlight w:val="cyan"/>
          <w:u w:val="single"/>
        </w:rPr>
        <w:t>Neighborhood environmental context</w:t>
      </w:r>
      <w:r w:rsidRPr="004844AD">
        <w:rPr>
          <w:u w:val="single"/>
        </w:rPr>
        <w:t xml:space="preserve"> has been found to </w:t>
      </w:r>
      <w:r w:rsidRPr="007B71DA">
        <w:rPr>
          <w:b/>
          <w:bCs/>
          <w:highlight w:val="cyan"/>
          <w:u w:val="single"/>
        </w:rPr>
        <w:t>influence</w:t>
      </w:r>
      <w:r w:rsidRPr="004844AD">
        <w:rPr>
          <w:u w:val="single"/>
        </w:rPr>
        <w:t xml:space="preserve"> the </w:t>
      </w:r>
      <w:r w:rsidRPr="007B71DA">
        <w:rPr>
          <w:b/>
          <w:bCs/>
          <w:highlight w:val="cyan"/>
          <w:u w:val="single"/>
        </w:rPr>
        <w:t>behavior</w:t>
      </w:r>
      <w:r w:rsidRPr="007B71DA">
        <w:rPr>
          <w:highlight w:val="cyan"/>
          <w:u w:val="single"/>
        </w:rPr>
        <w:t xml:space="preserve"> of those</w:t>
      </w:r>
      <w:r w:rsidRPr="004844AD">
        <w:rPr>
          <w:u w:val="single"/>
        </w:rPr>
        <w:t xml:space="preserve"> </w:t>
      </w:r>
      <w:r w:rsidRPr="007B71DA">
        <w:rPr>
          <w:highlight w:val="cyan"/>
          <w:u w:val="single"/>
        </w:rPr>
        <w:t>that reside in</w:t>
      </w:r>
      <w:r w:rsidRPr="004844AD">
        <w:rPr>
          <w:u w:val="single"/>
        </w:rPr>
        <w:t xml:space="preserve"> that </w:t>
      </w:r>
      <w:r w:rsidRPr="007B71DA">
        <w:rPr>
          <w:highlight w:val="cyan"/>
          <w:u w:val="single"/>
        </w:rPr>
        <w:t>neighborhood</w:t>
      </w:r>
      <w:r w:rsidRPr="004844AD">
        <w:rPr>
          <w:sz w:val="16"/>
        </w:rPr>
        <w:t xml:space="preserve">. </w:t>
      </w:r>
      <w:r w:rsidRPr="004844AD">
        <w:rPr>
          <w:u w:val="single"/>
        </w:rPr>
        <w:t xml:space="preserve">The </w:t>
      </w:r>
      <w:r w:rsidRPr="007B71DA">
        <w:rPr>
          <w:highlight w:val="cyan"/>
          <w:u w:val="single"/>
        </w:rPr>
        <w:t>social</w:t>
      </w:r>
      <w:r w:rsidRPr="004844AD">
        <w:rPr>
          <w:u w:val="single"/>
        </w:rPr>
        <w:t xml:space="preserve"> </w:t>
      </w:r>
      <w:r w:rsidRPr="007B71DA">
        <w:rPr>
          <w:highlight w:val="cyan"/>
          <w:u w:val="single"/>
        </w:rPr>
        <w:t>organization</w:t>
      </w:r>
      <w:r w:rsidRPr="004844AD">
        <w:rPr>
          <w:u w:val="single"/>
        </w:rPr>
        <w:t xml:space="preserve"> of neighborhoods</w:t>
      </w:r>
      <w:r w:rsidRPr="004844AD">
        <w:rPr>
          <w:sz w:val="16"/>
        </w:rPr>
        <w:t xml:space="preserve">, </w:t>
      </w:r>
      <w:r w:rsidRPr="004844AD">
        <w:rPr>
          <w:u w:val="single"/>
        </w:rPr>
        <w:t xml:space="preserve">specifically poor ones, </w:t>
      </w:r>
      <w:r w:rsidRPr="007B71DA">
        <w:rPr>
          <w:highlight w:val="cyan"/>
          <w:u w:val="single"/>
        </w:rPr>
        <w:t xml:space="preserve">have a </w:t>
      </w:r>
      <w:r w:rsidRPr="007B71DA">
        <w:rPr>
          <w:b/>
          <w:bCs/>
          <w:highlight w:val="cyan"/>
          <w:u w:val="single"/>
        </w:rPr>
        <w:t>significant impact</w:t>
      </w:r>
      <w:r w:rsidRPr="004844AD">
        <w:rPr>
          <w:u w:val="single"/>
        </w:rPr>
        <w:t xml:space="preserve"> </w:t>
      </w:r>
      <w:r w:rsidRPr="007B71DA">
        <w:rPr>
          <w:highlight w:val="cyan"/>
          <w:u w:val="single"/>
        </w:rPr>
        <w:t>on</w:t>
      </w:r>
      <w:r w:rsidRPr="004844AD">
        <w:rPr>
          <w:u w:val="single"/>
        </w:rPr>
        <w:t xml:space="preserve"> the level of crime and </w:t>
      </w:r>
      <w:r w:rsidRPr="007B71DA">
        <w:rPr>
          <w:highlight w:val="cyan"/>
          <w:u w:val="single"/>
        </w:rPr>
        <w:t>recidivism rate</w:t>
      </w:r>
      <w:r w:rsidRPr="004844AD">
        <w:rPr>
          <w:sz w:val="16"/>
        </w:rPr>
        <w:t xml:space="preserve"> in that particular neighborhood. According to </w:t>
      </w:r>
      <w:proofErr w:type="spellStart"/>
      <w:r w:rsidRPr="004844AD">
        <w:rPr>
          <w:sz w:val="16"/>
        </w:rPr>
        <w:t>Kubrin</w:t>
      </w:r>
      <w:proofErr w:type="spellEnd"/>
      <w:r w:rsidRPr="004844AD">
        <w:rPr>
          <w:sz w:val="16"/>
        </w:rPr>
        <w:t xml:space="preserve"> and Stewart’s (2006) study, </w:t>
      </w:r>
      <w:r w:rsidRPr="007B71DA">
        <w:rPr>
          <w:highlight w:val="cyan"/>
          <w:u w:val="single"/>
        </w:rPr>
        <w:t>when offenders are released back</w:t>
      </w:r>
      <w:r w:rsidRPr="004844AD">
        <w:rPr>
          <w:u w:val="single"/>
        </w:rPr>
        <w:t xml:space="preserve"> </w:t>
      </w:r>
      <w:r w:rsidRPr="007B71DA">
        <w:rPr>
          <w:u w:val="single"/>
        </w:rPr>
        <w:t>into</w:t>
      </w:r>
      <w:r w:rsidRPr="004844AD">
        <w:rPr>
          <w:u w:val="single"/>
        </w:rPr>
        <w:t xml:space="preserve"> their </w:t>
      </w:r>
      <w:r w:rsidRPr="007B71DA">
        <w:rPr>
          <w:u w:val="single"/>
        </w:rPr>
        <w:t>neighborhoods</w:t>
      </w:r>
      <w:r w:rsidRPr="004844AD">
        <w:rPr>
          <w:u w:val="single"/>
        </w:rPr>
        <w:t xml:space="preserve">, </w:t>
      </w:r>
      <w:r w:rsidRPr="007B71DA">
        <w:rPr>
          <w:highlight w:val="cyan"/>
          <w:u w:val="single"/>
        </w:rPr>
        <w:t xml:space="preserve">they seek resources </w:t>
      </w:r>
      <w:r w:rsidRPr="007B71DA">
        <w:rPr>
          <w:b/>
          <w:bCs/>
          <w:highlight w:val="cyan"/>
          <w:u w:val="single"/>
        </w:rPr>
        <w:t>in their</w:t>
      </w:r>
      <w:r w:rsidRPr="007B71DA">
        <w:rPr>
          <w:b/>
          <w:bCs/>
          <w:u w:val="single"/>
        </w:rPr>
        <w:t xml:space="preserve"> </w:t>
      </w:r>
      <w:r w:rsidRPr="007B71DA">
        <w:rPr>
          <w:b/>
          <w:bCs/>
          <w:highlight w:val="cyan"/>
          <w:u w:val="single"/>
        </w:rPr>
        <w:t>neighborhood</w:t>
      </w:r>
      <w:r w:rsidRPr="004844AD">
        <w:rPr>
          <w:u w:val="single"/>
        </w:rPr>
        <w:t xml:space="preserve"> </w:t>
      </w:r>
      <w:r w:rsidRPr="007B71DA">
        <w:rPr>
          <w:highlight w:val="cyan"/>
          <w:u w:val="single"/>
        </w:rPr>
        <w:t>to</w:t>
      </w:r>
      <w:r w:rsidRPr="004844AD">
        <w:rPr>
          <w:u w:val="single"/>
        </w:rPr>
        <w:t xml:space="preserve"> successfully </w:t>
      </w:r>
      <w:r w:rsidRPr="007B71DA">
        <w:rPr>
          <w:highlight w:val="cyan"/>
          <w:u w:val="single"/>
        </w:rPr>
        <w:t>integrate</w:t>
      </w:r>
      <w:r w:rsidRPr="004844AD">
        <w:rPr>
          <w:u w:val="single"/>
        </w:rPr>
        <w:t xml:space="preserve"> back</w:t>
      </w:r>
      <w:r w:rsidRPr="004844AD">
        <w:rPr>
          <w:sz w:val="16"/>
        </w:rPr>
        <w:t xml:space="preserve"> into society; however, </w:t>
      </w:r>
      <w:r w:rsidRPr="007B71DA">
        <w:rPr>
          <w:highlight w:val="cyan"/>
          <w:u w:val="single"/>
        </w:rPr>
        <w:t>when that is not present</w:t>
      </w:r>
      <w:r w:rsidRPr="004844AD">
        <w:rPr>
          <w:u w:val="single"/>
        </w:rPr>
        <w:t xml:space="preserve"> the </w:t>
      </w:r>
      <w:r w:rsidRPr="007B71DA">
        <w:rPr>
          <w:highlight w:val="cyan"/>
          <w:u w:val="single"/>
        </w:rPr>
        <w:t>probability of them returning</w:t>
      </w:r>
      <w:r w:rsidRPr="004844AD">
        <w:rPr>
          <w:u w:val="single"/>
        </w:rPr>
        <w:t xml:space="preserve"> to the criminal justice </w:t>
      </w:r>
      <w:r w:rsidRPr="007B71DA">
        <w:rPr>
          <w:u w:val="single"/>
        </w:rPr>
        <w:t xml:space="preserve">system </w:t>
      </w:r>
      <w:r w:rsidRPr="007B71DA">
        <w:rPr>
          <w:highlight w:val="cyan"/>
          <w:u w:val="single"/>
        </w:rPr>
        <w:t xml:space="preserve">is </w:t>
      </w:r>
      <w:r w:rsidRPr="007B71DA">
        <w:rPr>
          <w:b/>
          <w:bCs/>
          <w:highlight w:val="cyan"/>
          <w:u w:val="single"/>
        </w:rPr>
        <w:t>significantly higher</w:t>
      </w:r>
      <w:r w:rsidRPr="004844AD">
        <w:rPr>
          <w:sz w:val="16"/>
        </w:rPr>
        <w:t xml:space="preserve">. Moreover, </w:t>
      </w:r>
      <w:r w:rsidRPr="004844AD">
        <w:rPr>
          <w:u w:val="single"/>
        </w:rPr>
        <w:t>when individuals in neighborhoods have high rates of crime, poverty, and high social disorganization</w:t>
      </w:r>
      <w:r w:rsidRPr="004844AD">
        <w:rPr>
          <w:sz w:val="16"/>
        </w:rPr>
        <w:t xml:space="preserve">, </w:t>
      </w:r>
      <w:r w:rsidRPr="004844AD">
        <w:rPr>
          <w:u w:val="single"/>
        </w:rPr>
        <w:t>the risk of youth falling into the criminal justice system also increases</w:t>
      </w:r>
      <w:r w:rsidRPr="004844AD">
        <w:rPr>
          <w:sz w:val="16"/>
        </w:rPr>
        <w:t xml:space="preserve">. Harris’s (2010) study finds that </w:t>
      </w:r>
      <w:r w:rsidRPr="004844AD">
        <w:rPr>
          <w:u w:val="single"/>
        </w:rPr>
        <w:t>Blacks who find themselves in these neighborhoods are at a higher risk to become incarcerated than whites</w:t>
      </w:r>
      <w:r w:rsidRPr="004844AD">
        <w:rPr>
          <w:sz w:val="16"/>
        </w:rPr>
        <w:t xml:space="preserve">. In addition, </w:t>
      </w:r>
      <w:r w:rsidRPr="007B71DA">
        <w:rPr>
          <w:highlight w:val="cyan"/>
          <w:u w:val="single"/>
        </w:rPr>
        <w:t>socioeconomic disparities</w:t>
      </w:r>
      <w:r w:rsidRPr="004844AD">
        <w:rPr>
          <w:u w:val="single"/>
        </w:rPr>
        <w:t xml:space="preserve"> between Blacks and whites make it more difficult for Blacks to access resources once they are in the criminal justice system</w:t>
      </w:r>
      <w:r w:rsidRPr="004844AD">
        <w:rPr>
          <w:sz w:val="16"/>
        </w:rPr>
        <w:t xml:space="preserve">, </w:t>
      </w:r>
      <w:r w:rsidRPr="007B71DA">
        <w:rPr>
          <w:highlight w:val="cyan"/>
          <w:u w:val="single"/>
        </w:rPr>
        <w:t xml:space="preserve">making them </w:t>
      </w:r>
      <w:r w:rsidRPr="007B71DA">
        <w:rPr>
          <w:b/>
          <w:bCs/>
          <w:highlight w:val="cyan"/>
          <w:u w:val="single"/>
        </w:rPr>
        <w:t>susceptible to recidivism</w:t>
      </w:r>
      <w:r w:rsidRPr="004844AD">
        <w:rPr>
          <w:sz w:val="16"/>
        </w:rPr>
        <w:t xml:space="preserve">. Typically, </w:t>
      </w:r>
      <w:r w:rsidRPr="004844AD">
        <w:rPr>
          <w:u w:val="single"/>
        </w:rPr>
        <w:t>offenders return to their neighborhoods with little to no money</w:t>
      </w:r>
      <w:r w:rsidRPr="004844AD">
        <w:rPr>
          <w:sz w:val="16"/>
        </w:rPr>
        <w:t xml:space="preserve">, the clothes on their back, and no employment. </w:t>
      </w:r>
      <w:r w:rsidRPr="007B71DA">
        <w:rPr>
          <w:highlight w:val="cyan"/>
          <w:u w:val="single"/>
        </w:rPr>
        <w:t>When they are returning to</w:t>
      </w:r>
      <w:r w:rsidRPr="004844AD">
        <w:rPr>
          <w:u w:val="single"/>
        </w:rPr>
        <w:t xml:space="preserve"> a </w:t>
      </w:r>
      <w:r w:rsidRPr="007B71DA">
        <w:rPr>
          <w:highlight w:val="cyan"/>
          <w:u w:val="single"/>
        </w:rPr>
        <w:t>neighborhood that has</w:t>
      </w:r>
      <w:r w:rsidRPr="004844AD">
        <w:rPr>
          <w:u w:val="single"/>
        </w:rPr>
        <w:t xml:space="preserve"> those </w:t>
      </w:r>
      <w:r w:rsidRPr="007B71DA">
        <w:rPr>
          <w:highlight w:val="cyan"/>
          <w:u w:val="single"/>
        </w:rPr>
        <w:t>same characteristics</w:t>
      </w:r>
      <w:r w:rsidRPr="004844AD">
        <w:rPr>
          <w:sz w:val="16"/>
        </w:rPr>
        <w:t xml:space="preserve"> (high unemployment, poverty, etc.), </w:t>
      </w:r>
      <w:r w:rsidRPr="007B71DA">
        <w:rPr>
          <w:highlight w:val="cyan"/>
          <w:u w:val="single"/>
        </w:rPr>
        <w:t>there is</w:t>
      </w:r>
      <w:r w:rsidRPr="004844AD">
        <w:rPr>
          <w:u w:val="single"/>
        </w:rPr>
        <w:t xml:space="preserve"> a </w:t>
      </w:r>
      <w:r w:rsidRPr="007B71DA">
        <w:rPr>
          <w:b/>
          <w:bCs/>
          <w:highlight w:val="cyan"/>
          <w:u w:val="single"/>
        </w:rPr>
        <w:t>considerable</w:t>
      </w:r>
      <w:r w:rsidRPr="007B71DA">
        <w:rPr>
          <w:b/>
          <w:bCs/>
          <w:u w:val="single"/>
        </w:rPr>
        <w:t xml:space="preserve"> </w:t>
      </w:r>
      <w:r w:rsidRPr="007B71DA">
        <w:rPr>
          <w:b/>
          <w:bCs/>
          <w:highlight w:val="cyan"/>
          <w:u w:val="single"/>
        </w:rPr>
        <w:t>likelihood</w:t>
      </w:r>
      <w:r w:rsidRPr="007B71DA">
        <w:rPr>
          <w:highlight w:val="cyan"/>
          <w:u w:val="single"/>
        </w:rPr>
        <w:t xml:space="preserve"> of reoffending</w:t>
      </w:r>
      <w:r w:rsidRPr="004844AD">
        <w:rPr>
          <w:sz w:val="16"/>
        </w:rPr>
        <w:t xml:space="preserve"> (</w:t>
      </w:r>
      <w:proofErr w:type="spellStart"/>
      <w:r w:rsidRPr="004844AD">
        <w:rPr>
          <w:sz w:val="16"/>
        </w:rPr>
        <w:t>Stahler</w:t>
      </w:r>
      <w:proofErr w:type="spellEnd"/>
      <w:r w:rsidRPr="004844AD">
        <w:rPr>
          <w:sz w:val="16"/>
        </w:rPr>
        <w:t xml:space="preserve"> et al., 2013). Overall, </w:t>
      </w:r>
      <w:r w:rsidRPr="004844AD">
        <w:rPr>
          <w:u w:val="single"/>
        </w:rPr>
        <w:t xml:space="preserve">many </w:t>
      </w:r>
      <w:r w:rsidRPr="007B71DA">
        <w:rPr>
          <w:highlight w:val="cyan"/>
          <w:u w:val="single"/>
        </w:rPr>
        <w:t>studies show</w:t>
      </w:r>
      <w:r w:rsidRPr="004844AD">
        <w:rPr>
          <w:u w:val="single"/>
        </w:rPr>
        <w:t xml:space="preserve"> a </w:t>
      </w:r>
      <w:r w:rsidRPr="007B71DA">
        <w:rPr>
          <w:b/>
          <w:bCs/>
          <w:highlight w:val="cyan"/>
          <w:u w:val="single"/>
        </w:rPr>
        <w:t>significant relationship</w:t>
      </w:r>
      <w:r w:rsidRPr="004844AD">
        <w:rPr>
          <w:u w:val="single"/>
        </w:rPr>
        <w:t xml:space="preserve"> </w:t>
      </w:r>
      <w:r w:rsidRPr="007B71DA">
        <w:rPr>
          <w:highlight w:val="cyan"/>
          <w:u w:val="single"/>
        </w:rPr>
        <w:t>between</w:t>
      </w:r>
      <w:r w:rsidRPr="004844AD">
        <w:rPr>
          <w:u w:val="single"/>
        </w:rPr>
        <w:t xml:space="preserve"> mass </w:t>
      </w:r>
      <w:r w:rsidRPr="007B71DA">
        <w:rPr>
          <w:highlight w:val="cyan"/>
          <w:u w:val="single"/>
        </w:rPr>
        <w:t>incarceration and neighborhood environment</w:t>
      </w:r>
      <w:r w:rsidRPr="004844AD">
        <w:rPr>
          <w:u w:val="single"/>
        </w:rPr>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313F"/>
    <w:rsid w:val="000029E3"/>
    <w:rsid w:val="000029E8"/>
    <w:rsid w:val="0000313F"/>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51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E7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594"/>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98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ED19738-6375-1E40-8A5D-DAE99875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031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31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1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31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0031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1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13F"/>
  </w:style>
  <w:style w:type="character" w:customStyle="1" w:styleId="Heading1Char">
    <w:name w:val="Heading 1 Char"/>
    <w:aliases w:val="Pocket Char"/>
    <w:basedOn w:val="DefaultParagraphFont"/>
    <w:link w:val="Heading1"/>
    <w:uiPriority w:val="9"/>
    <w:rsid w:val="000031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1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313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0031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313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00313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0031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313F"/>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
    <w:basedOn w:val="DefaultParagraphFont"/>
    <w:link w:val="NoSpacing"/>
    <w:uiPriority w:val="99"/>
    <w:unhideWhenUsed/>
    <w:rsid w:val="0000313F"/>
    <w:rPr>
      <w:color w:val="auto"/>
      <w:u w:val="none"/>
    </w:rPr>
  </w:style>
  <w:style w:type="paragraph" w:styleId="DocumentMap">
    <w:name w:val="Document Map"/>
    <w:basedOn w:val="Normal"/>
    <w:link w:val="DocumentMapChar"/>
    <w:uiPriority w:val="99"/>
    <w:semiHidden/>
    <w:unhideWhenUsed/>
    <w:rsid w:val="000031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13F"/>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1"/>
    <w:qFormat/>
    <w:rsid w:val="000031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0313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link w:val="AnalyticChar"/>
    <w:uiPriority w:val="4"/>
    <w:qFormat/>
    <w:rsid w:val="0000313F"/>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00313F"/>
    <w:rPr>
      <w:rFonts w:ascii="Calibri" w:eastAsiaTheme="minorHAnsi" w:hAnsi="Calibri"/>
      <w:b/>
      <w:sz w:val="26"/>
      <w:szCs w:val="22"/>
    </w:rPr>
  </w:style>
  <w:style w:type="paragraph" w:styleId="NormalWeb">
    <w:name w:val="Normal (Web)"/>
    <w:basedOn w:val="Normal"/>
    <w:uiPriority w:val="99"/>
    <w:unhideWhenUsed/>
    <w:rsid w:val="00E7498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E7498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therpapers.com/essay/Ethicality-of-Labor-Strike-Demonstrates-by-Social-Workers/6269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tanford.edu/wp-content/uploads/2018/04/Timor-Leste-Constitutional-Right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89F5854-AC70-5547-992E-4BBE951A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4867</Words>
  <Characters>27748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2021-12-03T21:15:00Z</dcterms:created>
  <dcterms:modified xsi:type="dcterms:W3CDTF">2021-12-03T21:54:00Z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