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ACB" w:rsidRDefault="00366ACB" w:rsidP="00366ACB">
      <w:pPr>
        <w:pStyle w:val="Heading3"/>
      </w:pPr>
      <w:r>
        <w:t>1</w:t>
      </w:r>
    </w:p>
    <w:p w:rsidR="005A610B" w:rsidRPr="001F323E" w:rsidRDefault="005A610B" w:rsidP="005A610B">
      <w:pPr>
        <w:pStyle w:val="Heading4"/>
        <w:rPr>
          <w:rFonts w:cs="Calibri"/>
        </w:rPr>
      </w:pPr>
      <w:r w:rsidRPr="009718B9">
        <w:rPr>
          <w:rFonts w:cs="Calibri"/>
        </w:rPr>
        <w:t>Interpretation</w:t>
      </w:r>
      <w:proofErr w:type="gramStart"/>
      <w:r w:rsidRPr="009718B9">
        <w:t>:</w:t>
      </w:r>
      <w:r>
        <w:t xml:space="preserve"> </w:t>
      </w:r>
      <w:r w:rsidRPr="009811A7">
        <w:rPr>
          <w:rFonts w:cs="Calibri"/>
        </w:rPr>
        <w:t>.</w:t>
      </w:r>
      <w:proofErr w:type="gramEnd"/>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rsidR="005A610B" w:rsidRPr="009718B9" w:rsidRDefault="005A610B" w:rsidP="005A610B">
      <w:r w:rsidRPr="009718B9">
        <w:rPr>
          <w:rStyle w:val="Style13ptBold"/>
        </w:rPr>
        <w:t xml:space="preserve">Leslie 12 </w:t>
      </w:r>
      <w:r w:rsidRPr="009718B9">
        <w:t xml:space="preserve">Leslie, Sarah-Jane. “Generics.” In Routledge Handbook of Philosophy of Language, edited by Gillian Russell and Delia </w:t>
      </w:r>
      <w:proofErr w:type="spellStart"/>
      <w:r w:rsidRPr="009718B9">
        <w:t>Fara</w:t>
      </w:r>
      <w:proofErr w:type="spellEnd"/>
      <w:r w:rsidRPr="009718B9">
        <w:t xml:space="preserve">, 355–366. Routledge, 2012. </w:t>
      </w:r>
      <w:hyperlink r:id="rId11" w:history="1">
        <w:r w:rsidRPr="009718B9">
          <w:rPr>
            <w:rStyle w:val="Hyperlink"/>
          </w:rPr>
          <w:t>https://www.princeton.edu/~sjleslie/RoutledgeHandbookEntryGenerics.pdf</w:t>
        </w:r>
      </w:hyperlink>
      <w:r w:rsidRPr="009718B9">
        <w:t xml:space="preserve"> SM</w:t>
      </w:r>
    </w:p>
    <w:p w:rsidR="005A610B" w:rsidRPr="009718B9" w:rsidRDefault="005A610B" w:rsidP="005A610B">
      <w:r w:rsidRPr="009718B9">
        <w:rPr>
          <w:rStyle w:val="StyleUnderline"/>
        </w:rPr>
        <w:t xml:space="preserve">GENERICS VS. EXISTENTIALS </w:t>
      </w:r>
      <w:proofErr w:type="gramStart"/>
      <w:r w:rsidRPr="009718B9">
        <w:rPr>
          <w:rStyle w:val="StyleUnderline"/>
        </w:rPr>
        <w:t>The</w:t>
      </w:r>
      <w:proofErr w:type="gramEnd"/>
      <w:r w:rsidRPr="009718B9">
        <w:rPr>
          <w:rStyle w:val="StyleUnderline"/>
        </w:rPr>
        <w:t xml:space="preserve"> interpretation of sentences containing </w:t>
      </w:r>
      <w:r w:rsidRPr="009718B9">
        <w:t>bare plurals</w:t>
      </w:r>
      <w:r w:rsidRPr="009718B9">
        <w:rPr>
          <w:rStyle w:val="StyleUnderline"/>
        </w:rPr>
        <w:t xml:space="preserve">, </w:t>
      </w:r>
      <w:r w:rsidRPr="009718B9">
        <w:rPr>
          <w:rStyle w:val="StyleUnderline"/>
          <w:highlight w:val="green"/>
        </w:rPr>
        <w:t>indefinite singulars</w:t>
      </w:r>
      <w:r w:rsidRPr="009718B9">
        <w:t xml:space="preserve">, or definite singulars </w:t>
      </w:r>
      <w:r w:rsidRPr="009718B9">
        <w:rPr>
          <w:rStyle w:val="StyleUnderline"/>
          <w:highlight w:val="green"/>
        </w:rPr>
        <w:t>can be</w:t>
      </w:r>
      <w:r w:rsidRPr="009718B9">
        <w:rPr>
          <w:rStyle w:val="StyleUnderline"/>
        </w:rPr>
        <w:t xml:space="preserve"> either </w:t>
      </w:r>
      <w:r w:rsidRPr="009718B9">
        <w:rPr>
          <w:rStyle w:val="StyleUnderline"/>
          <w:highlight w:val="green"/>
        </w:rPr>
        <w:t>generic</w:t>
      </w:r>
      <w:r w:rsidRPr="009718B9">
        <w:rPr>
          <w:rStyle w:val="StyleUnderline"/>
        </w:rPr>
        <w:t xml:space="preserve"> </w:t>
      </w:r>
      <w:r w:rsidRPr="009718B9">
        <w:t xml:space="preserve">as in (1) respectively </w:t>
      </w:r>
      <w:r w:rsidRPr="009718B9">
        <w:rPr>
          <w:rStyle w:val="StyleUnderline"/>
          <w:highlight w:val="green"/>
        </w:rPr>
        <w:t>or existential</w:t>
      </w:r>
      <w:r w:rsidRPr="009718B9">
        <w:rPr>
          <w:rStyle w:val="StyleUnderline"/>
        </w:rPr>
        <w:t>/specific</w:t>
      </w:r>
      <w:r w:rsidRPr="009718B9">
        <w:t xml:space="preserve"> as in (2): </w:t>
      </w:r>
      <w:r w:rsidRPr="009718B9">
        <w:rPr>
          <w:rStyle w:val="StyleUnderline"/>
        </w:rPr>
        <w:t>(1)</w:t>
      </w:r>
      <w:r w:rsidRPr="009718B9">
        <w:t xml:space="preserve"> Tigers are striped </w:t>
      </w:r>
      <w:r w:rsidRPr="009718B9">
        <w:rPr>
          <w:rStyle w:val="StyleUnderline"/>
        </w:rPr>
        <w:t xml:space="preserve">A tiger is striped </w:t>
      </w:r>
      <w:r w:rsidRPr="009718B9">
        <w:t xml:space="preserve">The tiger is striped. </w:t>
      </w:r>
      <w:r w:rsidRPr="009718B9">
        <w:rPr>
          <w:rStyle w:val="StyleUnderline"/>
        </w:rPr>
        <w:t>(2)</w:t>
      </w:r>
      <w:r w:rsidRPr="009718B9">
        <w:t xml:space="preserve"> Tigers are on the front lawn </w:t>
      </w:r>
      <w:r w:rsidRPr="009718B9">
        <w:rPr>
          <w:rStyle w:val="StyleUnderline"/>
          <w:highlight w:val="green"/>
        </w:rPr>
        <w:t>A tiger is on the front lawn</w:t>
      </w:r>
      <w:r w:rsidRPr="009718B9">
        <w:rPr>
          <w:rStyle w:val="StyleUnderline"/>
        </w:rPr>
        <w:t xml:space="preserve"> </w:t>
      </w:r>
      <w:proofErr w:type="gramStart"/>
      <w:r w:rsidRPr="009718B9">
        <w:t>The</w:t>
      </w:r>
      <w:proofErr w:type="gramEnd"/>
      <w:r w:rsidRPr="009718B9">
        <w:t xml:space="preserve"> tiger is on the front lawn. The subjects in (1) are prima facie the same as in (2), yet their interpretations in (1) are intuitively quite different from those in (2). </w:t>
      </w:r>
      <w:r w:rsidRPr="009718B9">
        <w:rPr>
          <w:rStyle w:val="StyleUnderline"/>
        </w:rPr>
        <w:t xml:space="preserve">In (2) we are talking about some particular tigers, while in (1) </w:t>
      </w:r>
      <w:r w:rsidRPr="009718B9">
        <w:rPr>
          <w:rStyle w:val="StyleUnderline"/>
          <w:highlight w:val="green"/>
        </w:rPr>
        <w:t xml:space="preserve">we are saying something </w:t>
      </w:r>
      <w:r w:rsidRPr="009718B9">
        <w:rPr>
          <w:rStyle w:val="StyleUnderline"/>
        </w:rPr>
        <w:t xml:space="preserve">about tigers </w:t>
      </w:r>
      <w:r w:rsidRPr="009718B9">
        <w:rPr>
          <w:rStyle w:val="StyleUnderline"/>
          <w:highlight w:val="green"/>
        </w:rPr>
        <w:t>in general</w:t>
      </w:r>
      <w:r w:rsidRPr="009718B9">
        <w:rPr>
          <w:rStyle w:val="StyleUnderline"/>
        </w:rPr>
        <w:t>. There are some tests that are helpful in distinguishing these two readings</w:t>
      </w:r>
      <w:r w:rsidRPr="009718B9">
        <w:t xml:space="preserve">. For example, </w:t>
      </w:r>
      <w:r w:rsidRPr="009718B9">
        <w:rPr>
          <w:rStyle w:val="StyleUnderline"/>
          <w:highlight w:val="green"/>
        </w:rPr>
        <w:t>the existential interpretation is upward entailing</w:t>
      </w:r>
      <w:r w:rsidRPr="009718B9">
        <w:rPr>
          <w:rStyle w:val="StyleUnderline"/>
        </w:rPr>
        <w:t>, meaning that the statement will always remain true if we replace the subject term with a more inclusive term</w:t>
      </w:r>
      <w:r w:rsidRPr="009718B9">
        <w:t xml:space="preserve">. For example, if it is true that tigers are on the lawn, then it will also be true that animals are on the lawn. </w:t>
      </w:r>
      <w:r w:rsidRPr="009718B9">
        <w:rPr>
          <w:rStyle w:val="StyleUnderline"/>
          <w:highlight w:val="green"/>
        </w:rPr>
        <w:t>This is not so if the sentence is</w:t>
      </w:r>
      <w:r w:rsidRPr="009718B9">
        <w:rPr>
          <w:rStyle w:val="StyleUnderline"/>
        </w:rPr>
        <w:t xml:space="preserve"> interpreted </w:t>
      </w:r>
      <w:r w:rsidRPr="009718B9">
        <w:rPr>
          <w:rStyle w:val="StyleUnderline"/>
          <w:highlight w:val="green"/>
        </w:rPr>
        <w:t>generic</w:t>
      </w:r>
      <w:r w:rsidRPr="009718B9">
        <w:rPr>
          <w:rStyle w:val="StyleUnderline"/>
        </w:rPr>
        <w:t>ally</w:t>
      </w:r>
      <w:r w:rsidRPr="009718B9">
        <w:t xml:space="preserve">. For example, it is true that tigers are striped, but it does not follow that animals are striped (Lawler 1973 </w:t>
      </w:r>
      <w:proofErr w:type="spellStart"/>
      <w:r w:rsidRPr="009718B9">
        <w:t>Laca</w:t>
      </w:r>
      <w:proofErr w:type="spellEnd"/>
      <w:r w:rsidRPr="009718B9">
        <w:t xml:space="preserve"> 1990; </w:t>
      </w:r>
      <w:proofErr w:type="spellStart"/>
      <w:r w:rsidRPr="009718B9">
        <w:t>Krifka</w:t>
      </w:r>
      <w:proofErr w:type="spellEnd"/>
      <w:r w:rsidRPr="009718B9">
        <w:t xml:space="preserve"> et al 1995). </w:t>
      </w:r>
      <w:r w:rsidRPr="009718B9">
        <w:rPr>
          <w:rStyle w:val="StyleUnderline"/>
          <w:highlight w:val="green"/>
        </w:rPr>
        <w:t>Another test</w:t>
      </w:r>
      <w:r w:rsidRPr="009718B9">
        <w:rPr>
          <w:rStyle w:val="StyleUnderline"/>
        </w:rPr>
        <w:t xml:space="preserve"> concerns </w:t>
      </w:r>
      <w:r w:rsidRPr="009718B9">
        <w:rPr>
          <w:rStyle w:val="StyleUnderline"/>
          <w:highlight w:val="green"/>
        </w:rPr>
        <w:t>whether we can insert an adverb of quantification</w:t>
      </w:r>
      <w:r w:rsidRPr="009718B9">
        <w:rPr>
          <w:rStyle w:val="StyleUnderline"/>
        </w:rPr>
        <w:t xml:space="preserve"> </w:t>
      </w:r>
      <w:r w:rsidRPr="009718B9">
        <w:t>(in the sense of Lewis 1975</w:t>
      </w:r>
      <w:r w:rsidRPr="009718B9">
        <w:rPr>
          <w:highlight w:val="green"/>
        </w:rPr>
        <w:t xml:space="preserve">) </w:t>
      </w:r>
      <w:r w:rsidRPr="009718B9">
        <w:rPr>
          <w:rStyle w:val="StyleUnderline"/>
          <w:highlight w:val="green"/>
        </w:rPr>
        <w:t xml:space="preserve">with minimal change </w:t>
      </w:r>
      <w:r w:rsidRPr="009718B9">
        <w:rPr>
          <w:rStyle w:val="StyleUnderline"/>
        </w:rPr>
        <w:t>of meaning</w:t>
      </w:r>
      <w:r w:rsidRPr="009718B9">
        <w:t xml:space="preserve"> (</w:t>
      </w:r>
      <w:proofErr w:type="spellStart"/>
      <w:r w:rsidRPr="009718B9">
        <w:t>Krifka</w:t>
      </w:r>
      <w:proofErr w:type="spellEnd"/>
      <w:r w:rsidRPr="009718B9">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5A610B" w:rsidRPr="009718B9" w:rsidRDefault="005A610B" w:rsidP="005A610B">
      <w:pPr>
        <w:pStyle w:val="Heading4"/>
        <w:spacing w:line="276" w:lineRule="auto"/>
      </w:pPr>
      <w:r w:rsidRPr="009718B9">
        <w:rPr>
          <w:rFonts w:cs="Calibri"/>
        </w:rPr>
        <w:lastRenderedPageBreak/>
        <w:t xml:space="preserve">It applies to </w:t>
      </w:r>
      <w:r>
        <w:rPr>
          <w:rFonts w:cs="Calibri"/>
        </w:rPr>
        <w:t xml:space="preserve">the resolution </w:t>
      </w:r>
      <w:r w:rsidRPr="009718B9">
        <w:rPr>
          <w:rFonts w:cs="Calibri"/>
        </w:rPr>
        <w:t xml:space="preserve">– 1] upward entailment test – “nations ought to reduce protections for medicines” doesn’t entail that nations ought to reduce protections for chemicals 2] adverb test – adding </w:t>
      </w:r>
      <w:r w:rsidRPr="009718B9">
        <w:t>“always” to the res doesn’t substantially change its meaning because a reduction is universal.</w:t>
      </w:r>
    </w:p>
    <w:p w:rsidR="005A610B" w:rsidRPr="009718B9" w:rsidRDefault="005A610B" w:rsidP="005A610B">
      <w:pPr>
        <w:pStyle w:val="Heading4"/>
      </w:pPr>
      <w:r w:rsidRPr="009718B9">
        <w:t xml:space="preserve">Violation: </w:t>
      </w:r>
      <w:r w:rsidR="00C74FFF">
        <w:rPr>
          <w:b w:val="0"/>
          <w:shd w:val="clear" w:color="auto" w:fill="FFFFFF"/>
          <w:lang w:bidi="he-IL"/>
        </w:rPr>
        <w:t>Jordan</w:t>
      </w:r>
    </w:p>
    <w:p w:rsidR="005A610B" w:rsidRPr="009718B9" w:rsidRDefault="005A610B" w:rsidP="005A610B">
      <w:pPr>
        <w:pStyle w:val="Heading4"/>
      </w:pPr>
      <w:r w:rsidRPr="009718B9">
        <w:t>Standards:</w:t>
      </w:r>
    </w:p>
    <w:p w:rsidR="005A610B" w:rsidRDefault="005A610B" w:rsidP="005A610B">
      <w:pPr>
        <w:pStyle w:val="Heading4"/>
      </w:pPr>
      <w:r w:rsidRPr="009718B9">
        <w:t>[1] Precision and semantics outweigh – the counter-</w:t>
      </w:r>
      <w:proofErr w:type="spellStart"/>
      <w:r w:rsidRPr="009718B9">
        <w:t>interp</w:t>
      </w:r>
      <w:proofErr w:type="spellEnd"/>
      <w:r w:rsidRPr="009718B9">
        <w:t xml:space="preserve"> justifies them arbitrarily doing away with random words in the resolution which decks negative ground and preparation because the </w:t>
      </w:r>
      <w:proofErr w:type="spellStart"/>
      <w:r w:rsidRPr="009718B9">
        <w:t>aff</w:t>
      </w:r>
      <w:proofErr w:type="spellEnd"/>
      <w:r w:rsidRPr="009718B9">
        <w:t xml:space="preserve"> is no longer bounded by the resolution. Independent voter for jurisdiction – the judge doesn’t have the jurisdiction to vote </w:t>
      </w:r>
      <w:proofErr w:type="spellStart"/>
      <w:r w:rsidRPr="009718B9">
        <w:t>aff</w:t>
      </w:r>
      <w:proofErr w:type="spellEnd"/>
      <w:r w:rsidRPr="009718B9">
        <w:t xml:space="preserve"> if there wasn’t a legitimate </w:t>
      </w:r>
      <w:proofErr w:type="spellStart"/>
      <w:r w:rsidRPr="009718B9">
        <w:t>aff</w:t>
      </w:r>
      <w:proofErr w:type="spellEnd"/>
      <w:r w:rsidRPr="009718B9">
        <w:t>.</w:t>
      </w:r>
    </w:p>
    <w:p w:rsidR="005A610B" w:rsidRPr="001F323E" w:rsidRDefault="005A610B" w:rsidP="005A610B">
      <w:pPr>
        <w:pStyle w:val="Heading4"/>
      </w:pPr>
      <w:r>
        <w:t>2) L</w:t>
      </w:r>
      <w:r w:rsidRPr="009718B9">
        <w:t xml:space="preserve">imits – </w:t>
      </w:r>
      <w:r w:rsidRPr="00123B47">
        <w:rPr>
          <w:rFonts w:cs="Calibri"/>
        </w:rPr>
        <w:t xml:space="preserve">there are countless </w:t>
      </w:r>
      <w:proofErr w:type="spellStart"/>
      <w:r w:rsidRPr="00123B47">
        <w:rPr>
          <w:rFonts w:cs="Calibri"/>
        </w:rPr>
        <w:t>affs</w:t>
      </w:r>
      <w:proofErr w:type="spellEnd"/>
      <w:r w:rsidRPr="00123B47">
        <w:rPr>
          <w:rFonts w:cs="Calibri"/>
        </w:rPr>
        <w:t xml:space="preserve"> accounting for any permutation </w:t>
      </w:r>
      <w:r>
        <w:rPr>
          <w:rFonts w:cs="Calibri"/>
        </w:rPr>
        <w:t xml:space="preserve">of </w:t>
      </w:r>
      <w:proofErr w:type="gramStart"/>
      <w:r>
        <w:rPr>
          <w:rFonts w:cs="Calibri"/>
        </w:rPr>
        <w:t>164 member</w:t>
      </w:r>
      <w:proofErr w:type="gramEnd"/>
      <w:r>
        <w:rPr>
          <w:rFonts w:cs="Calibri"/>
        </w:rPr>
        <w:t xml:space="preserve"> nations that are home to vastly different pharmaceutical industries and illnesses </w:t>
      </w:r>
      <w:r w:rsidRPr="00123B47">
        <w:rPr>
          <w:rFonts w:cs="Calibri"/>
        </w:rPr>
        <w:t xml:space="preserve">–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5A610B" w:rsidRDefault="005A610B" w:rsidP="005A610B">
      <w:pPr>
        <w:pStyle w:val="Heading4"/>
      </w:pPr>
    </w:p>
    <w:p w:rsidR="005A610B" w:rsidRPr="009718B9" w:rsidRDefault="005A610B" w:rsidP="005A610B">
      <w:pPr>
        <w:pStyle w:val="Heading4"/>
      </w:pPr>
      <w:r w:rsidRPr="009718B9">
        <w:t xml:space="preserve">[3] TVA – just read your </w:t>
      </w:r>
      <w:proofErr w:type="spellStart"/>
      <w:r w:rsidRPr="009718B9">
        <w:t>aff</w:t>
      </w:r>
      <w:proofErr w:type="spellEnd"/>
      <w:r w:rsidRPr="009718B9">
        <w:t xml:space="preserve"> as an advantage under a whole adv, solves all your offense</w:t>
      </w:r>
    </w:p>
    <w:p w:rsidR="005A610B" w:rsidRPr="000D1279" w:rsidRDefault="005A610B" w:rsidP="005A610B"/>
    <w:p w:rsidR="005A610B" w:rsidRPr="00A309AB" w:rsidRDefault="005A610B" w:rsidP="005A610B">
      <w:pPr>
        <w:pStyle w:val="Heading4"/>
      </w:pPr>
      <w:r w:rsidRPr="00A309AB">
        <w:t>Voters:</w:t>
      </w:r>
    </w:p>
    <w:p w:rsidR="005A610B" w:rsidRPr="00A309AB" w:rsidRDefault="005A610B" w:rsidP="005A610B">
      <w:pPr>
        <w:pStyle w:val="Heading4"/>
      </w:pPr>
      <w:r w:rsidRPr="00A309AB">
        <w:t>Fairness – Debate is a competitive activity and the better debater must win. Education – it’s the only portable skill we take out of round.</w:t>
      </w:r>
    </w:p>
    <w:p w:rsidR="005A610B" w:rsidRPr="00A309AB" w:rsidRDefault="005A610B" w:rsidP="005A610B">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bookmarkStart w:id="0" w:name="_GoBack"/>
      <w:bookmarkEnd w:id="0"/>
    </w:p>
    <w:p w:rsidR="005A610B" w:rsidRPr="008F7EEB" w:rsidRDefault="005A610B" w:rsidP="005A610B">
      <w:pPr>
        <w:pStyle w:val="Heading4"/>
        <w:rPr>
          <w:rFonts w:asciiTheme="minorHAnsi" w:hAnsiTheme="minorHAnsi" w:cstheme="minorHAnsi"/>
          <w:bCs w:val="0"/>
        </w:rPr>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rsidR="005A610B" w:rsidRDefault="005A610B" w:rsidP="005A610B">
      <w:pPr>
        <w:pStyle w:val="Heading4"/>
      </w:pPr>
      <w:r w:rsidRPr="00A309AB">
        <w:t>No RVI</w:t>
      </w:r>
      <w:r>
        <w:t>’s</w:t>
      </w:r>
    </w:p>
    <w:p w:rsidR="005A610B" w:rsidRDefault="005A610B" w:rsidP="005A610B"/>
    <w:p w:rsidR="00366ACB" w:rsidRPr="00366ACB" w:rsidRDefault="00366ACB" w:rsidP="00366ACB"/>
    <w:p w:rsidR="00366ACB" w:rsidRDefault="00366ACB" w:rsidP="00366ACB">
      <w:pPr>
        <w:pStyle w:val="Heading3"/>
      </w:pPr>
      <w:r>
        <w:lastRenderedPageBreak/>
        <w:t>2</w:t>
      </w:r>
    </w:p>
    <w:p w:rsidR="00366ACB" w:rsidRPr="004057FA" w:rsidRDefault="00366ACB" w:rsidP="00366ACB">
      <w:pPr>
        <w:pStyle w:val="Heading4"/>
      </w:pPr>
      <w:r w:rsidRPr="002F645F">
        <w:t>The role of the ballot is to determine the truth or falsity of the resolution.</w:t>
      </w:r>
    </w:p>
    <w:p w:rsidR="00366ACB" w:rsidRPr="00DB6DC8" w:rsidRDefault="00366ACB" w:rsidP="00366ACB">
      <w:pPr>
        <w:pStyle w:val="Heading4"/>
      </w:pPr>
      <w:r w:rsidRPr="00E5416C">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366ACB" w:rsidRDefault="00366ACB" w:rsidP="00366ACB">
      <w:pPr>
        <w:pStyle w:val="Heading4"/>
        <w:rPr>
          <w:rFonts w:eastAsia="Calibri" w:cs="Times New Roman"/>
          <w:color w:val="000000" w:themeColor="text1"/>
        </w:rPr>
      </w:pPr>
      <w:r w:rsidRPr="31A15087">
        <w:rPr>
          <w:rFonts w:eastAsia="Calibri" w:cs="Times New Roman"/>
          <w:color w:val="000000" w:themeColor="text1"/>
        </w:rPr>
        <w:t xml:space="preserve">4.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366ACB" w:rsidRPr="00E5416C" w:rsidRDefault="00366ACB" w:rsidP="00366ACB">
      <w:pPr>
        <w:pStyle w:val="Heading4"/>
      </w:pPr>
      <w:r>
        <w:t xml:space="preserve">6. </w:t>
      </w:r>
      <w:proofErr w:type="spellStart"/>
      <w:r>
        <w:t>Constitutivism</w:t>
      </w:r>
      <w:proofErr w:type="spellEnd"/>
      <w:r>
        <w:t xml:space="preserve">: 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w:t>
      </w:r>
    </w:p>
    <w:p w:rsidR="00366ACB" w:rsidRDefault="00366ACB" w:rsidP="00366ACB">
      <w:pPr>
        <w:pStyle w:val="Heading4"/>
      </w:pPr>
    </w:p>
    <w:p w:rsidR="00366ACB" w:rsidRDefault="00366ACB" w:rsidP="00366ACB">
      <w:pPr>
        <w:pStyle w:val="Heading4"/>
      </w:pPr>
      <w:r w:rsidRPr="00DF793B">
        <w:t>Dictionary.com defines ‘intellectual’ as: a person of superior intellect.</w:t>
      </w:r>
      <w:r>
        <w:rPr>
          <w:rStyle w:val="FootnoteReference"/>
        </w:rPr>
        <w:footnoteReference w:id="3"/>
      </w:r>
    </w:p>
    <w:p w:rsidR="00366ACB" w:rsidRDefault="00366ACB" w:rsidP="00366ACB">
      <w:pPr>
        <w:pStyle w:val="Heading4"/>
        <w:rPr>
          <w:shd w:val="clear" w:color="auto" w:fill="FFFFFF"/>
        </w:rPr>
      </w:pPr>
      <w:r>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4"/>
      </w:r>
    </w:p>
    <w:p w:rsidR="00366ACB" w:rsidRDefault="00366ACB" w:rsidP="00366ACB">
      <w:pPr>
        <w:pStyle w:val="Heading4"/>
        <w:rPr>
          <w:shd w:val="clear" w:color="auto" w:fill="FFFFFF"/>
        </w:rPr>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5"/>
      </w:r>
    </w:p>
    <w:p w:rsidR="00366ACB" w:rsidRPr="001B30FD" w:rsidRDefault="00366ACB" w:rsidP="00366ACB">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rsidR="00366ACB" w:rsidRDefault="00366ACB" w:rsidP="00366ACB">
      <w:pPr>
        <w:pStyle w:val="Heading4"/>
        <w:rPr>
          <w:shd w:val="clear" w:color="auto" w:fill="FFFFFF"/>
        </w:rPr>
      </w:pP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rsidR="00366ACB" w:rsidRPr="00F07B54" w:rsidRDefault="00366ACB" w:rsidP="00366ACB"/>
    <w:p w:rsidR="00366ACB" w:rsidRDefault="00366ACB" w:rsidP="00366ACB">
      <w:pPr>
        <w:pStyle w:val="Heading3"/>
      </w:pPr>
      <w:r>
        <w:lastRenderedPageBreak/>
        <w:t>3</w:t>
      </w:r>
    </w:p>
    <w:p w:rsidR="00366ACB" w:rsidRDefault="00366ACB" w:rsidP="00366ACB">
      <w:pPr>
        <w:pStyle w:val="Heading4"/>
        <w:rPr>
          <w:rFonts w:cs="Calibri"/>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366ACB" w:rsidRPr="00460BE4" w:rsidRDefault="00366ACB" w:rsidP="00366ACB"/>
    <w:p w:rsidR="00366ACB" w:rsidRPr="00E30850" w:rsidRDefault="00366ACB" w:rsidP="00366ACB">
      <w:pPr>
        <w:pStyle w:val="Heading4"/>
        <w:rPr>
          <w:rFonts w:cs="Calibri"/>
        </w:rPr>
      </w:pPr>
      <w:r w:rsidRPr="00E30850">
        <w:rPr>
          <w:rFonts w:cs="Calibri"/>
        </w:rPr>
        <w:t xml:space="preserve">Morality must be derived a priori: </w:t>
      </w:r>
    </w:p>
    <w:p w:rsidR="00366ACB" w:rsidRPr="00E30850" w:rsidRDefault="00366ACB" w:rsidP="00366ACB">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366ACB" w:rsidRPr="00E30850" w:rsidRDefault="00366ACB" w:rsidP="00366ACB">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366ACB" w:rsidRPr="00E30850" w:rsidRDefault="00366ACB" w:rsidP="00366ACB">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366ACB" w:rsidRPr="00E30850" w:rsidRDefault="00366ACB" w:rsidP="00366ACB">
      <w:pPr>
        <w:pStyle w:val="Heading4"/>
        <w:rPr>
          <w:rFonts w:cs="Calibri"/>
        </w:rPr>
      </w:pPr>
    </w:p>
    <w:p w:rsidR="00366ACB" w:rsidRPr="00E30850" w:rsidRDefault="00366ACB" w:rsidP="00366ACB">
      <w:pPr>
        <w:pStyle w:val="Heading4"/>
        <w:rPr>
          <w:rFonts w:cs="Calibri"/>
        </w:rPr>
      </w:pPr>
      <w:r w:rsidRPr="00E30850">
        <w:rPr>
          <w:rFonts w:cs="Calibri"/>
        </w:rPr>
        <w:t>Ethics must answer “why should I follow this” else people could opt out of it and be skeptics. Only reason solves:</w:t>
      </w:r>
    </w:p>
    <w:p w:rsidR="00366ACB" w:rsidRPr="00E30850" w:rsidRDefault="00366ACB" w:rsidP="00366ACB">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366ACB" w:rsidRPr="00E30850" w:rsidRDefault="00366ACB" w:rsidP="00366ACB">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366ACB" w:rsidRPr="00E30850" w:rsidRDefault="00366ACB" w:rsidP="00366ACB">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366ACB" w:rsidRPr="00E30850" w:rsidRDefault="00366ACB" w:rsidP="00366ACB">
      <w:pPr>
        <w:rPr>
          <w:rFonts w:cs="Calibri"/>
        </w:rPr>
      </w:pPr>
    </w:p>
    <w:p w:rsidR="00366ACB" w:rsidRPr="00E30850" w:rsidRDefault="00366ACB" w:rsidP="00366ACB">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366ACB" w:rsidRPr="00E30850" w:rsidRDefault="00366ACB" w:rsidP="00366ACB">
      <w:pPr>
        <w:rPr>
          <w:rFonts w:cs="Calibri"/>
        </w:rPr>
      </w:pPr>
    </w:p>
    <w:p w:rsidR="00366ACB" w:rsidRPr="00E30850" w:rsidRDefault="00366ACB" w:rsidP="00366ACB">
      <w:pPr>
        <w:rPr>
          <w:rFonts w:cs="Calibri"/>
        </w:rPr>
      </w:pPr>
    </w:p>
    <w:p w:rsidR="00366ACB" w:rsidRPr="00E30850" w:rsidRDefault="00366ACB" w:rsidP="00366ACB">
      <w:pPr>
        <w:pStyle w:val="Heading3"/>
        <w:rPr>
          <w:rFonts w:cs="Calibri"/>
        </w:rPr>
      </w:pPr>
      <w:r w:rsidRPr="00E30850">
        <w:rPr>
          <w:rFonts w:cs="Calibri"/>
        </w:rPr>
        <w:lastRenderedPageBreak/>
        <w:t>Offense</w:t>
      </w:r>
    </w:p>
    <w:p w:rsidR="00366ACB" w:rsidRPr="00E30850" w:rsidRDefault="00366ACB" w:rsidP="00366ACB">
      <w:pPr>
        <w:pStyle w:val="Heading4"/>
        <w:rPr>
          <w:rFonts w:cs="Calibri"/>
        </w:rPr>
      </w:pPr>
      <w:r w:rsidRPr="00E30850">
        <w:rPr>
          <w:rFonts w:cs="Calibri"/>
        </w:rPr>
        <w:t>[1] Intellectual property is part of our metaphysical construction that preserves agency – anything else robs us of innate property</w:t>
      </w:r>
    </w:p>
    <w:p w:rsidR="00366ACB" w:rsidRPr="00E30850" w:rsidRDefault="00366ACB" w:rsidP="00366ACB">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12"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366ACB" w:rsidRPr="00E30850" w:rsidRDefault="00366ACB" w:rsidP="00366ACB">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bCs/>
        </w:rPr>
        <w:t>Of</w:t>
      </w:r>
      <w:proofErr w:type="gramEnd"/>
      <w:r w:rsidRPr="00E30850">
        <w:rPr>
          <w:rStyle w:val="StyleUnderline"/>
          <w:rFonts w:cs="Calibri"/>
          <w:bCs/>
        </w:rPr>
        <w:t xml:space="preserve"> the </w:t>
      </w:r>
      <w:proofErr w:type="spellStart"/>
      <w:r w:rsidRPr="00E30850">
        <w:rPr>
          <w:rStyle w:val="StyleUnderline"/>
          <w:rFonts w:cs="Calibri"/>
          <w:bCs/>
        </w:rPr>
        <w:t>Illegitimity</w:t>
      </w:r>
      <w:proofErr w:type="spellEnd"/>
      <w:r w:rsidRPr="00E30850">
        <w:rPr>
          <w:rStyle w:val="StyleUnderline"/>
          <w:rFonts w:cs="Calibri"/>
          <w:bCs/>
        </w:rPr>
        <w:t xml:space="preserve">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rsidR="00366ACB" w:rsidRPr="00E30850" w:rsidRDefault="00366ACB" w:rsidP="00366ACB">
      <w:pPr>
        <w:pStyle w:val="Heading4"/>
        <w:rPr>
          <w:rFonts w:cs="Calibri"/>
        </w:rPr>
      </w:pPr>
      <w:r w:rsidRPr="00E30850">
        <w:rPr>
          <w:rFonts w:cs="Calibri"/>
        </w:rPr>
        <w:t>Means the state can’t remove protections.</w:t>
      </w:r>
    </w:p>
    <w:p w:rsidR="00366ACB" w:rsidRPr="00E30850" w:rsidRDefault="00366ACB" w:rsidP="00366ACB">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rsidR="00366ACB" w:rsidRPr="00E30850" w:rsidRDefault="00366ACB" w:rsidP="00366ACB">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366ACB" w:rsidRDefault="00366ACB" w:rsidP="00366ACB"/>
    <w:p w:rsidR="00366ACB" w:rsidRDefault="00366ACB" w:rsidP="00366ACB"/>
    <w:p w:rsidR="00366ACB" w:rsidRDefault="00366ACB" w:rsidP="00366ACB"/>
    <w:p w:rsidR="00366ACB" w:rsidRDefault="00366ACB" w:rsidP="00366ACB">
      <w:pPr>
        <w:pStyle w:val="Heading3"/>
      </w:pPr>
      <w:r>
        <w:lastRenderedPageBreak/>
        <w:t>Case</w:t>
      </w:r>
    </w:p>
    <w:p w:rsidR="00366ACB" w:rsidRDefault="00366ACB" w:rsidP="00366ACB">
      <w:pPr>
        <w:pStyle w:val="Heading4"/>
        <w:rPr>
          <w:rFonts w:cs="Times New Roman"/>
        </w:rPr>
      </w:pPr>
    </w:p>
    <w:p w:rsidR="00366ACB" w:rsidRDefault="00366ACB" w:rsidP="00366ACB"/>
    <w:p w:rsidR="00366ACB" w:rsidRPr="00460BE4" w:rsidRDefault="00366ACB" w:rsidP="00366ACB"/>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C1F" w:rsidRDefault="00A86C1F" w:rsidP="00366ACB">
      <w:pPr>
        <w:spacing w:after="0" w:line="240" w:lineRule="auto"/>
      </w:pPr>
      <w:r>
        <w:separator/>
      </w:r>
    </w:p>
  </w:endnote>
  <w:endnote w:type="continuationSeparator" w:id="0">
    <w:p w:rsidR="00A86C1F" w:rsidRDefault="00A86C1F" w:rsidP="00366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C1F" w:rsidRDefault="00A86C1F" w:rsidP="00366ACB">
      <w:pPr>
        <w:spacing w:after="0" w:line="240" w:lineRule="auto"/>
      </w:pPr>
      <w:r>
        <w:separator/>
      </w:r>
    </w:p>
  </w:footnote>
  <w:footnote w:type="continuationSeparator" w:id="0">
    <w:p w:rsidR="00A86C1F" w:rsidRDefault="00A86C1F" w:rsidP="00366ACB">
      <w:pPr>
        <w:spacing w:after="0" w:line="240" w:lineRule="auto"/>
      </w:pPr>
      <w:r>
        <w:continuationSeparator/>
      </w:r>
    </w:p>
  </w:footnote>
  <w:footnote w:id="1">
    <w:p w:rsidR="00366ACB" w:rsidRPr="00752E9C" w:rsidRDefault="00366ACB" w:rsidP="00366AC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366ACB" w:rsidRPr="00855FDC" w:rsidRDefault="00366ACB" w:rsidP="00366AC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366ACB" w:rsidRDefault="00366ACB" w:rsidP="00366ACB">
      <w:pPr>
        <w:pStyle w:val="FootnoteText"/>
      </w:pPr>
      <w:r>
        <w:rPr>
          <w:rStyle w:val="FootnoteReference"/>
        </w:rPr>
        <w:footnoteRef/>
      </w:r>
      <w:r>
        <w:t xml:space="preserve"> </w:t>
      </w:r>
      <w:r w:rsidRPr="00DF793B">
        <w:t>https://www.dictionary.com/browse/intellectual</w:t>
      </w:r>
    </w:p>
  </w:footnote>
  <w:footnote w:id="4">
    <w:p w:rsidR="00366ACB" w:rsidRDefault="00366ACB" w:rsidP="00366ACB">
      <w:pPr>
        <w:pStyle w:val="FootnoteText"/>
      </w:pPr>
      <w:r>
        <w:rPr>
          <w:rStyle w:val="FootnoteReference"/>
        </w:rPr>
        <w:footnoteRef/>
      </w:r>
      <w:r>
        <w:t xml:space="preserve"> </w:t>
      </w:r>
      <w:r w:rsidRPr="00DF793B">
        <w:t>https://www.dictionary.com/browse/property</w:t>
      </w:r>
    </w:p>
  </w:footnote>
  <w:footnote w:id="5">
    <w:p w:rsidR="00366ACB" w:rsidRDefault="00366ACB" w:rsidP="00366ACB">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7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ACB"/>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F2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10B"/>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13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F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86C1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FF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345"/>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F7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E8D4AA9-3A62-A345-A1EE-BFD36AEA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66A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07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7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07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8007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07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7FA"/>
  </w:style>
  <w:style w:type="character" w:customStyle="1" w:styleId="Heading1Char">
    <w:name w:val="Heading 1 Char"/>
    <w:aliases w:val="Pocket Char"/>
    <w:basedOn w:val="DefaultParagraphFont"/>
    <w:link w:val="Heading1"/>
    <w:uiPriority w:val="9"/>
    <w:rsid w:val="008007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7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07F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8007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07F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8007F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8007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07F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007FA"/>
    <w:rPr>
      <w:color w:val="auto"/>
      <w:u w:val="none"/>
    </w:rPr>
  </w:style>
  <w:style w:type="paragraph" w:styleId="DocumentMap">
    <w:name w:val="Document Map"/>
    <w:basedOn w:val="Normal"/>
    <w:link w:val="DocumentMapChar"/>
    <w:uiPriority w:val="99"/>
    <w:semiHidden/>
    <w:unhideWhenUsed/>
    <w:rsid w:val="008007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7FA"/>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366ACB"/>
    <w:rPr>
      <w:vertAlign w:val="superscript"/>
    </w:rPr>
  </w:style>
  <w:style w:type="paragraph" w:styleId="FootnoteText">
    <w:name w:val="footnote text"/>
    <w:basedOn w:val="Normal"/>
    <w:link w:val="FootnoteTextChar"/>
    <w:uiPriority w:val="99"/>
    <w:unhideWhenUsed/>
    <w:qFormat/>
    <w:rsid w:val="00366ACB"/>
    <w:pPr>
      <w:spacing w:after="0" w:line="240" w:lineRule="auto"/>
    </w:pPr>
    <w:rPr>
      <w:sz w:val="24"/>
    </w:rPr>
  </w:style>
  <w:style w:type="character" w:customStyle="1" w:styleId="FootnoteTextChar">
    <w:name w:val="Footnote Text Char"/>
    <w:basedOn w:val="DefaultParagraphFont"/>
    <w:link w:val="FootnoteText"/>
    <w:uiPriority w:val="99"/>
    <w:rsid w:val="00366ACB"/>
    <w:rPr>
      <w:rFonts w:ascii="Calibri" w:hAnsi="Calibri"/>
    </w:rPr>
  </w:style>
  <w:style w:type="paragraph" w:customStyle="1" w:styleId="Emphasis1">
    <w:name w:val="Emphasis1"/>
    <w:basedOn w:val="Normal"/>
    <w:link w:val="Emphasis"/>
    <w:autoRedefine/>
    <w:uiPriority w:val="20"/>
    <w:qFormat/>
    <w:rsid w:val="00366ACB"/>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
    <w:basedOn w:val="Heading1"/>
    <w:link w:val="Hyperlink"/>
    <w:autoRedefine/>
    <w:uiPriority w:val="99"/>
    <w:qFormat/>
    <w:rsid w:val="00366A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lo.br/j/trans/a/rLfb3yPN3p4KPsYpxp8LQCp/?format=pdf&amp;lang=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39DA20-37F2-2C47-B45C-689BDA22B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7</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2021-09-26T23:26:00Z</dcterms:created>
  <dcterms:modified xsi:type="dcterms:W3CDTF">2021-09-27T00:50:00Z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