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264B" w:rsidRPr="000548DD" w:rsidRDefault="0080264B" w:rsidP="0080264B">
      <w:pPr>
        <w:pStyle w:val="Heading4"/>
      </w:pPr>
      <w:r w:rsidRPr="000548DD">
        <w:t>Stop it</w:t>
      </w:r>
      <w:r>
        <w:t xml:space="preserve"> – you lose.</w:t>
      </w:r>
    </w:p>
    <w:p w:rsidR="0080264B" w:rsidRPr="000548DD" w:rsidRDefault="0080264B" w:rsidP="0080264B">
      <w:pPr>
        <w:rPr>
          <w:rStyle w:val="Style13ptBold"/>
        </w:rPr>
      </w:pPr>
      <w:r>
        <w:rPr>
          <w:rStyle w:val="Style13ptBold"/>
        </w:rPr>
        <w:t xml:space="preserve">King and </w:t>
      </w:r>
      <w:proofErr w:type="spellStart"/>
      <w:r>
        <w:rPr>
          <w:rStyle w:val="Style13ptBold"/>
        </w:rPr>
        <w:t>Wilderson</w:t>
      </w:r>
      <w:proofErr w:type="spellEnd"/>
      <w:r>
        <w:rPr>
          <w:rStyle w:val="Style13ptBold"/>
        </w:rPr>
        <w:t xml:space="preserve"> ‘20</w:t>
      </w:r>
    </w:p>
    <w:p w:rsidR="0080264B" w:rsidRPr="000548DD" w:rsidRDefault="0080264B" w:rsidP="0080264B">
      <w:pPr>
        <w:rPr>
          <w:sz w:val="16"/>
          <w:szCs w:val="16"/>
        </w:rPr>
      </w:pPr>
      <w:r w:rsidRPr="000548DD">
        <w:rPr>
          <w:sz w:val="16"/>
          <w:szCs w:val="16"/>
        </w:rPr>
        <w:t xml:space="preserve">[Tiffany </w:t>
      </w:r>
      <w:proofErr w:type="spellStart"/>
      <w:r w:rsidRPr="000548DD">
        <w:rPr>
          <w:sz w:val="16"/>
          <w:szCs w:val="16"/>
        </w:rPr>
        <w:t>Lethabo</w:t>
      </w:r>
      <w:proofErr w:type="spellEnd"/>
      <w:r w:rsidRPr="000548DD">
        <w:rPr>
          <w:sz w:val="16"/>
          <w:szCs w:val="16"/>
        </w:rPr>
        <w:t xml:space="preserve"> King, AAS and WGS @ GSU, and Frank </w:t>
      </w:r>
      <w:proofErr w:type="spellStart"/>
      <w:r w:rsidRPr="000548DD">
        <w:rPr>
          <w:sz w:val="16"/>
          <w:szCs w:val="16"/>
        </w:rPr>
        <w:t>Wilderson</w:t>
      </w:r>
      <w:proofErr w:type="spellEnd"/>
      <w:r w:rsidRPr="000548DD">
        <w:rPr>
          <w:sz w:val="16"/>
          <w:szCs w:val="16"/>
        </w:rPr>
        <w:t xml:space="preserve"> III, Ethnic Studies @ UC Irvine. 2020. “Staying Ready for Black Study: A Conversation,” published in “Otherwise Worlds: Against Settler Colonialism and Anti-Blackness.”] pat – ask me for the PDF</w:t>
      </w:r>
    </w:p>
    <w:p w:rsidR="0080264B" w:rsidRPr="000548DD" w:rsidRDefault="0080264B" w:rsidP="0080264B">
      <w:pPr>
        <w:rPr>
          <w:sz w:val="8"/>
          <w:szCs w:val="8"/>
        </w:rPr>
      </w:pPr>
      <w:r w:rsidRPr="000548DD">
        <w:rPr>
          <w:sz w:val="8"/>
          <w:szCs w:val="8"/>
        </w:rPr>
        <w:t xml:space="preserve">[TK] </w:t>
      </w:r>
    </w:p>
    <w:p w:rsidR="0080264B" w:rsidRPr="000548DD" w:rsidRDefault="0080264B" w:rsidP="0080264B">
      <w:pPr>
        <w:rPr>
          <w:sz w:val="12"/>
        </w:rPr>
      </w:pPr>
      <w:r w:rsidRPr="000548DD">
        <w:rPr>
          <w:sz w:val="12"/>
        </w:rPr>
        <w:t xml:space="preserve">Toward another direction, </w:t>
      </w:r>
      <w:r w:rsidRPr="000548DD">
        <w:rPr>
          <w:rStyle w:val="StyleUnderline"/>
        </w:rPr>
        <w:t xml:space="preserve">I have been in conversations with others and myself about how white and </w:t>
      </w:r>
      <w:r w:rsidRPr="000548DD">
        <w:rPr>
          <w:rStyle w:val="StyleUnderline"/>
          <w:highlight w:val="green"/>
        </w:rPr>
        <w:t xml:space="preserve">non-Black folks are taking up </w:t>
      </w:r>
      <w:proofErr w:type="spellStart"/>
      <w:r w:rsidRPr="000548DD">
        <w:rPr>
          <w:rStyle w:val="StyleUnderline"/>
          <w:highlight w:val="green"/>
        </w:rPr>
        <w:t>Afropessimism</w:t>
      </w:r>
      <w:proofErr w:type="spellEnd"/>
      <w:r w:rsidRPr="000548DD">
        <w:rPr>
          <w:sz w:val="12"/>
        </w:rPr>
        <w:t xml:space="preserve">. </w:t>
      </w:r>
      <w:r w:rsidRPr="000548DD">
        <w:rPr>
          <w:rStyle w:val="StyleUnderline"/>
        </w:rPr>
        <w:t xml:space="preserve">Some of my anxiety is emerging when and where I see non-Black folks working </w:t>
      </w:r>
      <w:r w:rsidRPr="000548DD">
        <w:rPr>
          <w:rStyle w:val="StyleUnderline"/>
          <w:highlight w:val="green"/>
        </w:rPr>
        <w:t>under the guise of</w:t>
      </w:r>
      <w:r w:rsidRPr="000548DD">
        <w:rPr>
          <w:sz w:val="12"/>
        </w:rPr>
        <w:t xml:space="preserve">, </w:t>
      </w:r>
      <w:r w:rsidRPr="000548DD">
        <w:rPr>
          <w:rStyle w:val="StyleUnderline"/>
        </w:rPr>
        <w:t xml:space="preserve">“I’m doing the political work and </w:t>
      </w:r>
      <w:r w:rsidRPr="000548DD">
        <w:rPr>
          <w:rStyle w:val="StyleUnderline"/>
          <w:highlight w:val="green"/>
        </w:rPr>
        <w:t>exposing anti-Black racism</w:t>
      </w:r>
      <w:r w:rsidRPr="000548DD">
        <w:rPr>
          <w:sz w:val="12"/>
        </w:rPr>
        <w:t xml:space="preserve">,” </w:t>
      </w:r>
      <w:r w:rsidRPr="000548DD">
        <w:rPr>
          <w:rStyle w:val="StyleUnderline"/>
        </w:rPr>
        <w:t xml:space="preserve">but they are primarily doing their antiracist political work </w:t>
      </w:r>
      <w:r w:rsidRPr="000548DD">
        <w:rPr>
          <w:rStyle w:val="StyleUnderline"/>
          <w:highlight w:val="green"/>
        </w:rPr>
        <w:t>through theorizing Black death and flesh</w:t>
      </w:r>
      <w:r w:rsidRPr="000548DD">
        <w:rPr>
          <w:sz w:val="12"/>
        </w:rPr>
        <w:t xml:space="preserve">. </w:t>
      </w:r>
      <w:r w:rsidRPr="000548DD">
        <w:rPr>
          <w:rStyle w:val="StyleUnderline"/>
        </w:rPr>
        <w:t>I often see these folks thinking of</w:t>
      </w:r>
      <w:r w:rsidRPr="000548DD">
        <w:rPr>
          <w:sz w:val="12"/>
        </w:rPr>
        <w:t xml:space="preserve">, or theorizing, </w:t>
      </w:r>
      <w:r w:rsidRPr="000548DD">
        <w:rPr>
          <w:rStyle w:val="StyleUnderline"/>
        </w:rPr>
        <w:t xml:space="preserve">Black death and flesh </w:t>
      </w:r>
      <w:r w:rsidRPr="000548DD">
        <w:rPr>
          <w:rStyle w:val="StyleUnderline"/>
          <w:highlight w:val="green"/>
        </w:rPr>
        <w:t>at the level of metaphor and aestheticizing it</w:t>
      </w:r>
      <w:r w:rsidRPr="000548DD">
        <w:rPr>
          <w:rStyle w:val="StyleUnderline"/>
        </w:rPr>
        <w:t xml:space="preserve"> in order to make it more malleable</w:t>
      </w:r>
      <w:r w:rsidRPr="000548DD">
        <w:rPr>
          <w:sz w:val="12"/>
        </w:rPr>
        <w:t>. This then becomes “the work.” I find myself recoiling from that kind of work. Do you have any thoughts about what white and non- Black folks are doing with Black death and Afro-pessimistic work?</w:t>
      </w:r>
    </w:p>
    <w:p w:rsidR="0080264B" w:rsidRPr="000548DD" w:rsidRDefault="0080264B" w:rsidP="0080264B">
      <w:pPr>
        <w:rPr>
          <w:sz w:val="8"/>
          <w:szCs w:val="8"/>
        </w:rPr>
      </w:pPr>
      <w:r w:rsidRPr="000548DD">
        <w:rPr>
          <w:sz w:val="8"/>
          <w:szCs w:val="8"/>
        </w:rPr>
        <w:t xml:space="preserve">FW </w:t>
      </w:r>
    </w:p>
    <w:p w:rsidR="0080264B" w:rsidRDefault="0080264B" w:rsidP="0080264B">
      <w:pPr>
        <w:rPr>
          <w:sz w:val="12"/>
        </w:rPr>
      </w:pPr>
      <w:r w:rsidRPr="000548DD">
        <w:rPr>
          <w:rStyle w:val="StyleUnderline"/>
        </w:rPr>
        <w:t>I hear exactly what you’re saying</w:t>
      </w:r>
      <w:r w:rsidRPr="000548DD">
        <w:rPr>
          <w:sz w:val="12"/>
        </w:rPr>
        <w:t xml:space="preserve">, </w:t>
      </w:r>
      <w:r w:rsidRPr="000548DD">
        <w:rPr>
          <w:rStyle w:val="Emphasis"/>
        </w:rPr>
        <w:t xml:space="preserve">and </w:t>
      </w:r>
      <w:r w:rsidRPr="000548DD">
        <w:rPr>
          <w:rStyle w:val="Emphasis"/>
          <w:highlight w:val="green"/>
        </w:rPr>
        <w:t>I grieve over it</w:t>
      </w:r>
      <w:r w:rsidRPr="000548DD">
        <w:rPr>
          <w:sz w:val="12"/>
        </w:rPr>
        <w:t xml:space="preserve">. Sometimes, I try not to know to get my own work done. As a general rule, it is difficult for Black people to make anything and to hold onto it for more than thirty seconds before the world takes it for its own purposes. Afro-pessimism is going the way of jazz, where it will be for everyone else. Or hip-hop. Patrice Douglass asked me, how do we keep </w:t>
      </w:r>
      <w:proofErr w:type="spellStart"/>
      <w:r w:rsidRPr="000548DD">
        <w:rPr>
          <w:sz w:val="12"/>
        </w:rPr>
        <w:t>Afropessimism</w:t>
      </w:r>
      <w:proofErr w:type="spellEnd"/>
      <w:r w:rsidRPr="000548DD">
        <w:rPr>
          <w:sz w:val="12"/>
        </w:rPr>
        <w:t xml:space="preserve"> for Blacks? And I said, it’s like our bodies, we can’t. </w:t>
      </w:r>
      <w:r w:rsidRPr="000548DD">
        <w:rPr>
          <w:rStyle w:val="StyleUnderline"/>
        </w:rPr>
        <w:t xml:space="preserve">What </w:t>
      </w:r>
      <w:r w:rsidRPr="000548DD">
        <w:rPr>
          <w:rStyle w:val="StyleUnderline"/>
          <w:highlight w:val="green"/>
        </w:rPr>
        <w:t>it becomes</w:t>
      </w:r>
      <w:r w:rsidRPr="000548DD">
        <w:rPr>
          <w:rStyle w:val="StyleUnderline"/>
        </w:rPr>
        <w:t xml:space="preserve"> is </w:t>
      </w:r>
      <w:r w:rsidRPr="000548DD">
        <w:rPr>
          <w:rStyle w:val="StyleUnderline"/>
          <w:highlight w:val="green"/>
        </w:rPr>
        <w:t>something to animate someone else’s projects</w:t>
      </w:r>
      <w:r w:rsidRPr="000548DD">
        <w:rPr>
          <w:sz w:val="12"/>
        </w:rPr>
        <w:t xml:space="preserve">, </w:t>
      </w:r>
      <w:r w:rsidRPr="000548DD">
        <w:rPr>
          <w:rStyle w:val="StyleUnderline"/>
        </w:rPr>
        <w:t>and then we’ll be dispossessed of Being</w:t>
      </w:r>
      <w:r w:rsidRPr="000548DD">
        <w:rPr>
          <w:sz w:val="12"/>
        </w:rPr>
        <w:t xml:space="preserve">. That doesn’t mean I’m not writing, but I don’t know what to do about it. It’s akin to lynching as David Marriott describes. </w:t>
      </w:r>
      <w:r w:rsidRPr="000548DD">
        <w:rPr>
          <w:rStyle w:val="StyleUnderline"/>
          <w:highlight w:val="green"/>
        </w:rPr>
        <w:t>The lynched body becomes</w:t>
      </w:r>
      <w:r w:rsidRPr="000548DD">
        <w:rPr>
          <w:rStyle w:val="StyleUnderline"/>
        </w:rPr>
        <w:t xml:space="preserve"> something through which community can build because it is </w:t>
      </w:r>
      <w:r w:rsidRPr="000548DD">
        <w:rPr>
          <w:rStyle w:val="StyleUnderline"/>
          <w:highlight w:val="green"/>
        </w:rPr>
        <w:t>the not quite human thing to which Humans can</w:t>
      </w:r>
      <w:r w:rsidRPr="000548DD">
        <w:rPr>
          <w:rStyle w:val="StyleUnderline"/>
        </w:rPr>
        <w:t xml:space="preserve"> ultimately </w:t>
      </w:r>
      <w:r w:rsidRPr="000548DD">
        <w:rPr>
          <w:rStyle w:val="StyleUnderline"/>
          <w:highlight w:val="green"/>
        </w:rPr>
        <w:t>compare themselves</w:t>
      </w:r>
      <w:r w:rsidRPr="000548DD">
        <w:rPr>
          <w:sz w:val="12"/>
        </w:rPr>
        <w:t>.</w:t>
      </w:r>
    </w:p>
    <w:p w:rsidR="0080264B" w:rsidRDefault="0080264B" w:rsidP="0080264B">
      <w:pPr>
        <w:pStyle w:val="Heading4"/>
      </w:pPr>
      <w:r>
        <w:t xml:space="preserve">Double-Bind– either </w:t>
      </w:r>
      <w:proofErr w:type="spellStart"/>
      <w:r>
        <w:t>afropessimism</w:t>
      </w:r>
      <w:proofErr w:type="spellEnd"/>
      <w:r>
        <w:t xml:space="preserve"> is </w:t>
      </w:r>
      <w:r w:rsidRPr="00EE0ADF">
        <w:rPr>
          <w:u w:val="single"/>
        </w:rPr>
        <w:t>true</w:t>
      </w:r>
      <w:r>
        <w:t xml:space="preserve"> which means your very existence is parasitic on black death proving the double-turn </w:t>
      </w:r>
      <w:r w:rsidRPr="00F57BF3">
        <w:rPr>
          <w:u w:val="single"/>
        </w:rPr>
        <w:t>OR</w:t>
      </w:r>
      <w:r>
        <w:t xml:space="preserve"> </w:t>
      </w:r>
      <w:proofErr w:type="spellStart"/>
      <w:r>
        <w:t>afropessimism</w:t>
      </w:r>
      <w:proofErr w:type="spellEnd"/>
      <w:r>
        <w:t xml:space="preserve"> is </w:t>
      </w:r>
      <w:r w:rsidRPr="00F57BF3">
        <w:rPr>
          <w:u w:val="single"/>
        </w:rPr>
        <w:t>false</w:t>
      </w:r>
      <w:r>
        <w:t xml:space="preserve">, you knew it was false, and </w:t>
      </w:r>
      <w:r w:rsidRPr="00EE0ADF">
        <w:rPr>
          <w:u w:val="single"/>
        </w:rPr>
        <w:t>still</w:t>
      </w:r>
      <w:r>
        <w:t xml:space="preserve"> decided to commodify black suffering for the ballot which is externally </w:t>
      </w:r>
      <w:r>
        <w:t>screwed</w:t>
      </w:r>
      <w:bookmarkStart w:id="0" w:name="_GoBack"/>
      <w:bookmarkEnd w:id="0"/>
      <w:r>
        <w:t xml:space="preserve"> up.</w:t>
      </w:r>
    </w:p>
    <w:p w:rsidR="0080264B" w:rsidRPr="00B55AD5" w:rsidRDefault="0080264B" w:rsidP="0080264B"/>
    <w:p w:rsidR="0080264B" w:rsidRDefault="0080264B" w:rsidP="00CF1124">
      <w:pPr>
        <w:pStyle w:val="Heading4"/>
        <w:rPr>
          <w:rStyle w:val="StyleUnderline"/>
          <w:rFonts w:cs="Calibri"/>
          <w:sz w:val="26"/>
          <w:u w:val="none"/>
        </w:rPr>
      </w:pPr>
    </w:p>
    <w:p w:rsidR="0080264B" w:rsidRDefault="0080264B" w:rsidP="00CF1124">
      <w:pPr>
        <w:pStyle w:val="Heading4"/>
        <w:rPr>
          <w:rStyle w:val="StyleUnderline"/>
          <w:rFonts w:cs="Calibri"/>
          <w:sz w:val="26"/>
          <w:u w:val="none"/>
        </w:rPr>
      </w:pPr>
    </w:p>
    <w:p w:rsidR="0080264B" w:rsidRDefault="0080264B" w:rsidP="00CF1124">
      <w:pPr>
        <w:pStyle w:val="Heading4"/>
        <w:rPr>
          <w:rStyle w:val="StyleUnderline"/>
          <w:rFonts w:cs="Calibri"/>
          <w:sz w:val="26"/>
          <w:u w:val="none"/>
        </w:rPr>
      </w:pPr>
    </w:p>
    <w:p w:rsidR="0080264B" w:rsidRDefault="0080264B" w:rsidP="00CF1124">
      <w:pPr>
        <w:pStyle w:val="Heading4"/>
        <w:rPr>
          <w:rStyle w:val="StyleUnderline"/>
          <w:rFonts w:cs="Calibri"/>
          <w:sz w:val="26"/>
          <w:u w:val="none"/>
        </w:rPr>
      </w:pPr>
    </w:p>
    <w:p w:rsidR="0080264B" w:rsidRDefault="0080264B" w:rsidP="00CF1124">
      <w:pPr>
        <w:pStyle w:val="Heading4"/>
        <w:rPr>
          <w:rStyle w:val="StyleUnderline"/>
          <w:rFonts w:cs="Calibri"/>
          <w:sz w:val="26"/>
          <w:u w:val="none"/>
        </w:rPr>
      </w:pPr>
    </w:p>
    <w:p w:rsidR="00CF1124" w:rsidRPr="00496CF0" w:rsidRDefault="00CF1124" w:rsidP="00CF1124">
      <w:pPr>
        <w:pStyle w:val="Heading4"/>
        <w:rPr>
          <w:rStyle w:val="StyleUnderline"/>
          <w:rFonts w:cs="Calibri"/>
          <w:sz w:val="26"/>
          <w:u w:val="none"/>
        </w:rPr>
      </w:pPr>
      <w:r w:rsidRPr="00496CF0">
        <w:rPr>
          <w:rStyle w:val="StyleUnderline"/>
          <w:rFonts w:cs="Calibri"/>
          <w:sz w:val="26"/>
          <w:u w:val="none"/>
        </w:rPr>
        <w:t xml:space="preserve">The subject is unstable – there’s no set of irreducible categories that describe it </w:t>
      </w:r>
    </w:p>
    <w:p w:rsidR="00CF1124" w:rsidRPr="00496CF0" w:rsidRDefault="00CF1124" w:rsidP="00CF1124">
      <w:pPr>
        <w:pStyle w:val="Heading4"/>
        <w:rPr>
          <w:rFonts w:cs="Calibri"/>
        </w:rPr>
      </w:pPr>
      <w:r w:rsidRPr="00496CF0">
        <w:rPr>
          <w:rFonts w:cs="Calibri"/>
        </w:rPr>
        <w:t xml:space="preserve">Thinking only affects a subject as a being in time and so is not a transcendent feature.  Transcendent subject hood fails because differentiation through time causes instability. </w:t>
      </w:r>
    </w:p>
    <w:p w:rsidR="00CF1124" w:rsidRPr="00496CF0" w:rsidRDefault="00CF1124" w:rsidP="00CF1124">
      <w:pPr>
        <w:spacing w:line="240" w:lineRule="auto"/>
        <w:rPr>
          <w:rStyle w:val="Style13ptBold"/>
          <w:rFonts w:cs="Calibri"/>
        </w:rPr>
      </w:pPr>
      <w:r w:rsidRPr="00496CF0">
        <w:rPr>
          <w:rStyle w:val="Style13ptBold"/>
          <w:rFonts w:cs="Calibri"/>
        </w:rPr>
        <w:t xml:space="preserve">Deleuze 68 </w:t>
      </w:r>
    </w:p>
    <w:p w:rsidR="00CF1124" w:rsidRPr="00496CF0" w:rsidRDefault="00CF1124" w:rsidP="00CF1124">
      <w:pPr>
        <w:spacing w:line="240" w:lineRule="auto"/>
        <w:rPr>
          <w:rFonts w:cs="Calibri"/>
          <w:color w:val="000000" w:themeColor="text1"/>
          <w:sz w:val="16"/>
          <w:szCs w:val="16"/>
        </w:rPr>
      </w:pPr>
      <w:r w:rsidRPr="00496CF0">
        <w:rPr>
          <w:rFonts w:cs="Calibri"/>
          <w:color w:val="000000" w:themeColor="text1"/>
          <w:sz w:val="16"/>
          <w:szCs w:val="16"/>
        </w:rPr>
        <w:t xml:space="preserve">[Deleuze, Gilles. Difference and </w:t>
      </w:r>
      <w:proofErr w:type="spellStart"/>
      <w:r w:rsidRPr="00496CF0">
        <w:rPr>
          <w:rFonts w:cs="Calibri"/>
          <w:color w:val="000000" w:themeColor="text1"/>
          <w:sz w:val="16"/>
          <w:szCs w:val="16"/>
        </w:rPr>
        <w:t>Repitition</w:t>
      </w:r>
      <w:proofErr w:type="spellEnd"/>
      <w:r w:rsidRPr="00496CF0">
        <w:rPr>
          <w:rFonts w:cs="Calibri"/>
          <w:color w:val="000000" w:themeColor="text1"/>
          <w:sz w:val="16"/>
          <w:szCs w:val="16"/>
        </w:rPr>
        <w:t xml:space="preserve">. Translated by Paul Patton. 1968.] </w:t>
      </w:r>
    </w:p>
    <w:p w:rsidR="00CF1124" w:rsidRDefault="00CF1124" w:rsidP="00CF1124">
      <w:pPr>
        <w:spacing w:line="240" w:lineRule="auto"/>
        <w:rPr>
          <w:rFonts w:cs="Calibri"/>
          <w:color w:val="000000" w:themeColor="text1"/>
        </w:rPr>
      </w:pPr>
      <w:r w:rsidRPr="00496CF0">
        <w:rPr>
          <w:rFonts w:cs="Calibri"/>
          <w:color w:val="000000" w:themeColor="text1"/>
          <w:sz w:val="12"/>
          <w:szCs w:val="12"/>
        </w:rPr>
        <w:t>Temporally speaking - in other words, from the point of view of the theory of time - nothing is more instructive than the difference between the Kantian and the Cartesian Cogito. It is as though</w:t>
      </w:r>
      <w:r w:rsidRPr="00496CF0">
        <w:rPr>
          <w:rFonts w:cs="Calibri"/>
          <w:color w:val="000000" w:themeColor="text1"/>
        </w:rPr>
        <w:t xml:space="preserve"> </w:t>
      </w:r>
      <w:r w:rsidRPr="00496CF0">
        <w:rPr>
          <w:rFonts w:cs="Calibri"/>
          <w:b/>
          <w:color w:val="000000" w:themeColor="text1"/>
          <w:u w:val="single"/>
        </w:rPr>
        <w:t>Descartes's Cogito</w:t>
      </w:r>
      <w:r w:rsidRPr="00496CF0">
        <w:rPr>
          <w:rFonts w:cs="Calibri"/>
          <w:color w:val="000000" w:themeColor="text1"/>
        </w:rPr>
        <w:t xml:space="preserve"> </w:t>
      </w:r>
      <w:r w:rsidRPr="00496CF0">
        <w:rPr>
          <w:rFonts w:cs="Calibri"/>
          <w:b/>
          <w:color w:val="000000" w:themeColor="text1"/>
          <w:u w:val="single"/>
        </w:rPr>
        <w:t>operated</w:t>
      </w:r>
      <w:r w:rsidRPr="00496CF0">
        <w:rPr>
          <w:rFonts w:cs="Calibri"/>
          <w:color w:val="000000" w:themeColor="text1"/>
        </w:rPr>
        <w:t xml:space="preserve"> </w:t>
      </w:r>
      <w:r w:rsidRPr="00496CF0">
        <w:rPr>
          <w:rFonts w:cs="Calibri"/>
          <w:b/>
          <w:color w:val="000000" w:themeColor="text1"/>
          <w:u w:val="single"/>
        </w:rPr>
        <w:t>with</w:t>
      </w:r>
      <w:r w:rsidRPr="00496CF0">
        <w:rPr>
          <w:rFonts w:cs="Calibri"/>
          <w:color w:val="000000" w:themeColor="text1"/>
        </w:rPr>
        <w:t xml:space="preserve"> </w:t>
      </w:r>
      <w:r w:rsidRPr="00496CF0">
        <w:rPr>
          <w:rFonts w:cs="Calibri"/>
          <w:color w:val="000000" w:themeColor="text1"/>
          <w:sz w:val="12"/>
          <w:szCs w:val="12"/>
        </w:rPr>
        <w:t>two logical values: determination and undetermined existence.</w:t>
      </w:r>
      <w:r w:rsidRPr="00496CF0">
        <w:rPr>
          <w:rFonts w:cs="Calibri"/>
          <w:color w:val="000000" w:themeColor="text1"/>
        </w:rPr>
        <w:t xml:space="preserve"> </w:t>
      </w:r>
      <w:r w:rsidRPr="00496CF0">
        <w:rPr>
          <w:rFonts w:cs="Calibri"/>
          <w:b/>
          <w:color w:val="000000" w:themeColor="text1"/>
          <w:u w:val="single"/>
        </w:rPr>
        <w:t>The</w:t>
      </w:r>
      <w:r w:rsidRPr="00496CF0">
        <w:rPr>
          <w:rFonts w:cs="Calibri"/>
          <w:color w:val="000000" w:themeColor="text1"/>
        </w:rPr>
        <w:t xml:space="preserve"> </w:t>
      </w:r>
      <w:r w:rsidRPr="00496CF0">
        <w:rPr>
          <w:rFonts w:cs="Calibri"/>
          <w:b/>
          <w:color w:val="000000" w:themeColor="text1"/>
          <w:u w:val="single"/>
        </w:rPr>
        <w:t>determination (I think) implies an undetermined</w:t>
      </w:r>
      <w:r w:rsidRPr="00496CF0">
        <w:rPr>
          <w:rFonts w:cs="Calibri"/>
          <w:color w:val="000000" w:themeColor="text1"/>
        </w:rPr>
        <w:t xml:space="preserve"> </w:t>
      </w:r>
      <w:r w:rsidRPr="00496CF0">
        <w:rPr>
          <w:rFonts w:cs="Calibri"/>
          <w:b/>
          <w:color w:val="000000" w:themeColor="text1"/>
          <w:u w:val="single"/>
        </w:rPr>
        <w:t>existence</w:t>
      </w:r>
      <w:r w:rsidRPr="00496CF0">
        <w:rPr>
          <w:rFonts w:cs="Calibri"/>
          <w:color w:val="000000" w:themeColor="text1"/>
        </w:rPr>
        <w:t xml:space="preserve"> (</w:t>
      </w:r>
      <w:r w:rsidRPr="00496CF0">
        <w:rPr>
          <w:rFonts w:cs="Calibri"/>
          <w:b/>
          <w:color w:val="000000" w:themeColor="text1"/>
          <w:u w:val="single"/>
        </w:rPr>
        <w:t>I am,</w:t>
      </w:r>
      <w:r w:rsidRPr="00496CF0">
        <w:rPr>
          <w:rFonts w:cs="Calibri"/>
          <w:color w:val="000000" w:themeColor="text1"/>
        </w:rPr>
        <w:t xml:space="preserve"> </w:t>
      </w:r>
      <w:r w:rsidRPr="00496CF0">
        <w:rPr>
          <w:rFonts w:cs="Calibri"/>
          <w:color w:val="000000" w:themeColor="text1"/>
          <w:sz w:val="12"/>
          <w:szCs w:val="12"/>
        </w:rPr>
        <w:t>because 'in order to think one must exist') -</w:t>
      </w:r>
      <w:r w:rsidRPr="00496CF0">
        <w:rPr>
          <w:rFonts w:cs="Calibri"/>
          <w:color w:val="000000" w:themeColor="text1"/>
        </w:rPr>
        <w:t xml:space="preserve"> </w:t>
      </w:r>
      <w:r w:rsidRPr="00496CF0">
        <w:rPr>
          <w:rFonts w:cs="Calibri"/>
          <w:b/>
          <w:color w:val="000000" w:themeColor="text1"/>
          <w:u w:val="single"/>
        </w:rPr>
        <w:t>and</w:t>
      </w:r>
      <w:r w:rsidRPr="00496CF0">
        <w:rPr>
          <w:rFonts w:cs="Calibri"/>
          <w:color w:val="000000" w:themeColor="text1"/>
        </w:rPr>
        <w:t xml:space="preserve"> </w:t>
      </w:r>
      <w:r w:rsidRPr="00496CF0">
        <w:rPr>
          <w:rFonts w:cs="Calibri"/>
          <w:b/>
          <w:color w:val="000000" w:themeColor="text1"/>
          <w:u w:val="single"/>
        </w:rPr>
        <w:t>determines it precisely as the existence of a thinking subject</w:t>
      </w:r>
      <w:r w:rsidRPr="00496CF0">
        <w:rPr>
          <w:rFonts w:cs="Calibri"/>
          <w:color w:val="000000" w:themeColor="text1"/>
        </w:rPr>
        <w:t xml:space="preserve">: </w:t>
      </w:r>
      <w:r w:rsidRPr="00496CF0">
        <w:rPr>
          <w:rFonts w:cs="Calibri"/>
          <w:color w:val="000000" w:themeColor="text1"/>
          <w:sz w:val="12"/>
          <w:szCs w:val="12"/>
        </w:rPr>
        <w:t>I think therefore I</w:t>
      </w:r>
      <w:r w:rsidRPr="00496CF0">
        <w:rPr>
          <w:rFonts w:cs="Calibri"/>
          <w:color w:val="000000" w:themeColor="text1"/>
        </w:rPr>
        <w:t xml:space="preserve"> </w:t>
      </w:r>
      <w:r w:rsidRPr="00496CF0">
        <w:rPr>
          <w:rFonts w:cs="Calibri"/>
          <w:color w:val="000000" w:themeColor="text1"/>
          <w:sz w:val="12"/>
          <w:szCs w:val="12"/>
        </w:rPr>
        <w:t>am, I am a thing which thinks.</w:t>
      </w:r>
      <w:r w:rsidRPr="00496CF0">
        <w:rPr>
          <w:rFonts w:cs="Calibri"/>
          <w:color w:val="000000" w:themeColor="text1"/>
        </w:rPr>
        <w:t xml:space="preserve"> </w:t>
      </w:r>
      <w:r w:rsidRPr="00496CF0">
        <w:rPr>
          <w:rFonts w:cs="Calibri"/>
          <w:b/>
          <w:color w:val="000000" w:themeColor="text1"/>
          <w:u w:val="single"/>
        </w:rPr>
        <w:t>The</w:t>
      </w:r>
      <w:r w:rsidRPr="00496CF0">
        <w:rPr>
          <w:rFonts w:cs="Calibri"/>
          <w:color w:val="000000" w:themeColor="text1"/>
        </w:rPr>
        <w:t xml:space="preserve"> </w:t>
      </w:r>
      <w:r w:rsidRPr="00496CF0">
        <w:rPr>
          <w:rFonts w:cs="Calibri"/>
          <w:color w:val="000000" w:themeColor="text1"/>
          <w:sz w:val="12"/>
          <w:szCs w:val="12"/>
        </w:rPr>
        <w:t>entire</w:t>
      </w:r>
      <w:r w:rsidRPr="00496CF0">
        <w:rPr>
          <w:rFonts w:cs="Calibri"/>
          <w:color w:val="000000" w:themeColor="text1"/>
        </w:rPr>
        <w:t xml:space="preserve"> </w:t>
      </w:r>
      <w:r w:rsidRPr="00496CF0">
        <w:rPr>
          <w:rFonts w:cs="Calibri"/>
          <w:b/>
          <w:color w:val="000000" w:themeColor="text1"/>
          <w:u w:val="single"/>
        </w:rPr>
        <w:t>Kantian</w:t>
      </w:r>
      <w:r w:rsidRPr="00496CF0">
        <w:rPr>
          <w:rFonts w:cs="Calibri"/>
          <w:color w:val="000000" w:themeColor="text1"/>
        </w:rPr>
        <w:t xml:space="preserve"> </w:t>
      </w:r>
      <w:r w:rsidRPr="00496CF0">
        <w:rPr>
          <w:rFonts w:cs="Calibri"/>
          <w:b/>
          <w:color w:val="000000" w:themeColor="text1"/>
          <w:u w:val="single"/>
        </w:rPr>
        <w:t>critique [is]</w:t>
      </w:r>
      <w:r w:rsidRPr="00496CF0">
        <w:rPr>
          <w:rFonts w:cs="Calibri"/>
          <w:color w:val="000000" w:themeColor="text1"/>
        </w:rPr>
        <w:t xml:space="preserve"> </w:t>
      </w:r>
      <w:r w:rsidRPr="00496CF0">
        <w:rPr>
          <w:rFonts w:cs="Calibri"/>
          <w:color w:val="000000" w:themeColor="text1"/>
          <w:sz w:val="12"/>
          <w:szCs w:val="12"/>
        </w:rPr>
        <w:t>amounts to objecting against Descartes that it is impossible for determination to bear directly upon the undetermined.</w:t>
      </w:r>
      <w:r w:rsidRPr="00496CF0">
        <w:rPr>
          <w:rFonts w:cs="Calibri"/>
          <w:color w:val="000000" w:themeColor="text1"/>
        </w:rPr>
        <w:t xml:space="preserve"> </w:t>
      </w:r>
      <w:r w:rsidRPr="00496CF0">
        <w:rPr>
          <w:rFonts w:cs="Calibri"/>
          <w:b/>
          <w:color w:val="000000" w:themeColor="text1"/>
          <w:u w:val="single"/>
        </w:rPr>
        <w:t>The determination ('I think')</w:t>
      </w:r>
      <w:r w:rsidRPr="00496CF0">
        <w:rPr>
          <w:rFonts w:cs="Calibri"/>
          <w:color w:val="000000" w:themeColor="text1"/>
        </w:rPr>
        <w:t xml:space="preserve"> </w:t>
      </w:r>
      <w:r w:rsidRPr="00496CF0">
        <w:rPr>
          <w:rFonts w:cs="Calibri"/>
          <w:color w:val="000000" w:themeColor="text1"/>
          <w:sz w:val="12"/>
          <w:szCs w:val="12"/>
        </w:rPr>
        <w:t>obviously</w:t>
      </w:r>
      <w:r w:rsidRPr="00496CF0">
        <w:rPr>
          <w:rFonts w:cs="Calibri"/>
          <w:color w:val="000000" w:themeColor="text1"/>
        </w:rPr>
        <w:t xml:space="preserve"> </w:t>
      </w:r>
      <w:r w:rsidRPr="00496CF0">
        <w:rPr>
          <w:rFonts w:cs="Calibri"/>
          <w:b/>
          <w:color w:val="000000" w:themeColor="text1"/>
          <w:u w:val="single"/>
        </w:rPr>
        <w:t>implies</w:t>
      </w:r>
      <w:r w:rsidRPr="00496CF0">
        <w:rPr>
          <w:rFonts w:cs="Calibri"/>
          <w:color w:val="000000" w:themeColor="text1"/>
        </w:rPr>
        <w:t xml:space="preserve"> </w:t>
      </w:r>
      <w:r w:rsidRPr="00496CF0">
        <w:rPr>
          <w:rFonts w:cs="Calibri"/>
          <w:color w:val="000000" w:themeColor="text1"/>
          <w:sz w:val="12"/>
          <w:szCs w:val="12"/>
        </w:rPr>
        <w:t>something undetermined</w:t>
      </w:r>
      <w:r w:rsidRPr="00496CF0">
        <w:rPr>
          <w:rFonts w:cs="Calibri"/>
          <w:color w:val="000000" w:themeColor="text1"/>
        </w:rPr>
        <w:t xml:space="preserve"> </w:t>
      </w:r>
      <w:r w:rsidRPr="00496CF0">
        <w:rPr>
          <w:rFonts w:cs="Calibri"/>
          <w:b/>
          <w:color w:val="000000" w:themeColor="text1"/>
          <w:u w:val="single"/>
        </w:rPr>
        <w:t>('I am'), but</w:t>
      </w:r>
      <w:r w:rsidRPr="00496CF0">
        <w:rPr>
          <w:rFonts w:cs="Calibri"/>
          <w:color w:val="000000" w:themeColor="text1"/>
        </w:rPr>
        <w:t xml:space="preserve"> </w:t>
      </w:r>
      <w:r w:rsidRPr="00496CF0">
        <w:rPr>
          <w:rFonts w:cs="Calibri"/>
          <w:b/>
          <w:color w:val="000000" w:themeColor="text1"/>
          <w:u w:val="single"/>
        </w:rPr>
        <w:t>nothing so far tells us how it is that</w:t>
      </w:r>
      <w:r w:rsidRPr="00496CF0">
        <w:rPr>
          <w:rFonts w:cs="Calibri"/>
          <w:color w:val="000000" w:themeColor="text1"/>
        </w:rPr>
        <w:t xml:space="preserve"> </w:t>
      </w:r>
      <w:r w:rsidRPr="00496CF0">
        <w:rPr>
          <w:rFonts w:cs="Calibri"/>
          <w:b/>
          <w:color w:val="000000" w:themeColor="text1"/>
          <w:u w:val="single"/>
        </w:rPr>
        <w:t>this undetermined is determinable</w:t>
      </w:r>
      <w:r w:rsidRPr="00496CF0">
        <w:rPr>
          <w:rFonts w:cs="Calibri"/>
          <w:color w:val="000000" w:themeColor="text1"/>
        </w:rPr>
        <w:t xml:space="preserve"> </w:t>
      </w:r>
      <w:r w:rsidRPr="00496CF0">
        <w:rPr>
          <w:rFonts w:cs="Calibri"/>
          <w:b/>
          <w:color w:val="000000" w:themeColor="text1"/>
          <w:u w:val="single"/>
        </w:rPr>
        <w:t>by the 'I think'</w:t>
      </w:r>
      <w:r w:rsidRPr="00496CF0">
        <w:rPr>
          <w:rFonts w:cs="Calibri"/>
          <w:color w:val="000000" w:themeColor="text1"/>
          <w:sz w:val="12"/>
          <w:szCs w:val="12"/>
        </w:rPr>
        <w:t>: 'in the consciousness of myself in mere thought I am the being itself although nothing in myself is thereby given for thought.'8</w:t>
      </w:r>
      <w:r w:rsidRPr="00496CF0">
        <w:rPr>
          <w:rFonts w:cs="Calibri"/>
          <w:color w:val="000000" w:themeColor="text1"/>
        </w:rPr>
        <w:t xml:space="preserve"> </w:t>
      </w:r>
      <w:r w:rsidRPr="00496CF0">
        <w:rPr>
          <w:rFonts w:cs="Calibri"/>
          <w:b/>
          <w:color w:val="000000" w:themeColor="text1"/>
          <w:u w:val="single"/>
        </w:rPr>
        <w:t>Kant</w:t>
      </w:r>
      <w:r w:rsidRPr="00496CF0">
        <w:rPr>
          <w:rFonts w:cs="Calibri"/>
          <w:color w:val="000000" w:themeColor="text1"/>
        </w:rPr>
        <w:t xml:space="preserve"> </w:t>
      </w:r>
      <w:r w:rsidRPr="00496CF0">
        <w:rPr>
          <w:rFonts w:cs="Calibri"/>
          <w:color w:val="000000" w:themeColor="text1"/>
          <w:sz w:val="12"/>
          <w:szCs w:val="12"/>
        </w:rPr>
        <w:t xml:space="preserve">therefore </w:t>
      </w:r>
      <w:r w:rsidRPr="00496CF0">
        <w:rPr>
          <w:rFonts w:cs="Calibri"/>
          <w:b/>
          <w:color w:val="000000" w:themeColor="text1"/>
          <w:u w:val="single"/>
        </w:rPr>
        <w:t>adds</w:t>
      </w:r>
      <w:r w:rsidRPr="00496CF0">
        <w:rPr>
          <w:rFonts w:cs="Calibri"/>
          <w:color w:val="000000" w:themeColor="text1"/>
        </w:rPr>
        <w:t xml:space="preserve"> </w:t>
      </w:r>
      <w:r w:rsidRPr="00496CF0">
        <w:rPr>
          <w:rFonts w:cs="Calibri"/>
          <w:color w:val="000000" w:themeColor="text1"/>
          <w:sz w:val="12"/>
          <w:szCs w:val="12"/>
        </w:rPr>
        <w:t>a third logical value:</w:t>
      </w:r>
      <w:r w:rsidRPr="00496CF0">
        <w:rPr>
          <w:rFonts w:cs="Calibri"/>
          <w:color w:val="000000" w:themeColor="text1"/>
        </w:rPr>
        <w:t xml:space="preserve"> </w:t>
      </w:r>
      <w:r w:rsidRPr="00496CF0">
        <w:rPr>
          <w:rFonts w:cs="Calibri"/>
          <w:b/>
          <w:color w:val="000000" w:themeColor="text1"/>
          <w:u w:val="single"/>
        </w:rPr>
        <w:t>the determinable</w:t>
      </w:r>
      <w:r w:rsidRPr="00496CF0">
        <w:rPr>
          <w:rFonts w:cs="Calibri"/>
          <w:color w:val="000000" w:themeColor="text1"/>
          <w:sz w:val="12"/>
          <w:szCs w:val="12"/>
        </w:rPr>
        <w:t>, or rather the form in which the undetermined is determinable (by the deter</w:t>
      </w:r>
      <w:r w:rsidRPr="00496CF0">
        <w:rPr>
          <w:rFonts w:cs="Calibri"/>
          <w:color w:val="000000" w:themeColor="text1"/>
          <w:sz w:val="12"/>
          <w:szCs w:val="12"/>
        </w:rPr>
        <w:softHyphen/>
        <w:t xml:space="preserve"> </w:t>
      </w:r>
      <w:proofErr w:type="spellStart"/>
      <w:r w:rsidRPr="00496CF0">
        <w:rPr>
          <w:rFonts w:cs="Calibri"/>
          <w:color w:val="000000" w:themeColor="text1"/>
          <w:sz w:val="12"/>
          <w:szCs w:val="12"/>
        </w:rPr>
        <w:t>mination</w:t>
      </w:r>
      <w:proofErr w:type="spellEnd"/>
      <w:r w:rsidRPr="00496CF0">
        <w:rPr>
          <w:rFonts w:cs="Calibri"/>
          <w:color w:val="000000" w:themeColor="text1"/>
          <w:sz w:val="12"/>
          <w:szCs w:val="12"/>
        </w:rPr>
        <w:t>). This third value suffices to make logic a transcendental instance. It amounts to the discovery of Difference - no longer in the form of an empirical difference between two determinations, but</w:t>
      </w:r>
      <w:r w:rsidRPr="00496CF0">
        <w:rPr>
          <w:rFonts w:cs="Calibri"/>
          <w:color w:val="000000" w:themeColor="text1"/>
        </w:rPr>
        <w:t xml:space="preserve"> </w:t>
      </w:r>
      <w:r w:rsidRPr="00496CF0">
        <w:rPr>
          <w:rFonts w:cs="Calibri"/>
          <w:b/>
          <w:color w:val="000000" w:themeColor="text1"/>
          <w:u w:val="single"/>
        </w:rPr>
        <w:t>in the form of a transcendental</w:t>
      </w:r>
      <w:r w:rsidRPr="00496CF0">
        <w:rPr>
          <w:rFonts w:cs="Calibri"/>
          <w:color w:val="000000" w:themeColor="text1"/>
        </w:rPr>
        <w:t xml:space="preserve"> </w:t>
      </w:r>
      <w:r w:rsidRPr="00496CF0">
        <w:rPr>
          <w:rFonts w:cs="Calibri"/>
          <w:b/>
          <w:color w:val="000000" w:themeColor="text1"/>
          <w:u w:val="single"/>
        </w:rPr>
        <w:t>Difference</w:t>
      </w:r>
      <w:r w:rsidRPr="00496CF0">
        <w:rPr>
          <w:rFonts w:cs="Calibri"/>
          <w:color w:val="000000" w:themeColor="text1"/>
        </w:rPr>
        <w:t xml:space="preserve"> </w:t>
      </w:r>
      <w:r w:rsidRPr="00496CF0">
        <w:rPr>
          <w:rFonts w:cs="Calibri"/>
          <w:color w:val="000000" w:themeColor="text1"/>
          <w:sz w:val="12"/>
          <w:szCs w:val="12"/>
        </w:rPr>
        <w:t>between the</w:t>
      </w:r>
      <w:r w:rsidRPr="00496CF0">
        <w:rPr>
          <w:rFonts w:cs="Calibri"/>
          <w:color w:val="000000" w:themeColor="text1"/>
        </w:rPr>
        <w:t xml:space="preserve"> </w:t>
      </w:r>
      <w:r w:rsidRPr="00496CF0">
        <w:rPr>
          <w:rFonts w:cs="Calibri"/>
          <w:color w:val="000000" w:themeColor="text1"/>
          <w:sz w:val="12"/>
          <w:szCs w:val="12"/>
        </w:rPr>
        <w:t>Determination as such and what it determines;</w:t>
      </w:r>
      <w:r w:rsidRPr="00496CF0">
        <w:rPr>
          <w:rFonts w:cs="Calibri"/>
          <w:color w:val="000000" w:themeColor="text1"/>
        </w:rPr>
        <w:t xml:space="preserve"> </w:t>
      </w:r>
      <w:r w:rsidRPr="00496CF0">
        <w:rPr>
          <w:rFonts w:cs="Calibri"/>
          <w:b/>
          <w:color w:val="000000" w:themeColor="text1"/>
          <w:u w:val="single"/>
        </w:rPr>
        <w:t>no[t] longer in the form of an external difference which separates</w:t>
      </w:r>
      <w:r w:rsidRPr="00496CF0">
        <w:rPr>
          <w:rFonts w:cs="Calibri"/>
          <w:color w:val="000000" w:themeColor="text1"/>
        </w:rPr>
        <w:t xml:space="preserve">, </w:t>
      </w:r>
      <w:r w:rsidRPr="00496CF0">
        <w:rPr>
          <w:rFonts w:cs="Calibri"/>
          <w:b/>
          <w:color w:val="000000" w:themeColor="text1"/>
          <w:u w:val="single"/>
        </w:rPr>
        <w:t>but in the form of an</w:t>
      </w:r>
      <w:r w:rsidRPr="00496CF0">
        <w:rPr>
          <w:rFonts w:cs="Calibri"/>
          <w:color w:val="000000" w:themeColor="text1"/>
        </w:rPr>
        <w:t xml:space="preserve"> </w:t>
      </w:r>
      <w:r w:rsidRPr="00496CF0">
        <w:rPr>
          <w:rFonts w:cs="Calibri"/>
          <w:b/>
          <w:color w:val="000000" w:themeColor="text1"/>
          <w:u w:val="single"/>
        </w:rPr>
        <w:t>internal Difference which establishes an a priori relation</w:t>
      </w:r>
      <w:r w:rsidRPr="00496CF0">
        <w:rPr>
          <w:rFonts w:cs="Calibri"/>
          <w:color w:val="000000" w:themeColor="text1"/>
        </w:rPr>
        <w:t xml:space="preserve"> </w:t>
      </w:r>
      <w:r w:rsidRPr="00496CF0">
        <w:rPr>
          <w:rFonts w:cs="Calibri"/>
          <w:color w:val="000000" w:themeColor="text1"/>
          <w:sz w:val="12"/>
          <w:szCs w:val="12"/>
        </w:rPr>
        <w:t xml:space="preserve">between thought and being. Kant's answer is well known: the form under which undetermined existence is determinable by the 'I think' is that of time ...9 The consequences of this are extreme: </w:t>
      </w:r>
      <w:r w:rsidRPr="00496CF0">
        <w:rPr>
          <w:rFonts w:cs="Calibri"/>
          <w:b/>
          <w:color w:val="000000" w:themeColor="text1"/>
          <w:u w:val="single"/>
        </w:rPr>
        <w:t xml:space="preserve">my </w:t>
      </w:r>
      <w:r w:rsidRPr="00496CF0">
        <w:rPr>
          <w:rFonts w:cs="Calibri"/>
          <w:b/>
          <w:color w:val="000000" w:themeColor="text1"/>
          <w:highlight w:val="green"/>
          <w:u w:val="single"/>
        </w:rPr>
        <w:t>undetermined existence can be determined only within time</w:t>
      </w:r>
      <w:r w:rsidRPr="00496CF0">
        <w:rPr>
          <w:rFonts w:cs="Calibri"/>
          <w:b/>
          <w:color w:val="000000" w:themeColor="text1"/>
          <w:u w:val="single"/>
        </w:rPr>
        <w:t xml:space="preserve"> as the existence of a</w:t>
      </w:r>
      <w:r w:rsidRPr="00496CF0">
        <w:rPr>
          <w:rFonts w:cs="Calibri"/>
          <w:color w:val="000000" w:themeColor="text1"/>
        </w:rPr>
        <w:t xml:space="preserve"> </w:t>
      </w:r>
      <w:r w:rsidRPr="00496CF0">
        <w:rPr>
          <w:rFonts w:cs="Calibri"/>
          <w:b/>
          <w:color w:val="000000" w:themeColor="text1"/>
          <w:u w:val="single"/>
        </w:rPr>
        <w:t>phenomenon</w:t>
      </w:r>
      <w:r w:rsidRPr="00496CF0">
        <w:rPr>
          <w:rFonts w:cs="Calibri"/>
          <w:color w:val="000000" w:themeColor="text1"/>
          <w:sz w:val="12"/>
          <w:szCs w:val="12"/>
        </w:rPr>
        <w:t>, of a passive, receptive phenomenal subject appearing within time. As a result</w:t>
      </w:r>
      <w:r w:rsidRPr="00496CF0">
        <w:rPr>
          <w:rFonts w:cs="Calibri"/>
          <w:color w:val="000000" w:themeColor="text1"/>
        </w:rPr>
        <w:t xml:space="preserve">, </w:t>
      </w:r>
      <w:r w:rsidRPr="00496CF0">
        <w:rPr>
          <w:rFonts w:cs="Calibri"/>
          <w:b/>
          <w:color w:val="000000" w:themeColor="text1"/>
          <w:highlight w:val="green"/>
          <w:u w:val="single"/>
        </w:rPr>
        <w:t>the spontaneity of which I am</w:t>
      </w:r>
      <w:r w:rsidRPr="00496CF0">
        <w:rPr>
          <w:rFonts w:cs="Calibri"/>
          <w:color w:val="000000" w:themeColor="text1"/>
          <w:highlight w:val="green"/>
        </w:rPr>
        <w:t xml:space="preserve"> </w:t>
      </w:r>
      <w:r w:rsidRPr="00496CF0">
        <w:rPr>
          <w:rFonts w:cs="Calibri"/>
          <w:b/>
          <w:color w:val="000000" w:themeColor="text1"/>
          <w:highlight w:val="green"/>
          <w:u w:val="single"/>
        </w:rPr>
        <w:t xml:space="preserve">conscious </w:t>
      </w:r>
      <w:r w:rsidRPr="00496CF0">
        <w:rPr>
          <w:rFonts w:cs="Calibri"/>
          <w:b/>
          <w:color w:val="000000" w:themeColor="text1"/>
          <w:u w:val="single"/>
        </w:rPr>
        <w:t xml:space="preserve">in the 'I think' </w:t>
      </w:r>
      <w:r w:rsidRPr="00496CF0">
        <w:rPr>
          <w:rFonts w:cs="Calibri"/>
          <w:b/>
          <w:color w:val="000000" w:themeColor="text1"/>
          <w:highlight w:val="green"/>
          <w:u w:val="single"/>
        </w:rPr>
        <w:t>cannot</w:t>
      </w:r>
      <w:r w:rsidRPr="00496CF0">
        <w:rPr>
          <w:rFonts w:cs="Calibri"/>
          <w:color w:val="000000" w:themeColor="text1"/>
          <w:highlight w:val="green"/>
        </w:rPr>
        <w:t xml:space="preserve"> </w:t>
      </w:r>
      <w:r w:rsidRPr="00496CF0">
        <w:rPr>
          <w:rFonts w:cs="Calibri"/>
          <w:b/>
          <w:color w:val="000000" w:themeColor="text1"/>
          <w:highlight w:val="green"/>
          <w:u w:val="single"/>
        </w:rPr>
        <w:t>be understood as the</w:t>
      </w:r>
      <w:r w:rsidRPr="00496CF0">
        <w:rPr>
          <w:rFonts w:cs="Calibri"/>
          <w:color w:val="000000" w:themeColor="text1"/>
        </w:rPr>
        <w:t xml:space="preserve"> </w:t>
      </w:r>
      <w:r w:rsidRPr="00496CF0">
        <w:rPr>
          <w:rFonts w:cs="Calibri"/>
          <w:b/>
          <w:color w:val="000000" w:themeColor="text1"/>
          <w:u w:val="single"/>
        </w:rPr>
        <w:t xml:space="preserve">attribute of a </w:t>
      </w:r>
      <w:r w:rsidRPr="00496CF0">
        <w:rPr>
          <w:rFonts w:cs="Calibri"/>
          <w:b/>
          <w:color w:val="000000" w:themeColor="text1"/>
          <w:highlight w:val="green"/>
          <w:u w:val="single"/>
        </w:rPr>
        <w:t>substantial</w:t>
      </w:r>
      <w:r w:rsidRPr="00496CF0">
        <w:rPr>
          <w:rFonts w:cs="Calibri"/>
          <w:color w:val="000000" w:themeColor="text1"/>
          <w:highlight w:val="green"/>
        </w:rPr>
        <w:t xml:space="preserve"> </w:t>
      </w:r>
      <w:r w:rsidRPr="00496CF0">
        <w:rPr>
          <w:rFonts w:cs="Calibri"/>
          <w:color w:val="000000" w:themeColor="text1"/>
          <w:sz w:val="12"/>
          <w:szCs w:val="12"/>
        </w:rPr>
        <w:t>and spontaneous</w:t>
      </w:r>
      <w:r w:rsidRPr="00496CF0">
        <w:rPr>
          <w:rFonts w:cs="Calibri"/>
          <w:color w:val="000000" w:themeColor="text1"/>
        </w:rPr>
        <w:t xml:space="preserve"> </w:t>
      </w:r>
      <w:r w:rsidRPr="00496CF0">
        <w:rPr>
          <w:rFonts w:cs="Calibri"/>
          <w:b/>
          <w:color w:val="000000" w:themeColor="text1"/>
          <w:highlight w:val="green"/>
          <w:u w:val="single"/>
        </w:rPr>
        <w:t>being</w:t>
      </w:r>
      <w:r w:rsidRPr="00496CF0">
        <w:rPr>
          <w:rFonts w:cs="Calibri"/>
          <w:color w:val="000000" w:themeColor="text1"/>
        </w:rPr>
        <w:t xml:space="preserve">, </w:t>
      </w:r>
      <w:r w:rsidRPr="00496CF0">
        <w:rPr>
          <w:rFonts w:cs="Calibri"/>
          <w:b/>
          <w:color w:val="000000" w:themeColor="text1"/>
          <w:highlight w:val="green"/>
          <w:u w:val="single"/>
        </w:rPr>
        <w:t xml:space="preserve">but </w:t>
      </w:r>
      <w:r w:rsidRPr="00496CF0">
        <w:rPr>
          <w:rFonts w:cs="Calibri"/>
          <w:b/>
          <w:color w:val="000000" w:themeColor="text1"/>
          <w:u w:val="single"/>
        </w:rPr>
        <w:t xml:space="preserve">only </w:t>
      </w:r>
      <w:r w:rsidRPr="00496CF0">
        <w:rPr>
          <w:rFonts w:cs="Calibri"/>
          <w:b/>
          <w:color w:val="000000" w:themeColor="text1"/>
          <w:highlight w:val="green"/>
          <w:u w:val="single"/>
        </w:rPr>
        <w:t>as the affection</w:t>
      </w:r>
      <w:r w:rsidRPr="00496CF0">
        <w:rPr>
          <w:rFonts w:cs="Calibri"/>
          <w:color w:val="000000" w:themeColor="text1"/>
          <w:highlight w:val="green"/>
        </w:rPr>
        <w:t xml:space="preserve"> </w:t>
      </w:r>
      <w:r w:rsidRPr="00496CF0">
        <w:rPr>
          <w:rFonts w:cs="Calibri"/>
          <w:b/>
          <w:color w:val="000000" w:themeColor="text1"/>
          <w:highlight w:val="green"/>
          <w:u w:val="single"/>
        </w:rPr>
        <w:t xml:space="preserve">of a passive </w:t>
      </w:r>
      <w:r w:rsidRPr="00496CF0">
        <w:rPr>
          <w:rFonts w:cs="Calibri"/>
          <w:b/>
          <w:color w:val="000000" w:themeColor="text1"/>
          <w:u w:val="single"/>
        </w:rPr>
        <w:t>self</w:t>
      </w:r>
      <w:r w:rsidRPr="00496CF0">
        <w:rPr>
          <w:rFonts w:cs="Calibri"/>
          <w:color w:val="000000" w:themeColor="text1"/>
        </w:rPr>
        <w:t xml:space="preserve"> </w:t>
      </w:r>
      <w:r w:rsidRPr="00496CF0">
        <w:rPr>
          <w:rFonts w:cs="Calibri"/>
          <w:b/>
          <w:color w:val="000000" w:themeColor="text1"/>
          <w:u w:val="single"/>
        </w:rPr>
        <w:t>which experiences its own thought</w:t>
      </w:r>
      <w:r w:rsidRPr="00496CF0">
        <w:rPr>
          <w:rFonts w:cs="Calibri"/>
          <w:color w:val="000000" w:themeColor="text1"/>
        </w:rPr>
        <w:t xml:space="preserve"> </w:t>
      </w:r>
      <w:r w:rsidRPr="00496CF0">
        <w:rPr>
          <w:rFonts w:cs="Calibri"/>
          <w:color w:val="000000" w:themeColor="text1"/>
          <w:sz w:val="12"/>
          <w:szCs w:val="12"/>
        </w:rPr>
        <w:t xml:space="preserve">- its own intelligence, that by virtue of which it can say I - being exercised in it and upon it but not by it. Here begins a long and inexhaustible story: I </w:t>
      </w:r>
      <w:proofErr w:type="gramStart"/>
      <w:r w:rsidRPr="00496CF0">
        <w:rPr>
          <w:rFonts w:cs="Calibri"/>
          <w:color w:val="000000" w:themeColor="text1"/>
          <w:sz w:val="12"/>
          <w:szCs w:val="12"/>
        </w:rPr>
        <w:t>is</w:t>
      </w:r>
      <w:proofErr w:type="gramEnd"/>
      <w:r w:rsidRPr="00496CF0">
        <w:rPr>
          <w:rFonts w:cs="Calibri"/>
          <w:color w:val="000000" w:themeColor="text1"/>
          <w:sz w:val="12"/>
          <w:szCs w:val="12"/>
        </w:rPr>
        <w:t xml:space="preserve"> </w:t>
      </w:r>
      <w:proofErr w:type="spellStart"/>
      <w:r w:rsidRPr="00496CF0">
        <w:rPr>
          <w:rFonts w:cs="Calibri"/>
          <w:color w:val="000000" w:themeColor="text1"/>
          <w:sz w:val="12"/>
          <w:szCs w:val="12"/>
        </w:rPr>
        <w:t>an other</w:t>
      </w:r>
      <w:proofErr w:type="spellEnd"/>
      <w:r w:rsidRPr="00496CF0">
        <w:rPr>
          <w:rFonts w:cs="Calibri"/>
          <w:color w:val="000000" w:themeColor="text1"/>
          <w:sz w:val="12"/>
          <w:szCs w:val="12"/>
        </w:rPr>
        <w:t>, or the paradox of inner sense.</w:t>
      </w:r>
      <w:r w:rsidRPr="00496CF0">
        <w:rPr>
          <w:rFonts w:cs="Calibri"/>
          <w:color w:val="000000" w:themeColor="text1"/>
        </w:rPr>
        <w:t xml:space="preserve"> </w:t>
      </w:r>
      <w:r w:rsidRPr="00496CF0">
        <w:rPr>
          <w:rFonts w:cs="Calibri"/>
          <w:b/>
          <w:color w:val="000000" w:themeColor="text1"/>
          <w:u w:val="single"/>
        </w:rPr>
        <w:t xml:space="preserve">The activity of thought applies </w:t>
      </w:r>
      <w:r w:rsidRPr="00496CF0">
        <w:rPr>
          <w:rFonts w:cs="Calibri"/>
          <w:color w:val="000000" w:themeColor="text1"/>
          <w:sz w:val="12"/>
          <w:szCs w:val="12"/>
        </w:rPr>
        <w:t>to a receptive being</w:t>
      </w:r>
      <w:r w:rsidRPr="00496CF0">
        <w:rPr>
          <w:rFonts w:cs="Calibri"/>
          <w:color w:val="000000" w:themeColor="text1"/>
        </w:rPr>
        <w:t xml:space="preserve">, </w:t>
      </w:r>
      <w:r w:rsidRPr="00496CF0">
        <w:rPr>
          <w:rFonts w:cs="Calibri"/>
          <w:b/>
          <w:color w:val="000000" w:themeColor="text1"/>
          <w:u w:val="single"/>
        </w:rPr>
        <w:t>to a passive subject which represents that activity to itself rather than enacts it</w:t>
      </w:r>
      <w:r w:rsidRPr="00496CF0">
        <w:rPr>
          <w:rFonts w:cs="Calibri"/>
          <w:color w:val="000000" w:themeColor="text1"/>
        </w:rPr>
        <w:t xml:space="preserve">, </w:t>
      </w:r>
      <w:r w:rsidRPr="00496CF0">
        <w:rPr>
          <w:rFonts w:cs="Calibri"/>
          <w:color w:val="000000" w:themeColor="text1"/>
          <w:sz w:val="12"/>
          <w:szCs w:val="12"/>
        </w:rPr>
        <w:t xml:space="preserve">which experiences its effect rather than initiates it, and which lives it like </w:t>
      </w:r>
      <w:proofErr w:type="gramStart"/>
      <w:r w:rsidRPr="00496CF0">
        <w:rPr>
          <w:rFonts w:cs="Calibri"/>
          <w:color w:val="000000" w:themeColor="text1"/>
          <w:sz w:val="12"/>
          <w:szCs w:val="12"/>
        </w:rPr>
        <w:t>an Other</w:t>
      </w:r>
      <w:proofErr w:type="gramEnd"/>
      <w:r w:rsidRPr="00496CF0">
        <w:rPr>
          <w:rFonts w:cs="Calibri"/>
          <w:color w:val="000000" w:themeColor="text1"/>
          <w:sz w:val="12"/>
          <w:szCs w:val="12"/>
        </w:rPr>
        <w:t xml:space="preserve"> within itself.</w:t>
      </w:r>
      <w:r w:rsidRPr="00496CF0">
        <w:rPr>
          <w:rFonts w:cs="Calibri"/>
          <w:color w:val="000000" w:themeColor="text1"/>
        </w:rPr>
        <w:t xml:space="preserve"> </w:t>
      </w:r>
      <w:r w:rsidRPr="00496CF0">
        <w:rPr>
          <w:rFonts w:cs="Calibri"/>
          <w:b/>
          <w:color w:val="000000" w:themeColor="text1"/>
          <w:highlight w:val="green"/>
          <w:u w:val="single"/>
        </w:rPr>
        <w:t>To 'I think' and 'I am' must be added</w:t>
      </w:r>
      <w:r w:rsidRPr="00496CF0">
        <w:rPr>
          <w:rFonts w:cs="Calibri"/>
          <w:b/>
          <w:color w:val="000000" w:themeColor="text1"/>
          <w:u w:val="single"/>
        </w:rPr>
        <w:t xml:space="preserve"> the</w:t>
      </w:r>
      <w:r w:rsidRPr="00496CF0">
        <w:rPr>
          <w:rFonts w:cs="Calibri"/>
          <w:color w:val="000000" w:themeColor="text1"/>
        </w:rPr>
        <w:t xml:space="preserve"> </w:t>
      </w:r>
      <w:r w:rsidRPr="00496CF0">
        <w:rPr>
          <w:rFonts w:cs="Calibri"/>
          <w:b/>
          <w:color w:val="000000" w:themeColor="text1"/>
          <w:u w:val="single"/>
        </w:rPr>
        <w:t>self</w:t>
      </w:r>
      <w:r w:rsidRPr="00496CF0">
        <w:rPr>
          <w:rFonts w:cs="Calibri"/>
          <w:color w:val="000000" w:themeColor="text1"/>
        </w:rPr>
        <w:t xml:space="preserve"> - </w:t>
      </w:r>
      <w:r w:rsidRPr="00496CF0">
        <w:rPr>
          <w:rFonts w:cs="Calibri"/>
          <w:b/>
          <w:color w:val="000000" w:themeColor="text1"/>
          <w:u w:val="single"/>
        </w:rPr>
        <w:t xml:space="preserve">that is, </w:t>
      </w:r>
      <w:r w:rsidRPr="00496CF0">
        <w:rPr>
          <w:rFonts w:cs="Calibri"/>
          <w:b/>
          <w:color w:val="000000" w:themeColor="text1"/>
          <w:highlight w:val="green"/>
          <w:u w:val="single"/>
        </w:rPr>
        <w:t>the passive position</w:t>
      </w:r>
      <w:r w:rsidRPr="00496CF0">
        <w:rPr>
          <w:rFonts w:cs="Calibri"/>
          <w:color w:val="000000" w:themeColor="text1"/>
        </w:rPr>
        <w:t xml:space="preserve"> </w:t>
      </w:r>
      <w:r w:rsidRPr="00496CF0">
        <w:rPr>
          <w:rFonts w:cs="Calibri"/>
          <w:color w:val="000000" w:themeColor="text1"/>
          <w:sz w:val="12"/>
          <w:szCs w:val="12"/>
        </w:rPr>
        <w:t>(what Kant calls the receptivity of intuition); to the determination and the undetermined must be added the form of the determinable,</w:t>
      </w:r>
      <w:r w:rsidRPr="00496CF0">
        <w:rPr>
          <w:rFonts w:cs="Calibri"/>
          <w:color w:val="000000" w:themeColor="text1"/>
        </w:rPr>
        <w:t xml:space="preserve"> </w:t>
      </w:r>
      <w:r w:rsidRPr="00496CF0">
        <w:rPr>
          <w:rFonts w:cs="Calibri"/>
          <w:b/>
          <w:color w:val="000000" w:themeColor="text1"/>
          <w:highlight w:val="green"/>
          <w:u w:val="single"/>
        </w:rPr>
        <w:t>namely</w:t>
      </w:r>
      <w:r w:rsidRPr="00496CF0">
        <w:rPr>
          <w:rFonts w:cs="Calibri"/>
          <w:color w:val="000000" w:themeColor="text1"/>
          <w:highlight w:val="green"/>
        </w:rPr>
        <w:t xml:space="preserve"> </w:t>
      </w:r>
      <w:r w:rsidRPr="00496CF0">
        <w:rPr>
          <w:rFonts w:cs="Calibri"/>
          <w:b/>
          <w:color w:val="000000" w:themeColor="text1"/>
          <w:highlight w:val="green"/>
          <w:u w:val="single"/>
        </w:rPr>
        <w:t>time</w:t>
      </w:r>
      <w:r w:rsidRPr="00496CF0">
        <w:rPr>
          <w:rFonts w:cs="Calibri"/>
          <w:color w:val="000000" w:themeColor="text1"/>
        </w:rPr>
        <w:t xml:space="preserve">. </w:t>
      </w:r>
      <w:r w:rsidRPr="00496CF0">
        <w:rPr>
          <w:rFonts w:cs="Calibri"/>
          <w:color w:val="000000" w:themeColor="text1"/>
          <w:sz w:val="12"/>
          <w:szCs w:val="12"/>
        </w:rPr>
        <w:t xml:space="preserve">Nor is 'add' entirely the right word here, since it is rather a matter of establishing the difference and </w:t>
      </w:r>
      <w:proofErr w:type="spellStart"/>
      <w:r w:rsidRPr="00496CF0">
        <w:rPr>
          <w:rFonts w:cs="Calibri"/>
          <w:color w:val="000000" w:themeColor="text1"/>
          <w:sz w:val="12"/>
          <w:szCs w:val="12"/>
        </w:rPr>
        <w:t>interiorising</w:t>
      </w:r>
      <w:proofErr w:type="spellEnd"/>
      <w:r w:rsidRPr="00496CF0">
        <w:rPr>
          <w:rFonts w:cs="Calibri"/>
          <w:color w:val="000000" w:themeColor="text1"/>
          <w:sz w:val="12"/>
          <w:szCs w:val="12"/>
        </w:rPr>
        <w:t xml:space="preserve"> it within being and thought. It is as though the</w:t>
      </w:r>
      <w:r w:rsidRPr="00496CF0">
        <w:rPr>
          <w:rFonts w:cs="Calibri"/>
          <w:color w:val="000000" w:themeColor="text1"/>
        </w:rPr>
        <w:t xml:space="preserve"> </w:t>
      </w:r>
      <w:r w:rsidRPr="00496CF0">
        <w:rPr>
          <w:rFonts w:cs="Calibri"/>
          <w:b/>
          <w:color w:val="000000" w:themeColor="text1"/>
          <w:u w:val="single"/>
        </w:rPr>
        <w:t xml:space="preserve">I </w:t>
      </w:r>
      <w:proofErr w:type="gramStart"/>
      <w:r w:rsidRPr="00496CF0">
        <w:rPr>
          <w:rFonts w:cs="Calibri"/>
          <w:b/>
          <w:color w:val="000000" w:themeColor="text1"/>
          <w:u w:val="single"/>
        </w:rPr>
        <w:t>were</w:t>
      </w:r>
      <w:proofErr w:type="gramEnd"/>
      <w:r w:rsidRPr="00496CF0">
        <w:rPr>
          <w:rFonts w:cs="Calibri"/>
          <w:b/>
          <w:color w:val="000000" w:themeColor="text1"/>
          <w:u w:val="single"/>
        </w:rPr>
        <w:t xml:space="preserve"> fractured</w:t>
      </w:r>
      <w:r w:rsidRPr="00496CF0">
        <w:rPr>
          <w:rFonts w:cs="Calibri"/>
          <w:color w:val="000000" w:themeColor="text1"/>
        </w:rPr>
        <w:t xml:space="preserve"> </w:t>
      </w:r>
      <w:r w:rsidRPr="00496CF0">
        <w:rPr>
          <w:rFonts w:cs="Calibri"/>
          <w:color w:val="000000" w:themeColor="text1"/>
          <w:sz w:val="12"/>
          <w:szCs w:val="12"/>
        </w:rPr>
        <w:t>from one end to the other: fractured</w:t>
      </w:r>
      <w:r w:rsidRPr="00496CF0">
        <w:rPr>
          <w:rFonts w:cs="Calibri"/>
          <w:color w:val="000000" w:themeColor="text1"/>
        </w:rPr>
        <w:t xml:space="preserve"> </w:t>
      </w:r>
      <w:r w:rsidRPr="00496CF0">
        <w:rPr>
          <w:rFonts w:cs="Calibri"/>
          <w:b/>
          <w:color w:val="000000" w:themeColor="text1"/>
          <w:u w:val="single"/>
        </w:rPr>
        <w:t>by</w:t>
      </w:r>
      <w:r w:rsidRPr="00496CF0">
        <w:rPr>
          <w:rFonts w:cs="Calibri"/>
          <w:color w:val="000000" w:themeColor="text1"/>
        </w:rPr>
        <w:t xml:space="preserve"> </w:t>
      </w:r>
      <w:r w:rsidRPr="00496CF0">
        <w:rPr>
          <w:rFonts w:cs="Calibri"/>
          <w:color w:val="000000" w:themeColor="text1"/>
          <w:sz w:val="12"/>
          <w:szCs w:val="12"/>
        </w:rPr>
        <w:t>the pure and empty form of</w:t>
      </w:r>
      <w:r w:rsidRPr="00496CF0">
        <w:rPr>
          <w:rFonts w:cs="Calibri"/>
          <w:color w:val="000000" w:themeColor="text1"/>
        </w:rPr>
        <w:t xml:space="preserve"> </w:t>
      </w:r>
      <w:r w:rsidRPr="00496CF0">
        <w:rPr>
          <w:rFonts w:cs="Calibri"/>
          <w:b/>
          <w:color w:val="000000" w:themeColor="text1"/>
          <w:u w:val="single"/>
        </w:rPr>
        <w:t>time</w:t>
      </w:r>
      <w:r w:rsidRPr="00496CF0">
        <w:rPr>
          <w:rFonts w:cs="Calibri"/>
          <w:color w:val="000000" w:themeColor="text1"/>
        </w:rPr>
        <w:t xml:space="preserve">. </w:t>
      </w:r>
      <w:r w:rsidRPr="00496CF0">
        <w:rPr>
          <w:rFonts w:cs="Calibri"/>
          <w:b/>
          <w:bCs/>
          <w:color w:val="000000" w:themeColor="text1"/>
          <w:highlight w:val="green"/>
          <w:u w:val="single"/>
        </w:rPr>
        <w:t>In this form it is the correlate of the passive self which appears in time.</w:t>
      </w:r>
      <w:r w:rsidRPr="00496CF0">
        <w:rPr>
          <w:rFonts w:cs="Calibri"/>
          <w:color w:val="000000" w:themeColor="text1"/>
        </w:rPr>
        <w:t xml:space="preserve"> </w:t>
      </w:r>
      <w:r w:rsidRPr="00496CF0">
        <w:rPr>
          <w:rFonts w:cs="Calibri"/>
          <w:b/>
          <w:color w:val="000000" w:themeColor="text1"/>
          <w:highlight w:val="green"/>
          <w:u w:val="single"/>
        </w:rPr>
        <w:t>Time signifies a</w:t>
      </w:r>
      <w:r w:rsidRPr="00496CF0">
        <w:rPr>
          <w:rFonts w:cs="Calibri"/>
          <w:color w:val="000000" w:themeColor="text1"/>
          <w:highlight w:val="green"/>
        </w:rPr>
        <w:t xml:space="preserve"> </w:t>
      </w:r>
      <w:r w:rsidRPr="00496CF0">
        <w:rPr>
          <w:rFonts w:cs="Calibri"/>
          <w:color w:val="000000" w:themeColor="text1"/>
          <w:sz w:val="12"/>
          <w:szCs w:val="12"/>
        </w:rPr>
        <w:t>fault</w:t>
      </w:r>
      <w:r w:rsidRPr="00496CF0">
        <w:rPr>
          <w:rFonts w:cs="Calibri"/>
          <w:color w:val="000000" w:themeColor="text1"/>
        </w:rPr>
        <w:t xml:space="preserve"> </w:t>
      </w:r>
      <w:r w:rsidRPr="00496CF0">
        <w:rPr>
          <w:rFonts w:cs="Calibri"/>
          <w:color w:val="000000" w:themeColor="text1"/>
          <w:sz w:val="12"/>
          <w:szCs w:val="12"/>
        </w:rPr>
        <w:t>or a</w:t>
      </w:r>
      <w:r w:rsidRPr="00496CF0">
        <w:rPr>
          <w:rFonts w:cs="Calibri"/>
          <w:color w:val="000000" w:themeColor="text1"/>
        </w:rPr>
        <w:t xml:space="preserve"> </w:t>
      </w:r>
      <w:r w:rsidRPr="00496CF0">
        <w:rPr>
          <w:rFonts w:cs="Calibri"/>
          <w:b/>
          <w:color w:val="000000" w:themeColor="text1"/>
          <w:highlight w:val="green"/>
          <w:u w:val="single"/>
        </w:rPr>
        <w:t>fracture in the I and a passivity in the self</w:t>
      </w:r>
      <w:r w:rsidRPr="00496CF0">
        <w:rPr>
          <w:rFonts w:cs="Calibri"/>
          <w:color w:val="000000" w:themeColor="text1"/>
          <w:sz w:val="12"/>
          <w:szCs w:val="12"/>
          <w:highlight w:val="green"/>
        </w:rPr>
        <w:t xml:space="preserve">, and </w:t>
      </w:r>
      <w:r w:rsidRPr="00496CF0">
        <w:rPr>
          <w:rFonts w:cs="Calibri"/>
          <w:color w:val="000000" w:themeColor="text1"/>
          <w:sz w:val="12"/>
          <w:szCs w:val="12"/>
        </w:rPr>
        <w:t xml:space="preserve">the correlation between the passive self and the fractured I constitutes the discovery of the transcendental, the element of the Copernican Revolution. </w:t>
      </w:r>
      <w:r w:rsidRPr="00496CF0">
        <w:rPr>
          <w:rFonts w:cs="Calibri"/>
          <w:b/>
          <w:color w:val="000000" w:themeColor="text1"/>
          <w:u w:val="single"/>
        </w:rPr>
        <w:t>Descartes could draw his conclusion only by expelling time, by reducing the Cogito to an instant</w:t>
      </w:r>
      <w:r w:rsidRPr="00496CF0">
        <w:rPr>
          <w:rFonts w:cs="Calibri"/>
          <w:color w:val="000000" w:themeColor="text1"/>
          <w:sz w:val="12"/>
          <w:szCs w:val="12"/>
        </w:rPr>
        <w:t xml:space="preserve"> and entrusting time to the operation of continuous creation carried out by God. More generally, the supposed identity of the I </w:t>
      </w:r>
      <w:proofErr w:type="gramStart"/>
      <w:r w:rsidRPr="00496CF0">
        <w:rPr>
          <w:rFonts w:cs="Calibri"/>
          <w:color w:val="000000" w:themeColor="text1"/>
          <w:sz w:val="12"/>
          <w:szCs w:val="12"/>
        </w:rPr>
        <w:t>has</w:t>
      </w:r>
      <w:proofErr w:type="gramEnd"/>
      <w:r w:rsidRPr="00496CF0">
        <w:rPr>
          <w:rFonts w:cs="Calibri"/>
          <w:color w:val="000000" w:themeColor="text1"/>
          <w:sz w:val="12"/>
          <w:szCs w:val="12"/>
        </w:rPr>
        <w:t xml:space="preserve"> no other guarantee than the unity of God himself. For this reason, the substitution of the point of view of the 'I' for the point of view of 'God' = than is commonly supposed, so long as the former retains an identity that it owes precisely </w:t>
      </w:r>
      <w:proofErr w:type="spellStart"/>
      <w:r w:rsidRPr="00496CF0">
        <w:rPr>
          <w:rFonts w:cs="Calibri"/>
          <w:color w:val="000000" w:themeColor="text1"/>
          <w:sz w:val="12"/>
          <w:szCs w:val="12"/>
        </w:rPr>
        <w:t>tt</w:t>
      </w:r>
      <w:proofErr w:type="spellEnd"/>
      <w:r w:rsidRPr="00496CF0">
        <w:rPr>
          <w:rFonts w:cs="Calibri"/>
          <w:color w:val="000000" w:themeColor="text1"/>
          <w:sz w:val="12"/>
          <w:szCs w:val="12"/>
        </w:rPr>
        <w:t xml:space="preserve">. If the greatest </w:t>
      </w:r>
      <w:proofErr w:type="spellStart"/>
      <w:r w:rsidRPr="00496CF0">
        <w:rPr>
          <w:rFonts w:cs="Calibri"/>
          <w:color w:val="000000" w:themeColor="text1"/>
          <w:sz w:val="12"/>
          <w:szCs w:val="12"/>
        </w:rPr>
        <w:t>tmttattve</w:t>
      </w:r>
      <w:proofErr w:type="spellEnd"/>
      <w:r w:rsidRPr="00496CF0">
        <w:rPr>
          <w:rFonts w:cs="Calibri"/>
          <w:color w:val="000000" w:themeColor="text1"/>
          <w:sz w:val="12"/>
          <w:szCs w:val="12"/>
        </w:rPr>
        <w:t xml:space="preserve"> of transcendental philosophy was to introduce the form of time into thought as such, then this pure and empty form in turn signifies indissolubly the death of God, the fractured I and the passive self. It is true that Kant did not pursue this initiative: both God and the I underwent a practical resurrection. Even in the speculative domain, the fracture is quickly filled by a new form of identity - namely, active synthetic identity; whereas the passive self is defined only by receptivity and, as such, endowed with no power of synthesis. On the contrary, we have seen that receptivity, understood as a capacity for experiencing affections, was only a consequence, and that the passive self was more profoundly constituted by a synthesis which is itself passive (contemplation </w:t>
      </w:r>
      <w:proofErr w:type="spellStart"/>
      <w:r w:rsidRPr="00496CF0">
        <w:rPr>
          <w:rFonts w:cs="Calibri"/>
          <w:color w:val="000000" w:themeColor="text1"/>
          <w:sz w:val="12"/>
          <w:szCs w:val="12"/>
        </w:rPr>
        <w:t>ontraction</w:t>
      </w:r>
      <w:proofErr w:type="spellEnd"/>
      <w:r w:rsidRPr="00496CF0">
        <w:rPr>
          <w:rFonts w:cs="Calibri"/>
          <w:color w:val="000000" w:themeColor="text1"/>
          <w:sz w:val="12"/>
          <w:szCs w:val="12"/>
        </w:rPr>
        <w:t xml:space="preserve">). · The possibility of receiving sensations or impressions follows from this. It is impossible to maintain the Kantian distribution, which amounts to a supreme effort to save the world of representation: here, synthesis is understood as active and as giving rise to a new form of identity in the I, while passivity is understood as simple receptivity without synthesis. The Kantian initiative can be taken up, and the form of time can support both the death of God and the fractured I, but in the course of a quite different understanding of the passive self. In this sense, it is correct to claim that neither Fichte nor Hegel is the descendant of Kant - rather, it is </w:t>
      </w:r>
      <w:proofErr w:type="spellStart"/>
      <w:r w:rsidRPr="00496CF0">
        <w:rPr>
          <w:rFonts w:cs="Calibri"/>
          <w:color w:val="000000" w:themeColor="text1"/>
          <w:sz w:val="12"/>
          <w:szCs w:val="12"/>
        </w:rPr>
        <w:t>Holderlin</w:t>
      </w:r>
      <w:proofErr w:type="spellEnd"/>
      <w:r w:rsidRPr="00496CF0">
        <w:rPr>
          <w:rFonts w:cs="Calibri"/>
          <w:color w:val="000000" w:themeColor="text1"/>
          <w:sz w:val="12"/>
          <w:szCs w:val="12"/>
        </w:rPr>
        <w:t xml:space="preserve">, who discovers the emptiness of pure time and, in this emptiness, simultaneously the continued diversion of the divine, the prolonged fracture of the I and the constitutive passion of the self.10 </w:t>
      </w:r>
      <w:proofErr w:type="spellStart"/>
      <w:r w:rsidRPr="00496CF0">
        <w:rPr>
          <w:rFonts w:cs="Calibri"/>
          <w:color w:val="000000" w:themeColor="text1"/>
          <w:sz w:val="12"/>
          <w:szCs w:val="12"/>
        </w:rPr>
        <w:t>Holderlin</w:t>
      </w:r>
      <w:proofErr w:type="spellEnd"/>
      <w:r w:rsidRPr="00496CF0">
        <w:rPr>
          <w:rFonts w:cs="Calibri"/>
          <w:color w:val="000000" w:themeColor="text1"/>
          <w:sz w:val="12"/>
          <w:szCs w:val="12"/>
        </w:rPr>
        <w:t xml:space="preserve"> saw in this form of time both the essence of tragedy and the adventure of Oedipus, as though these were complementary figures of the same death instinct. Is it possible that Kantian philosophy should thus be the heir of Oedipus?</w:t>
      </w:r>
      <w:r w:rsidRPr="00496CF0">
        <w:rPr>
          <w:rFonts w:cs="Calibri"/>
          <w:color w:val="000000" w:themeColor="text1"/>
        </w:rPr>
        <w:t xml:space="preserve"> </w:t>
      </w:r>
    </w:p>
    <w:p w:rsidR="00CF1124" w:rsidRPr="00D70D45" w:rsidRDefault="00CF1124" w:rsidP="00CF1124">
      <w:pPr>
        <w:pStyle w:val="Heading4"/>
        <w:rPr>
          <w:rFonts w:cs="Calibri"/>
          <w:sz w:val="16"/>
        </w:rPr>
      </w:pPr>
      <w:r w:rsidRPr="00D70D45">
        <w:rPr>
          <w:rFonts w:cs="Calibri"/>
        </w:rPr>
        <w:t>Impacts: a) Static theories of morality fail to account for the instability that constitutes us b) Every negation is just a reconfiguration of a set of affective relationships. It doesn’t in truth deny those relations, it just affirms them in a different way which means only affirmation is true.</w:t>
      </w:r>
    </w:p>
    <w:p w:rsidR="00CF1124" w:rsidRDefault="00CF1124" w:rsidP="00CF1124">
      <w:pPr>
        <w:pStyle w:val="Heading4"/>
        <w:rPr>
          <w:rFonts w:cs="Calibri"/>
        </w:rPr>
      </w:pPr>
    </w:p>
    <w:p w:rsidR="00CF1124" w:rsidRPr="00496CF0" w:rsidRDefault="00CF1124" w:rsidP="00CF1124">
      <w:pPr>
        <w:pStyle w:val="Heading4"/>
        <w:rPr>
          <w:rFonts w:cs="Calibri"/>
        </w:rPr>
      </w:pPr>
      <w:r w:rsidRPr="00496CF0">
        <w:rPr>
          <w:rFonts w:cs="Calibri"/>
        </w:rPr>
        <w:t>Our instability means that we’re temporally bound and connected by affect, the intensities, flows, and desires that shape a subject as it moves through time, – Our encounters with the world change the way we form relations with everything else. Hardt 14</w:t>
      </w:r>
    </w:p>
    <w:p w:rsidR="00CF1124" w:rsidRPr="00496CF0" w:rsidRDefault="00CF1124" w:rsidP="00CF1124">
      <w:pPr>
        <w:rPr>
          <w:rFonts w:cs="Calibri"/>
          <w:sz w:val="12"/>
          <w:szCs w:val="12"/>
        </w:rPr>
      </w:pPr>
      <w:r w:rsidRPr="00496CF0">
        <w:rPr>
          <w:rFonts w:cs="Calibri"/>
          <w:sz w:val="12"/>
          <w:szCs w:val="12"/>
        </w:rPr>
        <w:t xml:space="preserve">The Power to be Affected Michael Hardt Published online: 12 December 2014 # Springer </w:t>
      </w:r>
      <w:proofErr w:type="spellStart"/>
      <w:r w:rsidRPr="00496CF0">
        <w:rPr>
          <w:rFonts w:cs="Calibri"/>
          <w:sz w:val="12"/>
          <w:szCs w:val="12"/>
        </w:rPr>
        <w:t>Science+Business</w:t>
      </w:r>
      <w:proofErr w:type="spellEnd"/>
      <w:r w:rsidRPr="00496CF0">
        <w:rPr>
          <w:rFonts w:cs="Calibri"/>
          <w:sz w:val="12"/>
          <w:szCs w:val="12"/>
        </w:rPr>
        <w:t xml:space="preserve"> Media New York 2014 </w:t>
      </w:r>
      <w:proofErr w:type="spellStart"/>
      <w:r w:rsidRPr="00496CF0">
        <w:rPr>
          <w:rFonts w:cs="Calibri"/>
          <w:sz w:val="12"/>
          <w:szCs w:val="12"/>
        </w:rPr>
        <w:t>Int</w:t>
      </w:r>
      <w:proofErr w:type="spellEnd"/>
      <w:r w:rsidRPr="00496CF0">
        <w:rPr>
          <w:rFonts w:cs="Calibri"/>
          <w:sz w:val="12"/>
          <w:szCs w:val="12"/>
        </w:rPr>
        <w:t xml:space="preserve"> J Polit Cult </w:t>
      </w:r>
      <w:proofErr w:type="spellStart"/>
      <w:r w:rsidRPr="00496CF0">
        <w:rPr>
          <w:rFonts w:cs="Calibri"/>
          <w:sz w:val="12"/>
          <w:szCs w:val="12"/>
        </w:rPr>
        <w:t>Soc</w:t>
      </w:r>
      <w:proofErr w:type="spellEnd"/>
      <w:r w:rsidRPr="00496CF0">
        <w:rPr>
          <w:rFonts w:cs="Calibri"/>
          <w:sz w:val="12"/>
          <w:szCs w:val="12"/>
        </w:rPr>
        <w:t xml:space="preserve"> (2015) 28:215–222 DOI 10.1007/s10767-014-9191-x Scarsdale CC</w:t>
      </w:r>
    </w:p>
    <w:p w:rsidR="00CF1124" w:rsidRPr="00496CF0" w:rsidRDefault="00CF1124" w:rsidP="00CF1124">
      <w:pPr>
        <w:rPr>
          <w:rFonts w:cs="Calibri"/>
          <w:sz w:val="12"/>
        </w:rPr>
      </w:pPr>
      <w:r w:rsidRPr="00496CF0">
        <w:rPr>
          <w:rFonts w:cs="Calibri"/>
          <w:sz w:val="12"/>
        </w:rPr>
        <w:t xml:space="preserve">By focusing on the causes of the affects, however, Spinoza points toward a practical project. </w:t>
      </w:r>
      <w:r w:rsidRPr="00496CF0">
        <w:rPr>
          <w:rFonts w:cs="Calibri"/>
          <w:b/>
          <w:u w:val="single"/>
        </w:rPr>
        <w:t xml:space="preserve">All </w:t>
      </w:r>
      <w:r w:rsidRPr="00496CF0">
        <w:rPr>
          <w:rFonts w:cs="Calibri"/>
          <w:b/>
          <w:highlight w:val="green"/>
          <w:u w:val="single"/>
        </w:rPr>
        <w:t>affects</w:t>
      </w:r>
      <w:r w:rsidRPr="00496CF0">
        <w:rPr>
          <w:rFonts w:cs="Calibri"/>
          <w:b/>
          <w:u w:val="single"/>
        </w:rPr>
        <w:t xml:space="preserve"> can be either active (that is, caused internally) or passive (caused externally). </w:t>
      </w:r>
      <w:proofErr w:type="gramStart"/>
      <w:r w:rsidRPr="00496CF0">
        <w:rPr>
          <w:rFonts w:cs="Calibri"/>
          <w:b/>
          <w:u w:val="single"/>
        </w:rPr>
        <w:t>Indeed</w:t>
      </w:r>
      <w:proofErr w:type="gramEnd"/>
      <w:r w:rsidRPr="00496CF0">
        <w:rPr>
          <w:rFonts w:cs="Calibri"/>
          <w:b/>
          <w:u w:val="single"/>
        </w:rPr>
        <w:t xml:space="preserve"> one advantage of using “affect” instead of the more colloquial “emotion” or “feeling” to translate Spinoza’s Latin term “</w:t>
      </w:r>
      <w:proofErr w:type="spellStart"/>
      <w:r w:rsidRPr="00496CF0">
        <w:rPr>
          <w:rFonts w:cs="Calibri"/>
          <w:b/>
          <w:u w:val="single"/>
        </w:rPr>
        <w:t>affectus</w:t>
      </w:r>
      <w:proofErr w:type="spellEnd"/>
      <w:r w:rsidRPr="00496CF0">
        <w:rPr>
          <w:rFonts w:cs="Calibri"/>
          <w:b/>
          <w:u w:val="single"/>
        </w:rPr>
        <w:t xml:space="preserve">” is that it </w:t>
      </w:r>
      <w:r w:rsidRPr="00496CF0">
        <w:rPr>
          <w:rFonts w:cs="Calibri"/>
          <w:b/>
          <w:highlight w:val="green"/>
          <w:u w:val="single"/>
        </w:rPr>
        <w:t>highlights</w:t>
      </w:r>
      <w:r w:rsidRPr="00496CF0">
        <w:rPr>
          <w:rFonts w:cs="Calibri"/>
          <w:b/>
          <w:u w:val="single"/>
        </w:rPr>
        <w:t xml:space="preserve"> the </w:t>
      </w:r>
      <w:r w:rsidRPr="00496CF0">
        <w:rPr>
          <w:rFonts w:cs="Calibri"/>
          <w:b/>
          <w:highlight w:val="green"/>
          <w:u w:val="single"/>
        </w:rPr>
        <w:t>causes and effects of actions</w:t>
      </w:r>
      <w:r w:rsidRPr="00496CF0">
        <w:rPr>
          <w:rFonts w:cs="Calibri"/>
          <w:b/>
          <w:u w:val="single"/>
        </w:rPr>
        <w:t xml:space="preserve"> by and upon us.</w:t>
      </w:r>
      <w:r w:rsidRPr="00496CF0">
        <w:rPr>
          <w:rFonts w:cs="Calibri"/>
          <w:sz w:val="12"/>
        </w:rPr>
        <w:t xml:space="preserve"> Once the causes are revealed, the project becomes to shift from passive to active affections, from external to internal causes. The reason to prefer active over passive does not reside in the experience of the affect, which does not change depending on cause or source.</w:t>
      </w:r>
      <w:r w:rsidRPr="00496CF0">
        <w:rPr>
          <w:rFonts w:cs="Calibri"/>
          <w:b/>
          <w:u w:val="single"/>
        </w:rPr>
        <w:t xml:space="preserve"> A </w:t>
      </w:r>
      <w:r w:rsidRPr="00496CF0">
        <w:rPr>
          <w:rFonts w:cs="Calibri"/>
          <w:b/>
          <w:highlight w:val="green"/>
          <w:u w:val="single"/>
        </w:rPr>
        <w:t>passive affect</w:t>
      </w:r>
      <w:r w:rsidRPr="00496CF0">
        <w:rPr>
          <w:rFonts w:cs="Calibri"/>
          <w:b/>
          <w:u w:val="single"/>
        </w:rPr>
        <w:t>ion, Deleuze explains, “</w:t>
      </w:r>
      <w:r w:rsidRPr="00496CF0">
        <w:rPr>
          <w:rFonts w:cs="Calibri"/>
          <w:b/>
          <w:highlight w:val="green"/>
          <w:u w:val="single"/>
        </w:rPr>
        <w:t>does not express its cause</w:t>
      </w:r>
      <w:r w:rsidRPr="00496CF0">
        <w:rPr>
          <w:rFonts w:cs="Calibri"/>
          <w:b/>
          <w:u w:val="single"/>
        </w:rPr>
        <w:t>, that is to say, the nature or essence of the external body: rather, it indicates the present constitution of our own body, and so the way in which our power to be affected is filled at that moment”</w:t>
      </w:r>
      <w:r w:rsidRPr="00496CF0">
        <w:rPr>
          <w:rFonts w:cs="Calibri"/>
          <w:sz w:val="12"/>
          <w:szCs w:val="12"/>
        </w:rPr>
        <w:t xml:space="preserve"> (</w:t>
      </w:r>
      <w:r w:rsidRPr="00496CF0">
        <w:rPr>
          <w:rFonts w:cs="Calibri"/>
          <w:sz w:val="12"/>
        </w:rPr>
        <w:t xml:space="preserve">1992, pp. 219–220, translation modified). Just like passive affections, active affections too indicate the present constitution of our body. The crucial difference is really a temporal one and regards duration and repetition. </w:t>
      </w:r>
      <w:r w:rsidRPr="00496CF0">
        <w:rPr>
          <w:rFonts w:cs="Calibri"/>
          <w:b/>
          <w:u w:val="single"/>
        </w:rPr>
        <w:t xml:space="preserve">We need the ability to select, as Nietzsche would say, in order to extend and repeat those encounters </w:t>
      </w:r>
      <w:r w:rsidRPr="00496CF0">
        <w:rPr>
          <w:rFonts w:cs="Calibri"/>
          <w:b/>
          <w:highlight w:val="green"/>
          <w:u w:val="single"/>
        </w:rPr>
        <w:t>and</w:t>
      </w:r>
      <w:r w:rsidRPr="00496CF0">
        <w:rPr>
          <w:rFonts w:cs="Calibri"/>
          <w:b/>
          <w:u w:val="single"/>
        </w:rPr>
        <w:t xml:space="preserve"> affects that are beneficial and prevent those that are detrimental. The repetition of passive affections </w:t>
      </w:r>
      <w:r w:rsidRPr="00496CF0">
        <w:rPr>
          <w:rFonts w:cs="Calibri"/>
          <w:b/>
          <w:highlight w:val="green"/>
          <w:u w:val="single"/>
        </w:rPr>
        <w:t>is</w:t>
      </w:r>
      <w:r w:rsidRPr="00496CF0">
        <w:rPr>
          <w:rFonts w:cs="Calibri"/>
          <w:b/>
          <w:u w:val="single"/>
        </w:rPr>
        <w:t xml:space="preserve"> completely </w:t>
      </w:r>
      <w:r w:rsidRPr="00496CF0">
        <w:rPr>
          <w:rFonts w:cs="Calibri"/>
          <w:b/>
          <w:highlight w:val="green"/>
          <w:u w:val="single"/>
        </w:rPr>
        <w:t>out of our control</w:t>
      </w:r>
      <w:r w:rsidRPr="00496CF0">
        <w:rPr>
          <w:rFonts w:cs="Calibri"/>
          <w:b/>
          <w:u w:val="single"/>
        </w:rPr>
        <w:t xml:space="preserve">. Some random encounters, of course, do bring us joy, but that passes quickly if we cannot make them last or repeat them. And </w:t>
      </w:r>
      <w:r w:rsidRPr="00496CF0">
        <w:rPr>
          <w:rFonts w:cs="Calibri"/>
          <w:b/>
          <w:highlight w:val="green"/>
          <w:u w:val="single"/>
        </w:rPr>
        <w:t>most random encounters</w:t>
      </w:r>
      <w:r w:rsidRPr="00496CF0">
        <w:rPr>
          <w:rFonts w:cs="Calibri"/>
          <w:b/>
          <w:u w:val="single"/>
        </w:rPr>
        <w:t xml:space="preserve">, unfortunately, </w:t>
      </w:r>
      <w:r w:rsidRPr="00496CF0">
        <w:rPr>
          <w:rFonts w:cs="Calibri"/>
          <w:b/>
          <w:highlight w:val="green"/>
          <w:u w:val="single"/>
        </w:rPr>
        <w:t>result in sadness</w:t>
      </w:r>
      <w:r w:rsidRPr="00496CF0">
        <w:rPr>
          <w:rFonts w:cs="Calibri"/>
          <w:b/>
          <w:u w:val="single"/>
        </w:rPr>
        <w:t>. If we leave this to hazard, we will stay stuck with no way forward. “As long as you don’t know what is the power to be affected of a body, as long as you understand it like that, in chance encounters, you will not have a wise life, you will not have wisdom”</w:t>
      </w:r>
      <w:r w:rsidRPr="00496CF0">
        <w:rPr>
          <w:rFonts w:cs="Calibri"/>
          <w:sz w:val="12"/>
        </w:rPr>
        <w:t xml:space="preserve"> (1978 “</w:t>
      </w:r>
      <w:proofErr w:type="spellStart"/>
      <w:r w:rsidRPr="00496CF0">
        <w:rPr>
          <w:rFonts w:cs="Calibri"/>
          <w:sz w:val="12"/>
        </w:rPr>
        <w:t>L’affect</w:t>
      </w:r>
      <w:proofErr w:type="spellEnd"/>
      <w:r w:rsidRPr="00496CF0">
        <w:rPr>
          <w:rFonts w:cs="Calibri"/>
          <w:sz w:val="12"/>
        </w:rPr>
        <w:t xml:space="preserve"> et </w:t>
      </w:r>
      <w:proofErr w:type="spellStart"/>
      <w:r w:rsidRPr="00496CF0">
        <w:rPr>
          <w:rFonts w:cs="Calibri"/>
          <w:sz w:val="12"/>
        </w:rPr>
        <w:t>l’idée</w:t>
      </w:r>
      <w:proofErr w:type="spellEnd"/>
      <w:r w:rsidRPr="00496CF0">
        <w:rPr>
          <w:rFonts w:cs="Calibri"/>
          <w:sz w:val="12"/>
        </w:rPr>
        <w:t xml:space="preserve">”). </w:t>
      </w:r>
      <w:r w:rsidRPr="00496CF0">
        <w:rPr>
          <w:rFonts w:cs="Calibri"/>
          <w:b/>
          <w:u w:val="single"/>
        </w:rPr>
        <w:t xml:space="preserve">The great advantage of the </w:t>
      </w:r>
      <w:r w:rsidRPr="00496CF0">
        <w:rPr>
          <w:rFonts w:cs="Calibri"/>
          <w:b/>
          <w:highlight w:val="green"/>
          <w:u w:val="single"/>
        </w:rPr>
        <w:t>active</w:t>
      </w:r>
      <w:r w:rsidRPr="00496CF0">
        <w:rPr>
          <w:rFonts w:cs="Calibri"/>
          <w:b/>
          <w:u w:val="single"/>
        </w:rPr>
        <w:t xml:space="preserve"> over the passive </w:t>
      </w:r>
      <w:r w:rsidRPr="00496CF0">
        <w:rPr>
          <w:rFonts w:cs="Calibri"/>
          <w:b/>
          <w:highlight w:val="green"/>
          <w:u w:val="single"/>
        </w:rPr>
        <w:t>affect</w:t>
      </w:r>
      <w:r w:rsidRPr="00496CF0">
        <w:rPr>
          <w:rFonts w:cs="Calibri"/>
          <w:b/>
          <w:u w:val="single"/>
        </w:rPr>
        <w:t xml:space="preserve">ion </w:t>
      </w:r>
      <w:r w:rsidRPr="00496CF0">
        <w:rPr>
          <w:rFonts w:cs="Calibri"/>
          <w:b/>
          <w:highlight w:val="green"/>
          <w:u w:val="single"/>
        </w:rPr>
        <w:t>is</w:t>
      </w:r>
      <w:r w:rsidRPr="00496CF0">
        <w:rPr>
          <w:rFonts w:cs="Calibri"/>
          <w:b/>
          <w:u w:val="single"/>
        </w:rPr>
        <w:t xml:space="preserve"> that it is </w:t>
      </w:r>
      <w:r w:rsidRPr="00496CF0">
        <w:rPr>
          <w:rFonts w:cs="Calibri"/>
          <w:b/>
          <w:highlight w:val="green"/>
          <w:u w:val="single"/>
        </w:rPr>
        <w:t>no longer dependent on</w:t>
      </w:r>
      <w:r w:rsidRPr="00496CF0">
        <w:rPr>
          <w:rFonts w:cs="Calibri"/>
          <w:b/>
          <w:u w:val="single"/>
        </w:rPr>
        <w:t xml:space="preserve"> the vagaries of </w:t>
      </w:r>
      <w:r w:rsidRPr="00496CF0">
        <w:rPr>
          <w:rFonts w:cs="Calibri"/>
          <w:b/>
          <w:highlight w:val="green"/>
          <w:u w:val="single"/>
        </w:rPr>
        <w:t>external forces</w:t>
      </w:r>
      <w:r w:rsidRPr="00496CF0">
        <w:rPr>
          <w:rFonts w:cs="Calibri"/>
          <w:b/>
          <w:u w:val="single"/>
        </w:rPr>
        <w:t xml:space="preserve">. Since </w:t>
      </w:r>
      <w:r w:rsidRPr="00496CF0">
        <w:rPr>
          <w:rFonts w:cs="Calibri"/>
          <w:b/>
          <w:highlight w:val="green"/>
          <w:u w:val="single"/>
        </w:rPr>
        <w:t>the body causes itself to be affected</w:t>
      </w:r>
      <w:r w:rsidRPr="00496CF0">
        <w:rPr>
          <w:rFonts w:cs="Calibri"/>
          <w:b/>
          <w:u w:val="single"/>
        </w:rPr>
        <w:t>, chance is removed and it is able to control the duration and repetition of encounters. The issue, then, is not only understanding and expanding your power to be affected but also augmenting proportion of that power that is filled with active rather than passive affections</w:t>
      </w:r>
      <w:r w:rsidRPr="00496CF0">
        <w:rPr>
          <w:rFonts w:cs="Calibri"/>
          <w:sz w:val="12"/>
        </w:rPr>
        <w:t xml:space="preserve">. This notion of active affection could appear obscure or, worse, moralistic if not linked to Spinoza’s definition of bodies (and, ultimately, subjects). From his perspective, there is no basic or default unitary body. “A body,” Spinoza explains, “is constituted by the relation among its parts” (1985 Ethics, IV P39 </w:t>
      </w:r>
      <w:proofErr w:type="spellStart"/>
      <w:r w:rsidRPr="00496CF0">
        <w:rPr>
          <w:rFonts w:cs="Calibri"/>
          <w:sz w:val="12"/>
        </w:rPr>
        <w:t>dem</w:t>
      </w:r>
      <w:proofErr w:type="spellEnd"/>
      <w:r w:rsidRPr="00496CF0">
        <w:rPr>
          <w:rFonts w:cs="Calibri"/>
          <w:sz w:val="12"/>
        </w:rPr>
        <w:t xml:space="preserve">), and the number and constitution of those parts is changeable. We need to shift perspective so as no longer to consider a body as an entity (or even a cluster of entities) but instead as a relation. </w:t>
      </w:r>
      <w:r w:rsidRPr="00496CF0">
        <w:rPr>
          <w:rFonts w:cs="Calibri"/>
          <w:b/>
          <w:highlight w:val="green"/>
          <w:u w:val="single"/>
        </w:rPr>
        <w:t xml:space="preserve">When a new relation is added, a larger body is composed, </w:t>
      </w:r>
      <w:r w:rsidRPr="00496CF0">
        <w:rPr>
          <w:rFonts w:cs="Calibri"/>
          <w:b/>
          <w:u w:val="single"/>
        </w:rPr>
        <w:t xml:space="preserve">and when a relation is broken, the body diminishes or decomposes. All this simply means that </w:t>
      </w:r>
      <w:r w:rsidRPr="00496CF0">
        <w:rPr>
          <w:rFonts w:cs="Calibri"/>
          <w:b/>
          <w:highlight w:val="green"/>
          <w:u w:val="single"/>
        </w:rPr>
        <w:t xml:space="preserve">the border between </w:t>
      </w:r>
      <w:r w:rsidRPr="00496CF0">
        <w:rPr>
          <w:rFonts w:cs="Calibri"/>
          <w:b/>
          <w:u w:val="single"/>
        </w:rPr>
        <w:t xml:space="preserve">the </w:t>
      </w:r>
      <w:r w:rsidRPr="00496CF0">
        <w:rPr>
          <w:rFonts w:cs="Calibri"/>
          <w:b/>
          <w:highlight w:val="green"/>
          <w:u w:val="single"/>
        </w:rPr>
        <w:t xml:space="preserve">inside and outside </w:t>
      </w:r>
      <w:r w:rsidRPr="00496CF0">
        <w:rPr>
          <w:rFonts w:cs="Calibri"/>
          <w:b/>
          <w:u w:val="single"/>
        </w:rPr>
        <w:t xml:space="preserve">of </w:t>
      </w:r>
      <w:r w:rsidRPr="00496CF0">
        <w:rPr>
          <w:rFonts w:cs="Calibri"/>
          <w:b/>
          <w:highlight w:val="green"/>
          <w:u w:val="single"/>
        </w:rPr>
        <w:t xml:space="preserve">bodies, </w:t>
      </w:r>
      <w:r w:rsidRPr="00496CF0">
        <w:rPr>
          <w:rFonts w:cs="Calibri"/>
          <w:b/>
          <w:u w:val="single"/>
        </w:rPr>
        <w:t xml:space="preserve">and hence between internal and external causes, </w:t>
      </w:r>
      <w:r w:rsidRPr="00496CF0">
        <w:rPr>
          <w:rFonts w:cs="Calibri"/>
          <w:b/>
          <w:highlight w:val="green"/>
          <w:u w:val="single"/>
        </w:rPr>
        <w:t>is fluid</w:t>
      </w:r>
      <w:r w:rsidRPr="00496CF0">
        <w:rPr>
          <w:rFonts w:cs="Calibri"/>
          <w:b/>
          <w:u w:val="single"/>
        </w:rPr>
        <w:t xml:space="preserve"> and subject to our efforts. In order for a passive affection to become an active one, then, it is not necessary for the body that previously experienced the effect of an external body somehow to cut off that relationship and learn to become itself the cause. The body instead can, under certain conditions, envelop the cause—this is the term Deleuze uses—by creating a relation with it or, really, by expanding the relation that constitutes the body. You only gain the knowledge of when these conditions exist through encounters with others: every encounter reveals the extent to which the relations that constitute your body agree with or are “composable” with those of another</w:t>
      </w:r>
      <w:r w:rsidRPr="00496CF0">
        <w:rPr>
          <w:rFonts w:cs="Calibri"/>
          <w:sz w:val="12"/>
        </w:rPr>
        <w:t xml:space="preserve">. And a joyful encounter always indicates that there is something in common to discover. “We must, then,” Deleuze explains, “by the aid of joyful passions, form the idea of what is common to some external body and our own” (1992, p. 283). Once we recognize those common relations, we can compose a new, greater body, which contains the cause of our joy. The cause, then, does not really change. It simply becomes internal—annexed, as it were, by the affected body. The real change is the border between inside and outside and hence the composition of the body. </w:t>
      </w:r>
      <w:r w:rsidRPr="00496CF0">
        <w:rPr>
          <w:rFonts w:cs="Calibri"/>
          <w:b/>
          <w:u w:val="single"/>
        </w:rPr>
        <w:t>Once the cause is internal and the affection is active, then you are no longer subject to chance: the affect can be prolonged and repeated as long as it brings you joy.</w:t>
      </w:r>
      <w:r w:rsidRPr="00496CF0">
        <w:rPr>
          <w:rFonts w:cs="Calibri"/>
          <w:sz w:val="12"/>
        </w:rPr>
        <w:t xml:space="preserve">8 The practical project to transform passive into active affections thus ultimately involves a strategy of bonds and relations to maintain or transform the constitution of the body. The advice, if Spinoza were your therapist, could be as simple as this: first, discover your body’s power to be affected and the affects that compose it, and, then, if an encounter with someone or something results in joy, form a relationship with it, make it part of you, and transform the passive affection into an active one so that you can repeat the encounter or make it last until the joy no longer results. </w:t>
      </w:r>
      <w:r w:rsidRPr="00496CF0">
        <w:rPr>
          <w:rFonts w:cs="Calibri"/>
          <w:b/>
          <w:u w:val="single"/>
        </w:rPr>
        <w:t xml:space="preserve">You have to recognize that </w:t>
      </w:r>
      <w:r w:rsidRPr="00496CF0">
        <w:rPr>
          <w:rFonts w:cs="Calibri"/>
          <w:b/>
          <w:highlight w:val="green"/>
          <w:u w:val="single"/>
        </w:rPr>
        <w:t>you are not a fixed entity but a bundle of relations</w:t>
      </w:r>
      <w:r w:rsidRPr="00496CF0">
        <w:rPr>
          <w:rFonts w:cs="Calibri"/>
          <w:b/>
          <w:u w:val="single"/>
        </w:rPr>
        <w:t xml:space="preserve"> and your task is to compose new joyful relations and decompose sad ones. Increasing the proportion of active affections does not primarily mean becoming the cause, at least not in a direct way. The bad therapist is the one who simply berates you to take control of your life as if it were an act of sovereign will. Instead </w:t>
      </w:r>
      <w:r w:rsidRPr="00496CF0">
        <w:rPr>
          <w:rFonts w:cs="Calibri"/>
          <w:b/>
          <w:highlight w:val="green"/>
          <w:u w:val="single"/>
        </w:rPr>
        <w:t>you</w:t>
      </w:r>
      <w:r w:rsidRPr="00496CF0">
        <w:rPr>
          <w:rFonts w:cs="Calibri"/>
          <w:b/>
          <w:u w:val="single"/>
        </w:rPr>
        <w:t xml:space="preserve"> must discover joyful encounters and then </w:t>
      </w:r>
      <w:r w:rsidRPr="00496CF0">
        <w:rPr>
          <w:rFonts w:cs="Calibri"/>
          <w:b/>
          <w:highlight w:val="green"/>
          <w:u w:val="single"/>
        </w:rPr>
        <w:t>make the passive affect</w:t>
      </w:r>
      <w:r w:rsidRPr="00496CF0">
        <w:rPr>
          <w:rFonts w:cs="Calibri"/>
          <w:b/>
          <w:u w:val="single"/>
        </w:rPr>
        <w:t xml:space="preserve">ion </w:t>
      </w:r>
      <w:r w:rsidRPr="00496CF0">
        <w:rPr>
          <w:rFonts w:cs="Calibri"/>
          <w:b/>
          <w:highlight w:val="green"/>
          <w:u w:val="single"/>
        </w:rPr>
        <w:t>into an active one by forming a consistent relation with the cause</w:t>
      </w:r>
      <w:r w:rsidRPr="00496CF0">
        <w:rPr>
          <w:rFonts w:cs="Calibri"/>
          <w:b/>
          <w:u w:val="single"/>
        </w:rPr>
        <w:t>, thereby enveloping the cause with a new relation that constitutes us as a new body</w:t>
      </w:r>
      <w:r w:rsidRPr="00496CF0">
        <w:rPr>
          <w:rFonts w:cs="Calibri"/>
          <w:sz w:val="12"/>
        </w:rPr>
        <w:t xml:space="preserve">. Spinoza’s and Deleuze’s technical vocabularies might make this process sound obscure when it is really a very practical project. Consider, for example, your power to think together with others. In many intellectual discussions and encounters, you find yourself more confused and less able to think. Occasionally, though, you encounter a person or a group with whom you are able to think more clearly and more powerfully than you could before. Suddenly, you understand things that previously seemed completely incomprehensible. This is a joy as pure as Spinoza can imagine. Well, the practical thing to do is not to leave such joyful encounters to chance and the fluctuations of external causes. Compose a stable relation with the source of intellectual joy; make the encounters repeat and last. Maybe form a discussion group or write a book together. This will change you, of course, since you are defined by relations, but it will change you for the better. </w:t>
      </w:r>
    </w:p>
    <w:p w:rsidR="00CF1124" w:rsidRPr="00496CF0" w:rsidRDefault="00CF1124" w:rsidP="00CF1124">
      <w:pPr>
        <w:rPr>
          <w:rFonts w:cs="Calibri"/>
          <w:sz w:val="12"/>
        </w:rPr>
      </w:pPr>
    </w:p>
    <w:p w:rsidR="00CF1124" w:rsidRPr="00496CF0" w:rsidRDefault="00CF1124" w:rsidP="00CF1124">
      <w:pPr>
        <w:spacing w:line="240" w:lineRule="auto"/>
        <w:rPr>
          <w:rFonts w:cs="Calibri"/>
          <w:color w:val="000000" w:themeColor="text1"/>
        </w:rPr>
      </w:pPr>
    </w:p>
    <w:p w:rsidR="00CF1124" w:rsidRPr="00496CF0" w:rsidRDefault="00CF1124" w:rsidP="00CF1124">
      <w:pPr>
        <w:pStyle w:val="Heading4"/>
        <w:rPr>
          <w:rFonts w:cs="Calibri"/>
        </w:rPr>
      </w:pPr>
      <w:r w:rsidRPr="00496CF0">
        <w:rPr>
          <w:rFonts w:cs="Calibri"/>
        </w:rPr>
        <w:t xml:space="preserve">Affect is divided into two groups – Active and reactive. Active affect embraces the constitution of difference and fluidity, while reactive affect operates in accordance to majoritarianism </w:t>
      </w:r>
    </w:p>
    <w:p w:rsidR="00CF1124" w:rsidRPr="00496CF0" w:rsidRDefault="00CF1124" w:rsidP="00CF1124">
      <w:pPr>
        <w:rPr>
          <w:rFonts w:cs="Calibri"/>
        </w:rPr>
      </w:pPr>
    </w:p>
    <w:p w:rsidR="00CF1124" w:rsidRPr="00496CF0" w:rsidRDefault="00CF1124" w:rsidP="00CF1124">
      <w:pPr>
        <w:pStyle w:val="Heading4"/>
        <w:rPr>
          <w:rFonts w:cs="Calibri"/>
        </w:rPr>
      </w:pPr>
      <w:r w:rsidRPr="00496CF0">
        <w:rPr>
          <w:rFonts w:cs="Calibri"/>
        </w:rPr>
        <w:t xml:space="preserve">Embracing a politics of active desire – one that is immanent and based in the present rather than the future – is key to break free of reactive desire. </w:t>
      </w:r>
      <w:proofErr w:type="gramStart"/>
      <w:r w:rsidRPr="00496CF0">
        <w:rPr>
          <w:rFonts w:cs="Calibri"/>
        </w:rPr>
        <w:t>This resists logics of majoritarian control</w:t>
      </w:r>
      <w:proofErr w:type="gramEnd"/>
      <w:r w:rsidRPr="00496CF0">
        <w:rPr>
          <w:rFonts w:cs="Calibri"/>
        </w:rPr>
        <w:t xml:space="preserve"> and becomes the space for potential resistance. </w:t>
      </w:r>
    </w:p>
    <w:p w:rsidR="00CF1124" w:rsidRPr="00496CF0" w:rsidRDefault="00CF1124" w:rsidP="00CF1124">
      <w:pPr>
        <w:pStyle w:val="Heading4"/>
        <w:rPr>
          <w:rFonts w:cs="Calibri"/>
        </w:rPr>
      </w:pPr>
      <w:r w:rsidRPr="00496CF0">
        <w:rPr>
          <w:rFonts w:cs="Calibri"/>
        </w:rPr>
        <w:t>K&amp;R 16</w:t>
      </w:r>
    </w:p>
    <w:p w:rsidR="00CF1124" w:rsidRPr="00496CF0" w:rsidRDefault="00CF1124" w:rsidP="00CF1124">
      <w:pPr>
        <w:rPr>
          <w:rFonts w:cs="Calibri"/>
          <w:sz w:val="12"/>
          <w:szCs w:val="12"/>
        </w:rPr>
      </w:pPr>
      <w:proofErr w:type="spellStart"/>
      <w:r w:rsidRPr="00496CF0">
        <w:rPr>
          <w:rFonts w:cs="Calibri"/>
          <w:sz w:val="12"/>
          <w:szCs w:val="12"/>
        </w:rPr>
        <w:t>Karatzogianni</w:t>
      </w:r>
      <w:proofErr w:type="spellEnd"/>
      <w:r w:rsidRPr="00496CF0">
        <w:rPr>
          <w:rFonts w:cs="Calibri"/>
          <w:sz w:val="12"/>
          <w:szCs w:val="12"/>
        </w:rPr>
        <w:t xml:space="preserve">, </w:t>
      </w:r>
      <w:proofErr w:type="spellStart"/>
      <w:r w:rsidRPr="00496CF0">
        <w:rPr>
          <w:rFonts w:cs="Calibri"/>
          <w:sz w:val="12"/>
          <w:szCs w:val="12"/>
        </w:rPr>
        <w:t>Athina</w:t>
      </w:r>
      <w:proofErr w:type="spellEnd"/>
      <w:r w:rsidRPr="00496CF0">
        <w:rPr>
          <w:rFonts w:cs="Calibri"/>
          <w:sz w:val="12"/>
          <w:szCs w:val="12"/>
        </w:rPr>
        <w:t xml:space="preserve"> and Robinson, Andy. “</w:t>
      </w:r>
      <w:proofErr w:type="spellStart"/>
      <w:r w:rsidRPr="00496CF0">
        <w:rPr>
          <w:rFonts w:cs="Calibri"/>
          <w:sz w:val="12"/>
          <w:szCs w:val="12"/>
        </w:rPr>
        <w:t>Schizorevolutions</w:t>
      </w:r>
      <w:proofErr w:type="spellEnd"/>
      <w:r w:rsidRPr="00496CF0">
        <w:rPr>
          <w:rFonts w:cs="Calibri"/>
          <w:sz w:val="12"/>
          <w:szCs w:val="12"/>
        </w:rPr>
        <w:t xml:space="preserve"> vs. </w:t>
      </w:r>
      <w:proofErr w:type="spellStart"/>
      <w:r w:rsidRPr="00496CF0">
        <w:rPr>
          <w:rFonts w:cs="Calibri"/>
          <w:sz w:val="12"/>
          <w:szCs w:val="12"/>
        </w:rPr>
        <w:t>Microfascisms</w:t>
      </w:r>
      <w:proofErr w:type="spellEnd"/>
      <w:r w:rsidRPr="00496CF0">
        <w:rPr>
          <w:rFonts w:cs="Calibri"/>
          <w:sz w:val="12"/>
          <w:szCs w:val="12"/>
        </w:rPr>
        <w:t xml:space="preserve">: A </w:t>
      </w:r>
      <w:proofErr w:type="spellStart"/>
      <w:r w:rsidRPr="00496CF0">
        <w:rPr>
          <w:rFonts w:cs="Calibri"/>
          <w:sz w:val="12"/>
          <w:szCs w:val="12"/>
        </w:rPr>
        <w:t>Deleuzo-Nietzchean</w:t>
      </w:r>
      <w:proofErr w:type="spellEnd"/>
      <w:r w:rsidRPr="00496CF0">
        <w:rPr>
          <w:rFonts w:cs="Calibri"/>
          <w:sz w:val="12"/>
          <w:szCs w:val="12"/>
        </w:rPr>
        <w:t xml:space="preserve"> Perspective on State, Security, and Active/Reactive Networks.” University of Leicester</w:t>
      </w:r>
      <w:proofErr w:type="gramStart"/>
      <w:r w:rsidRPr="00496CF0">
        <w:rPr>
          <w:rFonts w:cs="Calibri"/>
          <w:sz w:val="12"/>
          <w:szCs w:val="12"/>
        </w:rPr>
        <w:t>, .</w:t>
      </w:r>
      <w:proofErr w:type="gramEnd"/>
      <w:r w:rsidRPr="00496CF0">
        <w:rPr>
          <w:rFonts w:cs="Calibri"/>
          <w:sz w:val="12"/>
          <w:szCs w:val="12"/>
        </w:rPr>
        <w:t xml:space="preserve"> 2013. Scarsdale CC</w:t>
      </w:r>
    </w:p>
    <w:p w:rsidR="00CF1124" w:rsidRPr="00496CF0" w:rsidRDefault="00CF1124" w:rsidP="00CF1124">
      <w:pPr>
        <w:rPr>
          <w:rFonts w:cs="Calibri"/>
          <w:sz w:val="12"/>
        </w:rPr>
      </w:pPr>
      <w:r w:rsidRPr="00496CF0">
        <w:rPr>
          <w:rFonts w:cs="Calibri"/>
          <w:sz w:val="12"/>
        </w:rPr>
        <w:t xml:space="preserve">The impulse to condemn deviance, resistance and insurrection is disturbingly strong in academia, and doubtless strengthened by revulsion against network terror. Yet this networked rebellion of the excluded is the key to hopes for a better world. </w:t>
      </w:r>
      <w:r w:rsidRPr="00496CF0">
        <w:rPr>
          <w:rFonts w:cs="Calibri"/>
          <w:sz w:val="12"/>
          <w:szCs w:val="12"/>
        </w:rPr>
        <w:t xml:space="preserve">In the spiral of terror between states and movements, it is important to </w:t>
      </w:r>
      <w:proofErr w:type="spellStart"/>
      <w:r w:rsidRPr="00496CF0">
        <w:rPr>
          <w:rFonts w:cs="Calibri"/>
          <w:sz w:val="12"/>
          <w:szCs w:val="12"/>
        </w:rPr>
        <w:t>recognise</w:t>
      </w:r>
      <w:proofErr w:type="spellEnd"/>
      <w:r w:rsidRPr="00496CF0">
        <w:rPr>
          <w:rFonts w:cs="Calibri"/>
          <w:sz w:val="12"/>
          <w:szCs w:val="12"/>
        </w:rPr>
        <w:t xml:space="preserve"> that the source is the state and the weak point is in the movements. In today’s social war, the Other is not even accorded the </w:t>
      </w:r>
      <w:proofErr w:type="spellStart"/>
      <w:r w:rsidRPr="00496CF0">
        <w:rPr>
          <w:rFonts w:cs="Calibri"/>
          <w:sz w:val="12"/>
          <w:szCs w:val="12"/>
        </w:rPr>
        <w:t>honour</w:t>
      </w:r>
      <w:proofErr w:type="spellEnd"/>
      <w:r w:rsidRPr="00496CF0">
        <w:rPr>
          <w:rFonts w:cs="Calibri"/>
          <w:sz w:val="12"/>
          <w:szCs w:val="12"/>
        </w:rPr>
        <w:t xml:space="preserve"> of being an enemy in a fair fight. As long as social conflicts are seen through a statist frame, social war is doomed to continue, because discursive exclusion produces social war as its underside, and renders resistance both necessary and justified. The cycle of terror starts with the state: its terror at an existential level of losing control and fixity. This terrified state produces state terror and thereby creates the conditions for movement terror. It is naive to look for a way out from this side of the equation. State terror can end only when the state, both accepts the proliferation of networks beyond its control, and adopts a </w:t>
      </w:r>
      <w:proofErr w:type="gramStart"/>
      <w:r w:rsidRPr="00496CF0">
        <w:rPr>
          <w:rFonts w:cs="Calibri"/>
          <w:sz w:val="12"/>
          <w:szCs w:val="12"/>
        </w:rPr>
        <w:t>more humble</w:t>
      </w:r>
      <w:proofErr w:type="gramEnd"/>
      <w:r w:rsidRPr="00496CF0">
        <w:rPr>
          <w:rFonts w:cs="Calibri"/>
          <w:sz w:val="12"/>
          <w:szCs w:val="12"/>
        </w:rPr>
        <w:t xml:space="preserve"> role for itself, or when it collapses or is destroyed. On the other side,</w:t>
      </w:r>
      <w:r w:rsidRPr="00496CF0">
        <w:rPr>
          <w:rFonts w:cs="Calibri"/>
          <w:b/>
          <w:u w:val="single"/>
        </w:rPr>
        <w:t xml:space="preserve"> </w:t>
      </w:r>
      <w:r w:rsidRPr="00496CF0">
        <w:rPr>
          <w:rFonts w:cs="Calibri"/>
          <w:b/>
          <w:highlight w:val="green"/>
          <w:u w:val="single"/>
        </w:rPr>
        <w:t>we</w:t>
      </w:r>
      <w:r w:rsidRPr="00496CF0">
        <w:rPr>
          <w:rFonts w:cs="Calibri"/>
          <w:b/>
          <w:u w:val="single"/>
        </w:rPr>
        <w:t xml:space="preserve"> should </w:t>
      </w:r>
      <w:r w:rsidRPr="00496CF0">
        <w:rPr>
          <w:rFonts w:cs="Calibri"/>
          <w:b/>
          <w:highlight w:val="green"/>
          <w:u w:val="single"/>
        </w:rPr>
        <w:t>find hope in the proliferation of resistance among</w:t>
      </w:r>
      <w:r w:rsidRPr="00496CF0">
        <w:rPr>
          <w:rFonts w:cs="Calibri"/>
          <w:b/>
          <w:u w:val="single"/>
        </w:rPr>
        <w:t xml:space="preserve"> the excluded. We need to see in movements of the excluded </w:t>
      </w:r>
      <w:r w:rsidRPr="00496CF0">
        <w:rPr>
          <w:rFonts w:cs="Calibri"/>
          <w:b/>
          <w:highlight w:val="green"/>
          <w:u w:val="single"/>
        </w:rPr>
        <w:t>the radical potential and not</w:t>
      </w:r>
      <w:r w:rsidRPr="00496CF0">
        <w:rPr>
          <w:rFonts w:cs="Calibri"/>
          <w:b/>
          <w:u w:val="single"/>
        </w:rPr>
        <w:t xml:space="preserve"> only the </w:t>
      </w:r>
      <w:r w:rsidRPr="00496CF0">
        <w:rPr>
          <w:rFonts w:cs="Calibri"/>
          <w:b/>
          <w:highlight w:val="green"/>
          <w:u w:val="single"/>
        </w:rPr>
        <w:t>reactive distortions</w:t>
      </w:r>
      <w:r w:rsidRPr="00496CF0">
        <w:rPr>
          <w:rFonts w:cs="Calibri"/>
          <w:sz w:val="12"/>
          <w:highlight w:val="green"/>
        </w:rPr>
        <w:t>.</w:t>
      </w:r>
      <w:r w:rsidRPr="00496CF0">
        <w:rPr>
          <w:rFonts w:cs="Calibri"/>
          <w:sz w:val="12"/>
        </w:rPr>
        <w:t xml:space="preserve"> To take Tupac Shakur’s metaphor, we need to see the rose that grows from concrete, not merely the thorns. The problem is, rather, that many of the movements on the network side of the equation are still thinking, seeing and feeling like states. </w:t>
      </w:r>
      <w:r w:rsidRPr="00496CF0">
        <w:rPr>
          <w:rFonts w:cs="Calibri"/>
          <w:b/>
          <w:u w:val="single"/>
        </w:rPr>
        <w:t xml:space="preserve">Such movements are potential bearers of the Other of the state-form, of networks as alternatives to states, affinity against hegemony, abundance against scarcity. </w:t>
      </w:r>
      <w:r w:rsidRPr="00496CF0">
        <w:rPr>
          <w:rFonts w:cs="Calibri"/>
          <w:b/>
          <w:highlight w:val="green"/>
          <w:u w:val="single"/>
        </w:rPr>
        <w:t>The question</w:t>
      </w:r>
      <w:r w:rsidRPr="00496CF0">
        <w:rPr>
          <w:rFonts w:cs="Calibri"/>
          <w:b/>
          <w:u w:val="single"/>
        </w:rPr>
        <w:t xml:space="preserve"> thus </w:t>
      </w:r>
      <w:r w:rsidRPr="00496CF0">
        <w:rPr>
          <w:rFonts w:cs="Calibri"/>
          <w:b/>
          <w:highlight w:val="green"/>
          <w:u w:val="single"/>
        </w:rPr>
        <w:t xml:space="preserve">becomes how they can learn to </w:t>
      </w:r>
      <w:proofErr w:type="spellStart"/>
      <w:r w:rsidRPr="00496CF0">
        <w:rPr>
          <w:rFonts w:cs="Calibri"/>
          <w:b/>
          <w:highlight w:val="green"/>
          <w:u w:val="single"/>
        </w:rPr>
        <w:t>valorise</w:t>
      </w:r>
      <w:proofErr w:type="spellEnd"/>
      <w:r w:rsidRPr="00496CF0">
        <w:rPr>
          <w:rFonts w:cs="Calibri"/>
          <w:b/>
          <w:highlight w:val="green"/>
          <w:u w:val="single"/>
        </w:rPr>
        <w:t xml:space="preserve"> what they are</w:t>
      </w:r>
      <w:r w:rsidRPr="00496CF0">
        <w:rPr>
          <w:rFonts w:cs="Calibri"/>
          <w:b/>
          <w:u w:val="single"/>
        </w:rPr>
        <w:t xml:space="preserve"> -- autonomous affinity-networks -- </w:t>
      </w:r>
      <w:r w:rsidRPr="00496CF0">
        <w:rPr>
          <w:rFonts w:cs="Calibri"/>
          <w:b/>
          <w:highlight w:val="green"/>
          <w:u w:val="single"/>
        </w:rPr>
        <w:t xml:space="preserve">rather than </w:t>
      </w:r>
      <w:proofErr w:type="spellStart"/>
      <w:r w:rsidRPr="00496CF0">
        <w:rPr>
          <w:rFonts w:cs="Calibri"/>
          <w:b/>
          <w:highlight w:val="green"/>
          <w:u w:val="single"/>
        </w:rPr>
        <w:t>internalising</w:t>
      </w:r>
      <w:proofErr w:type="spellEnd"/>
      <w:r w:rsidRPr="00496CF0">
        <w:rPr>
          <w:rFonts w:cs="Calibri"/>
          <w:b/>
          <w:highlight w:val="green"/>
          <w:u w:val="single"/>
        </w:rPr>
        <w:t xml:space="preserve"> majoritarian norms</w:t>
      </w:r>
      <w:r w:rsidRPr="00496CF0">
        <w:rPr>
          <w:rFonts w:cs="Calibri"/>
          <w:b/>
          <w:u w:val="single"/>
        </w:rPr>
        <w:t>.</w:t>
      </w:r>
      <w:r w:rsidRPr="00496CF0">
        <w:rPr>
          <w:rFonts w:cs="Calibri"/>
          <w:sz w:val="12"/>
        </w:rPr>
        <w:t xml:space="preserve"> For instance, in terms of the impact of </w:t>
      </w:r>
      <w:proofErr w:type="spellStart"/>
      <w:r w:rsidRPr="00496CF0">
        <w:rPr>
          <w:rFonts w:cs="Calibri"/>
          <w:sz w:val="12"/>
        </w:rPr>
        <w:t>technosocial</w:t>
      </w:r>
      <w:proofErr w:type="spellEnd"/>
      <w:r w:rsidRPr="00496CF0">
        <w:rPr>
          <w:rFonts w:cs="Calibri"/>
          <w:sz w:val="12"/>
        </w:rPr>
        <w:t xml:space="preserve"> transformations on agency, the negotiation of ideology, order of dissent in relation to capitalism as a social code, remains hostage to labor processes and to thick identities of local/regional or national interests, which fail to move contemporary movements to an active affinity to a common humanity and a pragmatic solution for an ethical, </w:t>
      </w:r>
      <w:proofErr w:type="spellStart"/>
      <w:proofErr w:type="gramStart"/>
      <w:r w:rsidRPr="00496CF0">
        <w:rPr>
          <w:rFonts w:cs="Calibri"/>
          <w:sz w:val="12"/>
        </w:rPr>
        <w:t>non exploitative</w:t>
      </w:r>
      <w:proofErr w:type="spellEnd"/>
      <w:proofErr w:type="gramEnd"/>
      <w:r w:rsidRPr="00496CF0">
        <w:rPr>
          <w:rFonts w:cs="Calibri"/>
          <w:sz w:val="12"/>
        </w:rPr>
        <w:t xml:space="preserve"> form of production (</w:t>
      </w:r>
      <w:proofErr w:type="spellStart"/>
      <w:r w:rsidRPr="00496CF0">
        <w:rPr>
          <w:rFonts w:cs="Calibri"/>
          <w:sz w:val="12"/>
        </w:rPr>
        <w:t>Karatzogianni</w:t>
      </w:r>
      <w:proofErr w:type="spellEnd"/>
      <w:r w:rsidRPr="00496CF0">
        <w:rPr>
          <w:rFonts w:cs="Calibri"/>
          <w:sz w:val="12"/>
        </w:rPr>
        <w:t xml:space="preserve"> and </w:t>
      </w:r>
      <w:proofErr w:type="spellStart"/>
      <w:r w:rsidRPr="00496CF0">
        <w:rPr>
          <w:rFonts w:cs="Calibri"/>
          <w:sz w:val="12"/>
        </w:rPr>
        <w:t>Schandorf</w:t>
      </w:r>
      <w:proofErr w:type="spellEnd"/>
      <w:r w:rsidRPr="00496CF0">
        <w:rPr>
          <w:rFonts w:cs="Calibri"/>
          <w:sz w:val="12"/>
        </w:rPr>
        <w:t xml:space="preserve">, 2012). Here the exception may like in the global justice movements and Occupy, although still here the discourse remains often in reactive mode, due to state crackdowns experienced by the movements. There is a great need to find ways to </w:t>
      </w:r>
      <w:proofErr w:type="spellStart"/>
      <w:r w:rsidRPr="00496CF0">
        <w:rPr>
          <w:rFonts w:cs="Calibri"/>
          <w:sz w:val="12"/>
        </w:rPr>
        <w:t>energise</w:t>
      </w:r>
      <w:proofErr w:type="spellEnd"/>
      <w:r w:rsidRPr="00496CF0">
        <w:rPr>
          <w:rFonts w:cs="Calibri"/>
          <w:sz w:val="12"/>
        </w:rPr>
        <w:t xml:space="preserve"> hope against fear</w:t>
      </w:r>
      <w:r w:rsidRPr="00496CF0">
        <w:rPr>
          <w:rFonts w:cs="Calibri"/>
          <w:sz w:val="12"/>
          <w:highlight w:val="green"/>
        </w:rPr>
        <w:t xml:space="preserve">. </w:t>
      </w:r>
      <w:r w:rsidRPr="00496CF0">
        <w:rPr>
          <w:rFonts w:cs="Calibri"/>
          <w:b/>
          <w:highlight w:val="green"/>
          <w:u w:val="single"/>
        </w:rPr>
        <w:t xml:space="preserve">Hope as an active force can be </w:t>
      </w:r>
      <w:proofErr w:type="spellStart"/>
      <w:r w:rsidRPr="00496CF0">
        <w:rPr>
          <w:rFonts w:cs="Calibri"/>
          <w:b/>
          <w:highlight w:val="green"/>
          <w:u w:val="single"/>
        </w:rPr>
        <w:t>counterposed</w:t>
      </w:r>
      <w:proofErr w:type="spellEnd"/>
      <w:r w:rsidRPr="00496CF0">
        <w:rPr>
          <w:rFonts w:cs="Calibri"/>
          <w:b/>
          <w:highlight w:val="green"/>
          <w:u w:val="single"/>
        </w:rPr>
        <w:t xml:space="preserve"> to the reactive power of fear. People</w:t>
      </w:r>
      <w:r w:rsidRPr="00496CF0">
        <w:rPr>
          <w:rFonts w:cs="Calibri"/>
          <w:b/>
          <w:u w:val="single"/>
        </w:rPr>
        <w:t xml:space="preserve"> are not in fact powerless, but are made to </w:t>
      </w:r>
      <w:r w:rsidRPr="00496CF0">
        <w:rPr>
          <w:rFonts w:cs="Calibri"/>
          <w:b/>
          <w:highlight w:val="green"/>
          <w:u w:val="single"/>
        </w:rPr>
        <w:t>feel powerless by the pervasiveness of the dominant social fantasy</w:t>
      </w:r>
      <w:r w:rsidRPr="00496CF0">
        <w:rPr>
          <w:rFonts w:cs="Calibri"/>
          <w:b/>
          <w:u w:val="single"/>
        </w:rPr>
        <w:t xml:space="preserve"> and of separation. </w:t>
      </w:r>
      <w:r w:rsidRPr="00496CF0">
        <w:rPr>
          <w:rFonts w:cs="Calibri"/>
          <w:b/>
          <w:highlight w:val="green"/>
          <w:u w:val="single"/>
        </w:rPr>
        <w:t>This yields a temptation to fall back on the</w:t>
      </w:r>
      <w:r w:rsidRPr="00496CF0">
        <w:rPr>
          <w:rFonts w:cs="Calibri"/>
          <w:b/>
          <w:u w:val="single"/>
        </w:rPr>
        <w:t xml:space="preserve"> power of ‘the </w:t>
      </w:r>
      <w:r w:rsidRPr="00496CF0">
        <w:rPr>
          <w:rFonts w:cs="Calibri"/>
          <w:b/>
          <w:highlight w:val="green"/>
          <w:u w:val="single"/>
        </w:rPr>
        <w:t>powerful’</w:t>
      </w:r>
      <w:r w:rsidRPr="00496CF0">
        <w:rPr>
          <w:rFonts w:cs="Calibri"/>
          <w:b/>
          <w:u w:val="single"/>
        </w:rPr>
        <w:t>, those who gain a kind of distorted agency through alienation.</w:t>
      </w:r>
      <w:r w:rsidRPr="00496CF0">
        <w:rPr>
          <w:rFonts w:cs="Calibri"/>
          <w:sz w:val="12"/>
        </w:rPr>
        <w:t xml:space="preserve"> But powerlessness and constituted power are both effects of alienation, which can be broken down by creating affinity-network forms of life. An emotional shift can thus be enough to </w:t>
      </w:r>
      <w:proofErr w:type="spellStart"/>
      <w:r w:rsidRPr="00496CF0">
        <w:rPr>
          <w:rFonts w:cs="Calibri"/>
          <w:sz w:val="12"/>
        </w:rPr>
        <w:t>revolutionise</w:t>
      </w:r>
      <w:proofErr w:type="spellEnd"/>
      <w:r w:rsidRPr="00496CF0">
        <w:rPr>
          <w:rFonts w:cs="Calibri"/>
          <w:sz w:val="12"/>
        </w:rPr>
        <w:t xml:space="preserve"> subjectivities. Hence, as </w:t>
      </w:r>
      <w:proofErr w:type="spellStart"/>
      <w:r w:rsidRPr="00496CF0">
        <w:rPr>
          <w:rFonts w:cs="Calibri"/>
          <w:sz w:val="12"/>
        </w:rPr>
        <w:t>Vaneigem</w:t>
      </w:r>
      <w:proofErr w:type="spellEnd"/>
      <w:r w:rsidRPr="00496CF0">
        <w:rPr>
          <w:rFonts w:cs="Calibri"/>
          <w:sz w:val="12"/>
        </w:rPr>
        <w:t xml:space="preserve"> argues, ‘[t]o work for delight and authentic festivity is barely distinguishable from preparing for a general insurrection’ (</w:t>
      </w:r>
      <w:proofErr w:type="spellStart"/>
      <w:r w:rsidRPr="00496CF0">
        <w:rPr>
          <w:rFonts w:cs="Calibri"/>
          <w:sz w:val="12"/>
        </w:rPr>
        <w:t>Vaneigem</w:t>
      </w:r>
      <w:proofErr w:type="spellEnd"/>
      <w:r w:rsidRPr="00496CF0">
        <w:rPr>
          <w:rFonts w:cs="Calibri"/>
          <w:sz w:val="12"/>
        </w:rPr>
        <w:t xml:space="preserve"> 1967: 50-1). It has been argued in utopian studies that fear and hope form part of a </w:t>
      </w:r>
      <w:proofErr w:type="spellStart"/>
      <w:r w:rsidRPr="00496CF0">
        <w:rPr>
          <w:rFonts w:cs="Calibri"/>
          <w:sz w:val="12"/>
        </w:rPr>
        <w:t>coxntinuum</w:t>
      </w:r>
      <w:proofErr w:type="spellEnd"/>
      <w:r w:rsidRPr="00496CF0">
        <w:rPr>
          <w:rFonts w:cs="Calibri"/>
          <w:sz w:val="12"/>
        </w:rPr>
        <w:t xml:space="preserve">, expressing ‘aspects of affective ambivalence’ connected to the indeterminacy of the future (McManus 2005). </w:t>
      </w:r>
      <w:r w:rsidRPr="00496CF0">
        <w:rPr>
          <w:rFonts w:cs="Calibri"/>
          <w:b/>
          <w:u w:val="single"/>
        </w:rPr>
        <w:t xml:space="preserve">The type of hope needed is active and immanent, brought into the present as a propulsive force rather than deferred to the future. Deleuze and </w:t>
      </w:r>
      <w:proofErr w:type="spellStart"/>
      <w:r w:rsidRPr="00496CF0">
        <w:rPr>
          <w:rFonts w:cs="Calibri"/>
          <w:b/>
          <w:u w:val="single"/>
        </w:rPr>
        <w:t>Guattari</w:t>
      </w:r>
      <w:proofErr w:type="spellEnd"/>
      <w:r w:rsidRPr="00496CF0">
        <w:rPr>
          <w:rFonts w:cs="Calibri"/>
          <w:b/>
          <w:u w:val="single"/>
        </w:rPr>
        <w:t xml:space="preserve"> use the term ‘absolute </w:t>
      </w:r>
      <w:proofErr w:type="spellStart"/>
      <w:r w:rsidRPr="00496CF0">
        <w:rPr>
          <w:rFonts w:cs="Calibri"/>
          <w:b/>
          <w:u w:val="single"/>
        </w:rPr>
        <w:t>deterritorialisation</w:t>
      </w:r>
      <w:proofErr w:type="spellEnd"/>
      <w:r w:rsidRPr="00496CF0">
        <w:rPr>
          <w:rFonts w:cs="Calibri"/>
          <w:b/>
          <w:u w:val="single"/>
        </w:rPr>
        <w:t>’ for this possibility.</w:t>
      </w:r>
      <w:r w:rsidRPr="00496CF0">
        <w:rPr>
          <w:rFonts w:cs="Calibri"/>
          <w:sz w:val="12"/>
        </w:rPr>
        <w:t xml:space="preserve"> In his work on conflict transformation, John Paul </w:t>
      </w:r>
      <w:proofErr w:type="spellStart"/>
      <w:r w:rsidRPr="00496CF0">
        <w:rPr>
          <w:rFonts w:cs="Calibri"/>
          <w:sz w:val="12"/>
        </w:rPr>
        <w:t>Lederach</w:t>
      </w:r>
      <w:proofErr w:type="spellEnd"/>
      <w:r w:rsidRPr="00496CF0">
        <w:rPr>
          <w:rFonts w:cs="Calibri"/>
          <w:sz w:val="12"/>
        </w:rPr>
        <w:t xml:space="preserve"> </w:t>
      </w:r>
      <w:proofErr w:type="spellStart"/>
      <w:r w:rsidRPr="00496CF0">
        <w:rPr>
          <w:rFonts w:cs="Calibri"/>
          <w:sz w:val="12"/>
        </w:rPr>
        <w:t>emphasises</w:t>
      </w:r>
      <w:proofErr w:type="spellEnd"/>
      <w:r w:rsidRPr="00496CF0">
        <w:rPr>
          <w:rFonts w:cs="Calibri"/>
          <w:sz w:val="12"/>
        </w:rPr>
        <w:t xml:space="preserve"> the need to turn negative energies into creative energies and </w:t>
      </w:r>
      <w:proofErr w:type="spellStart"/>
      <w:r w:rsidRPr="00496CF0">
        <w:rPr>
          <w:rFonts w:cs="Calibri"/>
          <w:sz w:val="12"/>
        </w:rPr>
        <w:t>mobilising</w:t>
      </w:r>
      <w:proofErr w:type="spellEnd"/>
      <w:r w:rsidRPr="00496CF0">
        <w:rPr>
          <w:rFonts w:cs="Calibri"/>
          <w:sz w:val="12"/>
        </w:rPr>
        <w:t xml:space="preserve"> hope against fear (</w:t>
      </w:r>
      <w:proofErr w:type="spellStart"/>
      <w:r w:rsidRPr="00496CF0">
        <w:rPr>
          <w:rFonts w:cs="Calibri"/>
          <w:sz w:val="12"/>
        </w:rPr>
        <w:t>Lederach</w:t>
      </w:r>
      <w:proofErr w:type="spellEnd"/>
      <w:r w:rsidRPr="00496CF0">
        <w:rPr>
          <w:rFonts w:cs="Calibri"/>
          <w:sz w:val="12"/>
        </w:rPr>
        <w:t xml:space="preserve"> and </w:t>
      </w:r>
      <w:proofErr w:type="spellStart"/>
      <w:r w:rsidRPr="00496CF0">
        <w:rPr>
          <w:rFonts w:cs="Calibri"/>
          <w:sz w:val="12"/>
        </w:rPr>
        <w:t>Maiese</w:t>
      </w:r>
      <w:proofErr w:type="spellEnd"/>
      <w:r w:rsidRPr="00496CF0">
        <w:rPr>
          <w:rFonts w:cs="Calibri"/>
          <w:sz w:val="12"/>
        </w:rPr>
        <w:t xml:space="preserve">, n.d.: 2-3; </w:t>
      </w:r>
      <w:proofErr w:type="spellStart"/>
      <w:r w:rsidRPr="00496CF0">
        <w:rPr>
          <w:rFonts w:cs="Calibri"/>
          <w:sz w:val="12"/>
        </w:rPr>
        <w:t>Lederach</w:t>
      </w:r>
      <w:proofErr w:type="spellEnd"/>
      <w:r w:rsidRPr="00496CF0">
        <w:rPr>
          <w:rFonts w:cs="Calibri"/>
          <w:sz w:val="12"/>
        </w:rPr>
        <w:t xml:space="preserve">, 2005). </w:t>
      </w:r>
      <w:r w:rsidRPr="00496CF0">
        <w:rPr>
          <w:rFonts w:cs="Calibri"/>
          <w:b/>
          <w:u w:val="single"/>
        </w:rPr>
        <w:t xml:space="preserve">How is this change in vital energies to be accomplished? Deleuze and </w:t>
      </w:r>
      <w:proofErr w:type="spellStart"/>
      <w:r w:rsidRPr="00496CF0">
        <w:rPr>
          <w:rFonts w:cs="Calibri"/>
          <w:b/>
          <w:u w:val="single"/>
        </w:rPr>
        <w:t>Guattari</w:t>
      </w:r>
      <w:proofErr w:type="spellEnd"/>
      <w:r w:rsidRPr="00496CF0">
        <w:rPr>
          <w:rFonts w:cs="Calibri"/>
          <w:b/>
          <w:u w:val="single"/>
        </w:rPr>
        <w:t xml:space="preserve"> invoke a figure of the shaman as a way to overcome reactive energies</w:t>
      </w:r>
      <w:r w:rsidRPr="00496CF0">
        <w:rPr>
          <w:rFonts w:cs="Calibri"/>
          <w:sz w:val="12"/>
        </w:rPr>
        <w:t xml:space="preserve"> (1983: 167-8). </w:t>
      </w:r>
      <w:r w:rsidRPr="00496CF0">
        <w:rPr>
          <w:rFonts w:cs="Calibri"/>
          <w:b/>
          <w:u w:val="single"/>
        </w:rPr>
        <w:t xml:space="preserve">They call for </w:t>
      </w:r>
      <w:r w:rsidRPr="00496CF0">
        <w:rPr>
          <w:rFonts w:cs="Calibri"/>
          <w:b/>
          <w:highlight w:val="green"/>
          <w:u w:val="single"/>
        </w:rPr>
        <w:t>a</w:t>
      </w:r>
      <w:r w:rsidRPr="00496CF0">
        <w:rPr>
          <w:rFonts w:cs="Calibri"/>
          <w:b/>
          <w:u w:val="single"/>
        </w:rPr>
        <w:t xml:space="preserve"> type of </w:t>
      </w:r>
      <w:r w:rsidRPr="00496CF0">
        <w:rPr>
          <w:rFonts w:cs="Calibri"/>
          <w:b/>
          <w:highlight w:val="green"/>
          <w:u w:val="single"/>
        </w:rPr>
        <w:t>revolutionary social movement</w:t>
      </w:r>
      <w:r w:rsidRPr="00496CF0">
        <w:rPr>
          <w:rFonts w:cs="Calibri"/>
          <w:b/>
          <w:u w:val="single"/>
        </w:rPr>
        <w:t xml:space="preserve"> ‘that </w:t>
      </w:r>
      <w:r w:rsidRPr="00496CF0">
        <w:rPr>
          <w:rFonts w:cs="Calibri"/>
          <w:b/>
          <w:highlight w:val="green"/>
          <w:u w:val="single"/>
        </w:rPr>
        <w:t>follows the lines of escape of desire</w:t>
      </w:r>
      <w:r w:rsidRPr="00496CF0">
        <w:rPr>
          <w:rFonts w:cs="Calibri"/>
          <w:b/>
          <w:u w:val="single"/>
        </w:rPr>
        <w:t xml:space="preserve">; breaches the wall </w:t>
      </w:r>
      <w:r w:rsidRPr="00496CF0">
        <w:rPr>
          <w:rFonts w:cs="Calibri"/>
          <w:b/>
          <w:highlight w:val="green"/>
          <w:u w:val="single"/>
        </w:rPr>
        <w:t>and causes flows to move</w:t>
      </w:r>
      <w:r w:rsidRPr="00496CF0">
        <w:rPr>
          <w:rFonts w:cs="Calibri"/>
          <w:b/>
          <w:u w:val="single"/>
        </w:rPr>
        <w:t xml:space="preserve">; assembles its machines and its groups-in-fusion in the enclaves or at the periphery’, </w:t>
      </w:r>
      <w:r w:rsidRPr="00496CF0">
        <w:rPr>
          <w:rFonts w:cs="Calibri"/>
          <w:b/>
          <w:highlight w:val="green"/>
          <w:u w:val="single"/>
        </w:rPr>
        <w:t>countering reactive energies</w:t>
      </w:r>
      <w:r w:rsidRPr="00496CF0">
        <w:rPr>
          <w:rFonts w:cs="Calibri"/>
          <w:sz w:val="12"/>
        </w:rPr>
        <w:t xml:space="preserve"> (ibid. 277). </w:t>
      </w:r>
      <w:r w:rsidRPr="00496CF0">
        <w:rPr>
          <w:rFonts w:cs="Calibri"/>
          <w:sz w:val="12"/>
          <w:szCs w:val="12"/>
        </w:rPr>
        <w:t xml:space="preserve">In looking at how this might operate in practice, let us examine briefly the Colombian feminist anti-militarist group La </w:t>
      </w:r>
      <w:proofErr w:type="spellStart"/>
      <w:r w:rsidRPr="00496CF0">
        <w:rPr>
          <w:rFonts w:cs="Calibri"/>
          <w:sz w:val="12"/>
          <w:szCs w:val="12"/>
        </w:rPr>
        <w:t>Ruta</w:t>
      </w:r>
      <w:proofErr w:type="spellEnd"/>
      <w:r w:rsidRPr="00496CF0">
        <w:rPr>
          <w:rFonts w:cs="Calibri"/>
          <w:sz w:val="12"/>
          <w:szCs w:val="12"/>
        </w:rPr>
        <w:t xml:space="preserve"> Pacifica de las </w:t>
      </w:r>
      <w:proofErr w:type="spellStart"/>
      <w:r w:rsidRPr="00496CF0">
        <w:rPr>
          <w:rFonts w:cs="Calibri"/>
          <w:sz w:val="12"/>
          <w:szCs w:val="12"/>
        </w:rPr>
        <w:t>Mujeres</w:t>
      </w:r>
      <w:proofErr w:type="spellEnd"/>
      <w:r w:rsidRPr="00496CF0">
        <w:rPr>
          <w:rFonts w:cs="Calibri"/>
          <w:sz w:val="12"/>
          <w:szCs w:val="12"/>
        </w:rPr>
        <w:t xml:space="preserve">. In particular, the aspects of social weaving and collective mourning prominent in their methodology are crucial forms of creative shamanism, which turns fear into hope. Their approach involves ‘the deconstruction of the pervasive symbolism of violence and war and the substitution of a new visual and textual language and creative rituals’ (Cockburn, 2005: 14; Brouwer, 2008: 62). Weaving as a metaphor refers to social </w:t>
      </w:r>
      <w:proofErr w:type="spellStart"/>
      <w:r w:rsidRPr="00496CF0">
        <w:rPr>
          <w:rFonts w:cs="Calibri"/>
          <w:sz w:val="12"/>
          <w:szCs w:val="12"/>
        </w:rPr>
        <w:t>recomposition</w:t>
      </w:r>
      <w:proofErr w:type="spellEnd"/>
      <w:r w:rsidRPr="00496CF0">
        <w:rPr>
          <w:rFonts w:cs="Calibri"/>
          <w:sz w:val="12"/>
          <w:szCs w:val="12"/>
        </w:rPr>
        <w:t>, the reconstruction of affinity; being ‘bound’ through social weaving is believed to control fear. It is taken as a way to counter everyday violence on the frontlines of the ‘war on terror’. Rituals of mourning and weaving are believed by participants to disarm the armed and create invisible connections among participants</w:t>
      </w:r>
      <w:r w:rsidRPr="00496CF0">
        <w:rPr>
          <w:rFonts w:cs="Calibri"/>
          <w:sz w:val="12"/>
        </w:rPr>
        <w:t xml:space="preserve"> (Colorado, 2003). La </w:t>
      </w:r>
      <w:proofErr w:type="spellStart"/>
      <w:r w:rsidRPr="00496CF0">
        <w:rPr>
          <w:rFonts w:cs="Calibri"/>
          <w:sz w:val="12"/>
        </w:rPr>
        <w:t>Ruta</w:t>
      </w:r>
      <w:proofErr w:type="spellEnd"/>
      <w:r w:rsidRPr="00496CF0">
        <w:rPr>
          <w:rFonts w:cs="Calibri"/>
          <w:sz w:val="12"/>
        </w:rPr>
        <w:t xml:space="preserve"> seek to create new combinations of cognitive and emotional elements strong enough to disrupt dominant monologues (Cockburn, 2005: 14). Weaving reconstructs social connections and life-cycles, and thereby enhances wellbeing (ibid. 15). Participants recount inner strength and physical recovery as effects of such rituals (Brouwer, 2008: 85). </w:t>
      </w:r>
      <w:r w:rsidRPr="00496CF0">
        <w:rPr>
          <w:rFonts w:cs="Calibri"/>
          <w:b/>
          <w:u w:val="single"/>
        </w:rPr>
        <w:t xml:space="preserve">Hence, it is in open spaces, safe spaces, and spaces of dialogue that hope can be found to counter the spiral of terror. This opening of space, </w:t>
      </w:r>
      <w:r w:rsidRPr="00496CF0">
        <w:rPr>
          <w:rFonts w:cs="Calibri"/>
          <w:b/>
          <w:highlight w:val="green"/>
          <w:u w:val="single"/>
        </w:rPr>
        <w:t xml:space="preserve">this </w:t>
      </w:r>
      <w:r w:rsidRPr="00496CF0">
        <w:rPr>
          <w:rFonts w:cs="Calibri"/>
          <w:b/>
          <w:u w:val="single"/>
        </w:rPr>
        <w:t xml:space="preserve">creation of autonomous zones, should be viewed as a </w:t>
      </w:r>
      <w:r w:rsidRPr="00496CF0">
        <w:rPr>
          <w:rFonts w:cs="Calibri"/>
          <w:b/>
          <w:highlight w:val="green"/>
          <w:u w:val="single"/>
        </w:rPr>
        <w:t>break with the majoritarian logics of social control</w:t>
      </w:r>
      <w:r w:rsidRPr="00496CF0">
        <w:rPr>
          <w:rFonts w:cs="Calibri"/>
          <w:b/>
          <w:u w:val="single"/>
        </w:rPr>
        <w:t xml:space="preserve">. The coming ‘other worlds’ </w:t>
      </w:r>
      <w:proofErr w:type="spellStart"/>
      <w:r w:rsidRPr="00496CF0">
        <w:rPr>
          <w:rFonts w:cs="Calibri"/>
          <w:b/>
          <w:u w:val="single"/>
        </w:rPr>
        <w:t>counterposed</w:t>
      </w:r>
      <w:proofErr w:type="spellEnd"/>
      <w:r w:rsidRPr="00496CF0">
        <w:rPr>
          <w:rFonts w:cs="Calibri"/>
          <w:b/>
          <w:u w:val="single"/>
        </w:rPr>
        <w:t xml:space="preserve"> to the spaces of terror are not an integrated ‘new order’, but rather, a proliferation of smooth spaces in a horizontality without borders. These ‘other worlds’ are being built unconsciously, wherever networks, affinity and hope </w:t>
      </w:r>
      <w:proofErr w:type="spellStart"/>
      <w:r w:rsidRPr="00496CF0">
        <w:rPr>
          <w:rFonts w:cs="Calibri"/>
          <w:b/>
          <w:u w:val="single"/>
        </w:rPr>
        <w:t>counterpose</w:t>
      </w:r>
      <w:proofErr w:type="spellEnd"/>
      <w:r w:rsidRPr="00496CF0">
        <w:rPr>
          <w:rFonts w:cs="Calibri"/>
          <w:b/>
          <w:u w:val="single"/>
        </w:rPr>
        <w:t xml:space="preserve"> themselves to state terror and the desire for fixed identity be it national, ethnic, religious or cultural.</w:t>
      </w:r>
      <w:r w:rsidRPr="00496CF0">
        <w:rPr>
          <w:rFonts w:cs="Calibri"/>
          <w:sz w:val="12"/>
        </w:rPr>
        <w:t xml:space="preserve"> It is in the incommensurable antagonism between the autonomous zones of these ‘other worlds’ and the terror state’s demands for controlled spaces to serve capital, that the nexus of the conflicts of the present and near-future lies. And interestingly, there is also a certain active/reactive difference between state responses in the Turkey and Brazil protests of June 2013.</w:t>
      </w:r>
    </w:p>
    <w:p w:rsidR="00CF1124" w:rsidRPr="00496CF0" w:rsidRDefault="00CF1124" w:rsidP="00CF1124">
      <w:pPr>
        <w:rPr>
          <w:rFonts w:cs="Calibri"/>
        </w:rPr>
      </w:pPr>
    </w:p>
    <w:p w:rsidR="00CF1124" w:rsidRPr="00496CF0" w:rsidRDefault="00CF1124" w:rsidP="00CF1124">
      <w:pPr>
        <w:pStyle w:val="Heading4"/>
        <w:rPr>
          <w:rFonts w:cs="Calibri"/>
        </w:rPr>
      </w:pPr>
      <w:r w:rsidRPr="00496CF0">
        <w:rPr>
          <w:rFonts w:cs="Calibri"/>
        </w:rPr>
        <w:t>Thus, the standard</w:t>
      </w:r>
      <w:r>
        <w:rPr>
          <w:rFonts w:cs="Calibri"/>
        </w:rPr>
        <w:t xml:space="preserve"> and </w:t>
      </w:r>
      <w:r w:rsidRPr="00496CF0">
        <w:rPr>
          <w:rFonts w:cs="Calibri"/>
        </w:rPr>
        <w:t xml:space="preserve">role of the ballot is to embrace active desire. Modern education is structured by majoritarian thought that reproduces dominant hierarchies – the school is made to capture difference and make it measurable, killing possibilities for resistance. </w:t>
      </w:r>
    </w:p>
    <w:p w:rsidR="00CF1124" w:rsidRPr="00496CF0" w:rsidRDefault="00CF1124" w:rsidP="00CF1124">
      <w:pPr>
        <w:pStyle w:val="Heading4"/>
        <w:rPr>
          <w:rFonts w:cs="Calibri"/>
        </w:rPr>
      </w:pPr>
      <w:r w:rsidRPr="00496CF0">
        <w:rPr>
          <w:rFonts w:cs="Calibri"/>
        </w:rPr>
        <w:t xml:space="preserve">Carlin and </w:t>
      </w:r>
      <w:proofErr w:type="spellStart"/>
      <w:r w:rsidRPr="00496CF0">
        <w:rPr>
          <w:rFonts w:cs="Calibri"/>
        </w:rPr>
        <w:t>Wallin</w:t>
      </w:r>
      <w:proofErr w:type="spellEnd"/>
      <w:r w:rsidRPr="00496CF0">
        <w:rPr>
          <w:rFonts w:cs="Calibri"/>
        </w:rPr>
        <w:t xml:space="preserve"> 14</w:t>
      </w:r>
    </w:p>
    <w:p w:rsidR="00CF1124" w:rsidRPr="00496CF0" w:rsidRDefault="00CF1124" w:rsidP="00CF1124">
      <w:pPr>
        <w:pStyle w:val="NoSpacing"/>
        <w:rPr>
          <w:rFonts w:cs="Calibri"/>
        </w:rPr>
      </w:pPr>
      <w:r w:rsidRPr="00496CF0">
        <w:rPr>
          <w:rFonts w:cs="Calibri"/>
          <w:sz w:val="16"/>
          <w:szCs w:val="16"/>
        </w:rPr>
        <w:t xml:space="preserve">[Carlin, Matthew. </w:t>
      </w:r>
      <w:proofErr w:type="spellStart"/>
      <w:r w:rsidRPr="00496CF0">
        <w:rPr>
          <w:rFonts w:cs="Calibri"/>
          <w:sz w:val="16"/>
          <w:szCs w:val="16"/>
        </w:rPr>
        <w:t>Wallin</w:t>
      </w:r>
      <w:proofErr w:type="spellEnd"/>
      <w:r w:rsidRPr="00496CF0">
        <w:rPr>
          <w:rFonts w:cs="Calibri"/>
          <w:sz w:val="16"/>
          <w:szCs w:val="16"/>
        </w:rPr>
        <w:t xml:space="preserve">, Jason. “Deleuze &amp; </w:t>
      </w:r>
      <w:proofErr w:type="spellStart"/>
      <w:r w:rsidRPr="00496CF0">
        <w:rPr>
          <w:rFonts w:cs="Calibri"/>
          <w:sz w:val="16"/>
          <w:szCs w:val="16"/>
        </w:rPr>
        <w:t>Guattari</w:t>
      </w:r>
      <w:proofErr w:type="spellEnd"/>
      <w:r w:rsidRPr="00496CF0">
        <w:rPr>
          <w:rFonts w:cs="Calibri"/>
          <w:sz w:val="16"/>
          <w:szCs w:val="16"/>
        </w:rPr>
        <w:t>, Politics and Education.” Bloomsbury. 2014. Pg. 119-121] MK</w:t>
      </w:r>
    </w:p>
    <w:p w:rsidR="00CF1124" w:rsidRDefault="00CF1124" w:rsidP="00CF1124">
      <w:pPr>
        <w:spacing w:line="240" w:lineRule="auto"/>
        <w:rPr>
          <w:rFonts w:eastAsia="Georgia" w:cs="Calibri"/>
          <w:color w:val="000000" w:themeColor="text1"/>
          <w:sz w:val="12"/>
          <w:szCs w:val="12"/>
        </w:rPr>
      </w:pPr>
      <w:r w:rsidRPr="00496CF0">
        <w:rPr>
          <w:rFonts w:eastAsia="Georgia" w:cs="Calibri"/>
          <w:color w:val="000000" w:themeColor="text1"/>
          <w:sz w:val="12"/>
          <w:szCs w:val="12"/>
        </w:rPr>
        <w:t>As a social machine through which ‘</w:t>
      </w:r>
      <w:proofErr w:type="spellStart"/>
      <w:r w:rsidRPr="00496CF0">
        <w:rPr>
          <w:rFonts w:eastAsia="Georgia" w:cs="Calibri"/>
          <w:color w:val="000000" w:themeColor="text1"/>
          <w:sz w:val="12"/>
          <w:szCs w:val="12"/>
        </w:rPr>
        <w:t>labour</w:t>
      </w:r>
      <w:proofErr w:type="spellEnd"/>
      <w:r w:rsidRPr="00496CF0">
        <w:rPr>
          <w:rFonts w:eastAsia="Georgia" w:cs="Calibri"/>
          <w:color w:val="000000" w:themeColor="text1"/>
          <w:sz w:val="12"/>
          <w:szCs w:val="12"/>
        </w:rPr>
        <w:t xml:space="preserve"> power and the </w:t>
      </w:r>
      <w:proofErr w:type="spellStart"/>
      <w:r w:rsidRPr="00496CF0">
        <w:rPr>
          <w:rFonts w:eastAsia="Georgia" w:cs="Calibri"/>
          <w:color w:val="000000" w:themeColor="text1"/>
          <w:sz w:val="12"/>
          <w:szCs w:val="12"/>
        </w:rPr>
        <w:t>socius</w:t>
      </w:r>
      <w:proofErr w:type="spellEnd"/>
      <w:r w:rsidRPr="00496CF0">
        <w:rPr>
          <w:rFonts w:eastAsia="Georgia" w:cs="Calibri"/>
          <w:color w:val="000000" w:themeColor="text1"/>
          <w:sz w:val="12"/>
          <w:szCs w:val="12"/>
        </w:rPr>
        <w:t xml:space="preserve"> as a whole is manufactured’, schooling figures in the production of social territories that already anticipate a certain kind of people (</w:t>
      </w:r>
      <w:proofErr w:type="spellStart"/>
      <w:r w:rsidRPr="00496CF0">
        <w:rPr>
          <w:rFonts w:eastAsia="Georgia" w:cs="Calibri"/>
          <w:color w:val="000000" w:themeColor="text1"/>
          <w:sz w:val="12"/>
          <w:szCs w:val="12"/>
        </w:rPr>
        <w:t>Guattari</w:t>
      </w:r>
      <w:proofErr w:type="spellEnd"/>
      <w:r w:rsidRPr="00496CF0">
        <w:rPr>
          <w:rFonts w:eastAsia="Georgia" w:cs="Calibri"/>
          <w:color w:val="000000" w:themeColor="text1"/>
          <w:sz w:val="12"/>
          <w:szCs w:val="12"/>
        </w:rPr>
        <w:t xml:space="preserve">, 2009, p. 47). And what kind of people does orthodox schooling seek to produce but a ‘molar public’, or, rather, a public regulated in the abstract image of </w:t>
      </w:r>
      <w:proofErr w:type="spellStart"/>
      <w:r w:rsidRPr="00496CF0">
        <w:rPr>
          <w:rFonts w:eastAsia="Georgia" w:cs="Calibri"/>
          <w:color w:val="000000" w:themeColor="text1"/>
          <w:sz w:val="12"/>
          <w:szCs w:val="12"/>
        </w:rPr>
        <w:t>segmentary</w:t>
      </w:r>
      <w:proofErr w:type="spellEnd"/>
      <w:r w:rsidRPr="00496CF0">
        <w:rPr>
          <w:rFonts w:eastAsia="Georgia" w:cs="Calibri"/>
          <w:color w:val="000000" w:themeColor="text1"/>
          <w:sz w:val="12"/>
          <w:szCs w:val="12"/>
        </w:rPr>
        <w:t xml:space="preserve"> social categories (age, gender, ethnicity, class, rank, achievement) (Deleuze and </w:t>
      </w:r>
      <w:proofErr w:type="spellStart"/>
      <w:r w:rsidRPr="00496CF0">
        <w:rPr>
          <w:rFonts w:eastAsia="Georgia" w:cs="Calibri"/>
          <w:color w:val="000000" w:themeColor="text1"/>
          <w:sz w:val="12"/>
          <w:szCs w:val="12"/>
        </w:rPr>
        <w:t>Guattari</w:t>
      </w:r>
      <w:proofErr w:type="spellEnd"/>
      <w:r w:rsidRPr="00496CF0">
        <w:rPr>
          <w:rFonts w:eastAsia="Georgia" w:cs="Calibri"/>
          <w:color w:val="000000" w:themeColor="text1"/>
          <w:sz w:val="12"/>
          <w:szCs w:val="12"/>
        </w:rPr>
        <w:t xml:space="preserve">, 1987)? Such an aspiration is intimately wed to the territorializing powers of the State, for as Deleuze and </w:t>
      </w:r>
      <w:proofErr w:type="spellStart"/>
      <w:r w:rsidRPr="00496CF0">
        <w:rPr>
          <w:rFonts w:eastAsia="Georgia" w:cs="Calibri"/>
          <w:color w:val="000000" w:themeColor="text1"/>
          <w:sz w:val="12"/>
          <w:szCs w:val="12"/>
        </w:rPr>
        <w:t>Guattari</w:t>
      </w:r>
      <w:proofErr w:type="spellEnd"/>
      <w:r w:rsidRPr="00496CF0">
        <w:rPr>
          <w:rFonts w:eastAsia="Georgia" w:cs="Calibri"/>
          <w:color w:val="000000" w:themeColor="text1"/>
          <w:sz w:val="12"/>
          <w:szCs w:val="12"/>
        </w:rPr>
        <w:t xml:space="preserve"> argue (1983), State power first requires a ‘representational subject’ as both an abstract and unconscious model in relation to which one is taught to desire. As </w:t>
      </w:r>
      <w:proofErr w:type="spellStart"/>
      <w:r w:rsidRPr="00496CF0">
        <w:rPr>
          <w:rFonts w:eastAsia="Georgia" w:cs="Calibri"/>
          <w:color w:val="000000" w:themeColor="text1"/>
          <w:sz w:val="12"/>
          <w:szCs w:val="12"/>
        </w:rPr>
        <w:t>Massumi</w:t>
      </w:r>
      <w:proofErr w:type="spellEnd"/>
      <w:r w:rsidRPr="00496CF0">
        <w:rPr>
          <w:rFonts w:eastAsia="Georgia" w:cs="Calibri"/>
          <w:color w:val="000000" w:themeColor="text1"/>
          <w:sz w:val="12"/>
          <w:szCs w:val="12"/>
        </w:rPr>
        <w:t xml:space="preserve"> (2002) writes, </w:t>
      </w:r>
      <w:r w:rsidRPr="00496CF0">
        <w:rPr>
          <w:rFonts w:eastAsia="Georgia" w:cs="Calibri"/>
          <w:color w:val="000000" w:themeColor="text1"/>
        </w:rPr>
        <w:t>‘</w:t>
      </w:r>
      <w:r w:rsidRPr="00496CF0">
        <w:rPr>
          <w:rFonts w:eastAsia="Georgia" w:cs="Calibri"/>
          <w:b/>
          <w:bCs/>
          <w:color w:val="000000" w:themeColor="text1"/>
          <w:highlight w:val="green"/>
          <w:u w:val="single"/>
        </w:rPr>
        <w:t>the subject is made to</w:t>
      </w:r>
      <w:r w:rsidRPr="00496CF0">
        <w:rPr>
          <w:rFonts w:eastAsia="Georgia" w:cs="Calibri"/>
          <w:b/>
          <w:bCs/>
          <w:color w:val="000000" w:themeColor="text1"/>
          <w:u w:val="single"/>
        </w:rPr>
        <w:t xml:space="preserve"> be in </w:t>
      </w:r>
      <w:r w:rsidRPr="00496CF0">
        <w:rPr>
          <w:rFonts w:eastAsia="Georgia" w:cs="Calibri"/>
          <w:b/>
          <w:bCs/>
          <w:color w:val="000000" w:themeColor="text1"/>
          <w:highlight w:val="green"/>
          <w:u w:val="single"/>
        </w:rPr>
        <w:t>conform</w:t>
      </w:r>
      <w:r w:rsidRPr="00496CF0">
        <w:rPr>
          <w:rFonts w:eastAsia="Georgia" w:cs="Calibri"/>
          <w:b/>
          <w:bCs/>
          <w:color w:val="000000" w:themeColor="text1"/>
          <w:u w:val="single"/>
        </w:rPr>
        <w:t xml:space="preserve">ity </w:t>
      </w:r>
      <w:r w:rsidRPr="00496CF0">
        <w:rPr>
          <w:rFonts w:eastAsia="Georgia" w:cs="Calibri"/>
          <w:b/>
          <w:bCs/>
          <w:color w:val="000000" w:themeColor="text1"/>
          <w:highlight w:val="green"/>
          <w:u w:val="single"/>
        </w:rPr>
        <w:t xml:space="preserve">with </w:t>
      </w:r>
      <w:r w:rsidRPr="00496CF0">
        <w:rPr>
          <w:rFonts w:eastAsia="Georgia" w:cs="Calibri"/>
          <w:b/>
          <w:bCs/>
          <w:color w:val="000000" w:themeColor="text1"/>
          <w:u w:val="single"/>
        </w:rPr>
        <w:t xml:space="preserve">the </w:t>
      </w:r>
      <w:r w:rsidRPr="00496CF0">
        <w:rPr>
          <w:rFonts w:eastAsia="Georgia" w:cs="Calibri"/>
          <w:b/>
          <w:bCs/>
          <w:color w:val="000000" w:themeColor="text1"/>
          <w:highlight w:val="green"/>
          <w:u w:val="single"/>
        </w:rPr>
        <w:t>systems that produces it</w:t>
      </w:r>
      <w:r w:rsidRPr="00496CF0">
        <w:rPr>
          <w:rFonts w:eastAsia="Georgia" w:cs="Calibri"/>
          <w:b/>
          <w:bCs/>
          <w:color w:val="000000" w:themeColor="text1"/>
          <w:u w:val="single"/>
        </w:rPr>
        <w:t>, such that the subject reproduces the system’</w:t>
      </w:r>
      <w:r w:rsidRPr="00496CF0">
        <w:rPr>
          <w:rFonts w:eastAsia="Georgia" w:cs="Calibri"/>
          <w:color w:val="000000" w:themeColor="text1"/>
        </w:rPr>
        <w:t xml:space="preserve"> </w:t>
      </w:r>
      <w:r w:rsidRPr="00496CF0">
        <w:rPr>
          <w:rFonts w:eastAsia="Georgia" w:cs="Calibri"/>
          <w:color w:val="000000" w:themeColor="text1"/>
          <w:sz w:val="12"/>
          <w:szCs w:val="12"/>
        </w:rPr>
        <w:t>(p. 6). Where</w:t>
      </w:r>
      <w:r w:rsidRPr="00496CF0">
        <w:rPr>
          <w:rFonts w:eastAsia="Georgia" w:cs="Calibri"/>
          <w:color w:val="000000" w:themeColor="text1"/>
        </w:rPr>
        <w:t xml:space="preserve"> </w:t>
      </w:r>
      <w:r w:rsidRPr="00496CF0">
        <w:rPr>
          <w:rFonts w:eastAsia="Georgia" w:cs="Calibri"/>
          <w:b/>
          <w:bCs/>
          <w:color w:val="000000" w:themeColor="text1"/>
          <w:highlight w:val="green"/>
          <w:u w:val="single"/>
        </w:rPr>
        <w:t>education has</w:t>
      </w:r>
      <w:r w:rsidRPr="00496CF0">
        <w:rPr>
          <w:rFonts w:eastAsia="Georgia" w:cs="Calibri"/>
          <w:b/>
          <w:bCs/>
          <w:color w:val="000000" w:themeColor="text1"/>
          <w:u w:val="single"/>
        </w:rPr>
        <w:t xml:space="preserve"> historically </w:t>
      </w:r>
      <w:r w:rsidRPr="00496CF0">
        <w:rPr>
          <w:rFonts w:eastAsia="Georgia" w:cs="Calibri"/>
          <w:b/>
          <w:bCs/>
          <w:color w:val="000000" w:themeColor="text1"/>
          <w:highlight w:val="green"/>
          <w:u w:val="single"/>
        </w:rPr>
        <w:t>functioned to regulate</w:t>
      </w:r>
      <w:r w:rsidRPr="00496CF0">
        <w:rPr>
          <w:rFonts w:eastAsia="Georgia" w:cs="Calibri"/>
          <w:b/>
          <w:bCs/>
          <w:color w:val="000000" w:themeColor="text1"/>
          <w:u w:val="single"/>
        </w:rPr>
        <w:t xml:space="preserve"> institutional </w:t>
      </w:r>
      <w:r w:rsidRPr="00496CF0">
        <w:rPr>
          <w:rFonts w:eastAsia="Georgia" w:cs="Calibri"/>
          <w:b/>
          <w:bCs/>
          <w:color w:val="000000" w:themeColor="text1"/>
          <w:highlight w:val="green"/>
          <w:u w:val="single"/>
        </w:rPr>
        <w:t>life according to</w:t>
      </w:r>
      <w:r w:rsidRPr="00496CF0">
        <w:rPr>
          <w:rFonts w:eastAsia="Georgia" w:cs="Calibri"/>
          <w:b/>
          <w:bCs/>
          <w:color w:val="000000" w:themeColor="text1"/>
          <w:u w:val="single"/>
        </w:rPr>
        <w:t xml:space="preserve"> such </w:t>
      </w:r>
      <w:proofErr w:type="spellStart"/>
      <w:r w:rsidRPr="00496CF0">
        <w:rPr>
          <w:rFonts w:eastAsia="Georgia" w:cs="Calibri"/>
          <w:b/>
          <w:bCs/>
          <w:color w:val="000000" w:themeColor="text1"/>
          <w:u w:val="single"/>
        </w:rPr>
        <w:t>segmentary</w:t>
      </w:r>
      <w:proofErr w:type="spellEnd"/>
      <w:r w:rsidRPr="00496CF0">
        <w:rPr>
          <w:rFonts w:eastAsia="Georgia" w:cs="Calibri"/>
          <w:b/>
          <w:bCs/>
          <w:color w:val="000000" w:themeColor="text1"/>
          <w:u w:val="single"/>
        </w:rPr>
        <w:t xml:space="preserve"> molar codes, </w:t>
      </w:r>
      <w:r w:rsidRPr="00496CF0">
        <w:rPr>
          <w:rFonts w:eastAsia="Georgia" w:cs="Calibri"/>
          <w:b/>
          <w:bCs/>
          <w:color w:val="000000" w:themeColor="text1"/>
          <w:highlight w:val="green"/>
          <w:u w:val="single"/>
        </w:rPr>
        <w:t xml:space="preserve">its </w:t>
      </w:r>
      <w:r w:rsidRPr="00496CF0">
        <w:rPr>
          <w:rFonts w:eastAsia="Georgia" w:cs="Calibri"/>
          <w:color w:val="000000" w:themeColor="text1"/>
          <w:sz w:val="12"/>
          <w:szCs w:val="12"/>
        </w:rPr>
        <w:t>modes of production have taken as their teleological</w:t>
      </w:r>
      <w:r w:rsidRPr="00496CF0">
        <w:rPr>
          <w:rFonts w:eastAsia="Georgia" w:cs="Calibri"/>
          <w:color w:val="000000" w:themeColor="text1"/>
        </w:rPr>
        <w:t xml:space="preserve"> </w:t>
      </w:r>
      <w:r w:rsidRPr="00496CF0">
        <w:rPr>
          <w:rFonts w:eastAsia="Georgia" w:cs="Calibri"/>
          <w:b/>
          <w:bCs/>
          <w:color w:val="000000" w:themeColor="text1"/>
          <w:highlight w:val="green"/>
          <w:u w:val="single"/>
        </w:rPr>
        <w:t>goal</w:t>
      </w:r>
      <w:r w:rsidRPr="00496CF0">
        <w:rPr>
          <w:rFonts w:eastAsia="Georgia" w:cs="Calibri"/>
          <w:color w:val="000000" w:themeColor="text1"/>
          <w:highlight w:val="green"/>
        </w:rPr>
        <w:t xml:space="preserve"> </w:t>
      </w:r>
      <w:r w:rsidRPr="00496CF0">
        <w:rPr>
          <w:rFonts w:eastAsia="Georgia" w:cs="Calibri"/>
          <w:color w:val="000000" w:themeColor="text1"/>
          <w:sz w:val="12"/>
          <w:szCs w:val="12"/>
        </w:rPr>
        <w:t xml:space="preserve">the </w:t>
      </w:r>
      <w:r w:rsidRPr="00496CF0">
        <w:rPr>
          <w:rFonts w:eastAsia="Georgia" w:cs="Calibri"/>
          <w:b/>
          <w:bCs/>
          <w:color w:val="000000" w:themeColor="text1"/>
          <w:u w:val="single"/>
        </w:rPr>
        <w:t xml:space="preserve">production </w:t>
      </w:r>
      <w:r w:rsidRPr="00496CF0">
        <w:rPr>
          <w:rFonts w:eastAsia="Georgia" w:cs="Calibri"/>
          <w:b/>
          <w:bCs/>
          <w:color w:val="000000" w:themeColor="text1"/>
          <w:highlight w:val="green"/>
          <w:u w:val="single"/>
        </w:rPr>
        <w:t>of a ‘majoritarian people’</w:t>
      </w:r>
      <w:r w:rsidRPr="00496CF0">
        <w:rPr>
          <w:rFonts w:eastAsia="Georgia" w:cs="Calibri"/>
          <w:color w:val="000000" w:themeColor="text1"/>
        </w:rPr>
        <w:t>,</w:t>
      </w:r>
      <w:r w:rsidRPr="00496CF0">
        <w:rPr>
          <w:rFonts w:eastAsia="Georgia" w:cs="Calibri"/>
          <w:color w:val="000000" w:themeColor="text1"/>
          <w:sz w:val="12"/>
          <w:szCs w:val="12"/>
        </w:rPr>
        <w:t xml:space="preserve"> or, more accurately, a people circuited to their representational self-similarity according to State thought. This is, in part, the threat that Aoki (2005) identifies in the planned curriculum and its projection of an abstract essentialism upon a diversity of concrete educational assemblages (a school, a class, a curriculum, etc.). Apropos Deleuze, Aoki argues that the standardization of education has effectively reduced difference to a matter of difference in degree. That is, in reference to the stratifying power of the planned curriculum, Aoki avers that difference is always-already linked to an abstract image to which pedagogy ought to aspire and in conformity to which its operations become recognizable as ‘education’ per se. Against political action then, orthodox educational thought conceptualizes social life alongside the ‘categories of the Negative’, eschewing difference for conformity, flows for unities, mobile arrangements for totalizing systems (Foucault, 1983, p. xiii). Twisting Deleuze, might we claim that the people are missing in education? That is, where</w:t>
      </w:r>
      <w:r w:rsidRPr="00496CF0">
        <w:rPr>
          <w:rFonts w:eastAsia="Georgia" w:cs="Calibri"/>
          <w:color w:val="000000" w:themeColor="text1"/>
        </w:rPr>
        <w:t xml:space="preserve"> </w:t>
      </w:r>
      <w:r w:rsidRPr="00496CF0">
        <w:rPr>
          <w:rFonts w:eastAsia="Georgia" w:cs="Calibri"/>
          <w:b/>
          <w:bCs/>
          <w:color w:val="000000" w:themeColor="text1"/>
          <w:u w:val="single"/>
        </w:rPr>
        <w:t>education aspires to invest desire in the</w:t>
      </w:r>
      <w:r w:rsidRPr="00496CF0">
        <w:rPr>
          <w:rFonts w:eastAsia="Georgia" w:cs="Calibri"/>
          <w:color w:val="000000" w:themeColor="text1"/>
        </w:rPr>
        <w:t xml:space="preserve"> </w:t>
      </w:r>
      <w:r w:rsidRPr="00496CF0">
        <w:rPr>
          <w:rFonts w:eastAsia="Georgia" w:cs="Calibri"/>
          <w:color w:val="000000" w:themeColor="text1"/>
          <w:sz w:val="12"/>
          <w:szCs w:val="12"/>
        </w:rPr>
        <w:t>production of a ‘</w:t>
      </w:r>
      <w:r w:rsidRPr="00496CF0">
        <w:rPr>
          <w:rFonts w:eastAsia="Georgia" w:cs="Calibri"/>
          <w:b/>
          <w:bCs/>
          <w:color w:val="000000" w:themeColor="text1"/>
          <w:u w:val="single"/>
        </w:rPr>
        <w:t>majoritarian’</w:t>
      </w:r>
      <w:r w:rsidRPr="00496CF0">
        <w:rPr>
          <w:rFonts w:eastAsia="Georgia" w:cs="Calibri"/>
          <w:color w:val="000000" w:themeColor="text1"/>
          <w:sz w:val="12"/>
          <w:szCs w:val="12"/>
        </w:rPr>
        <w:t xml:space="preserve"> or ‘molar’</w:t>
      </w:r>
      <w:r w:rsidRPr="00496CF0">
        <w:rPr>
          <w:rFonts w:eastAsia="Georgia" w:cs="Calibri"/>
          <w:color w:val="000000" w:themeColor="text1"/>
        </w:rPr>
        <w:t xml:space="preserve"> </w:t>
      </w:r>
      <w:r w:rsidRPr="00496CF0">
        <w:rPr>
          <w:rFonts w:eastAsia="Georgia" w:cs="Calibri"/>
          <w:b/>
          <w:bCs/>
          <w:color w:val="000000" w:themeColor="text1"/>
          <w:u w:val="single"/>
        </w:rPr>
        <w:t>public, the prospect of thinking singularities are stayed</w:t>
      </w:r>
      <w:r w:rsidRPr="00496CF0">
        <w:rPr>
          <w:rFonts w:eastAsia="Georgia" w:cs="Calibri"/>
          <w:color w:val="000000" w:themeColor="text1"/>
        </w:rPr>
        <w:t xml:space="preserve">, </w:t>
      </w:r>
      <w:r w:rsidRPr="00496CF0">
        <w:rPr>
          <w:rFonts w:eastAsia="Georgia" w:cs="Calibri"/>
          <w:color w:val="000000" w:themeColor="text1"/>
          <w:sz w:val="12"/>
          <w:szCs w:val="12"/>
        </w:rPr>
        <w:t xml:space="preserve">not only through the paucity of </w:t>
      </w:r>
      <w:proofErr w:type="spellStart"/>
      <w:r w:rsidRPr="00496CF0">
        <w:rPr>
          <w:rFonts w:eastAsia="Georgia" w:cs="Calibri"/>
          <w:color w:val="000000" w:themeColor="text1"/>
          <w:sz w:val="12"/>
          <w:szCs w:val="12"/>
        </w:rPr>
        <w:t>enunciatory</w:t>
      </w:r>
      <w:proofErr w:type="spellEnd"/>
      <w:r w:rsidRPr="00496CF0">
        <w:rPr>
          <w:rFonts w:eastAsia="Georgia" w:cs="Calibri"/>
          <w:color w:val="000000" w:themeColor="text1"/>
        </w:rPr>
        <w:t xml:space="preserve"> </w:t>
      </w:r>
      <w:r w:rsidRPr="00496CF0">
        <w:rPr>
          <w:rFonts w:eastAsia="Georgia" w:cs="Calibri"/>
          <w:b/>
          <w:bCs/>
          <w:color w:val="000000" w:themeColor="text1"/>
          <w:u w:val="single"/>
        </w:rPr>
        <w:t>forms and images available for thinking education</w:t>
      </w:r>
      <w:r w:rsidRPr="00496CF0">
        <w:rPr>
          <w:rFonts w:eastAsia="Georgia" w:cs="Calibri"/>
          <w:color w:val="000000" w:themeColor="text1"/>
        </w:rPr>
        <w:t xml:space="preserve"> </w:t>
      </w:r>
      <w:r w:rsidRPr="00496CF0">
        <w:rPr>
          <w:rFonts w:eastAsia="Georgia" w:cs="Calibri"/>
          <w:color w:val="000000" w:themeColor="text1"/>
          <w:sz w:val="12"/>
          <w:szCs w:val="12"/>
        </w:rPr>
        <w:t>in the first place, but further,</w:t>
      </w:r>
      <w:r w:rsidRPr="00496CF0">
        <w:rPr>
          <w:rFonts w:eastAsia="Georgia" w:cs="Calibri"/>
          <w:color w:val="000000" w:themeColor="text1"/>
        </w:rPr>
        <w:t xml:space="preserve"> </w:t>
      </w:r>
      <w:r w:rsidRPr="00496CF0">
        <w:rPr>
          <w:rFonts w:eastAsia="Georgia" w:cs="Calibri"/>
          <w:b/>
          <w:bCs/>
          <w:color w:val="000000" w:themeColor="text1"/>
          <w:u w:val="single"/>
        </w:rPr>
        <w:t xml:space="preserve">through the organization of the school’s </w:t>
      </w:r>
      <w:proofErr w:type="spellStart"/>
      <w:r w:rsidRPr="00496CF0">
        <w:rPr>
          <w:rFonts w:eastAsia="Georgia" w:cs="Calibri"/>
          <w:b/>
          <w:bCs/>
          <w:color w:val="000000" w:themeColor="text1"/>
          <w:u w:val="single"/>
        </w:rPr>
        <w:t>enunciatory</w:t>
      </w:r>
      <w:proofErr w:type="spellEnd"/>
      <w:r w:rsidRPr="00496CF0">
        <w:rPr>
          <w:rFonts w:eastAsia="Georgia" w:cs="Calibri"/>
          <w:b/>
          <w:bCs/>
          <w:color w:val="000000" w:themeColor="text1"/>
          <w:u w:val="single"/>
        </w:rPr>
        <w:t xml:space="preserve"> machines into vehicles of representation that repeat in </w:t>
      </w:r>
      <w:proofErr w:type="spellStart"/>
      <w:r w:rsidRPr="00496CF0">
        <w:rPr>
          <w:rFonts w:eastAsia="Georgia" w:cs="Calibri"/>
          <w:b/>
          <w:bCs/>
          <w:color w:val="000000" w:themeColor="text1"/>
          <w:u w:val="single"/>
        </w:rPr>
        <w:t>molarizing</w:t>
      </w:r>
      <w:proofErr w:type="spellEnd"/>
      <w:r w:rsidRPr="00496CF0">
        <w:rPr>
          <w:rFonts w:eastAsia="Georgia" w:cs="Calibri"/>
          <w:b/>
          <w:bCs/>
          <w:color w:val="000000" w:themeColor="text1"/>
          <w:u w:val="single"/>
        </w:rPr>
        <w:t xml:space="preserve"> forms of self-reflection</w:t>
      </w:r>
      <w:r w:rsidRPr="00496CF0">
        <w:rPr>
          <w:rFonts w:eastAsia="Georgia" w:cs="Calibri"/>
          <w:color w:val="000000" w:themeColor="text1"/>
        </w:rPr>
        <w:t>, ‘</w:t>
      </w:r>
      <w:r w:rsidRPr="00496CF0">
        <w:rPr>
          <w:rFonts w:eastAsia="Georgia" w:cs="Calibri"/>
          <w:color w:val="000000" w:themeColor="text1"/>
          <w:sz w:val="12"/>
          <w:szCs w:val="12"/>
        </w:rPr>
        <w:t xml:space="preserve">majoritarian’ perspective, and dominant circuits of desiring-investment. Herein, </w:t>
      </w:r>
      <w:r w:rsidRPr="00496CF0">
        <w:rPr>
          <w:rFonts w:eastAsia="Georgia" w:cs="Calibri"/>
          <w:b/>
          <w:bCs/>
          <w:color w:val="000000" w:themeColor="text1"/>
          <w:u w:val="single"/>
        </w:rPr>
        <w:t>the impulse of standardization obliterates alternative subject formations and the modes of counter-signifying enunciation that might palpate them. Repelling the</w:t>
      </w:r>
      <w:r w:rsidRPr="00496CF0">
        <w:rPr>
          <w:rFonts w:eastAsia="Georgia" w:cs="Calibri"/>
          <w:color w:val="000000" w:themeColor="text1"/>
        </w:rPr>
        <w:t xml:space="preserve"> </w:t>
      </w:r>
      <w:r w:rsidRPr="00496CF0">
        <w:rPr>
          <w:rFonts w:eastAsia="Georgia" w:cs="Calibri"/>
          <w:color w:val="000000" w:themeColor="text1"/>
          <w:sz w:val="12"/>
          <w:szCs w:val="12"/>
        </w:rPr>
        <w:t xml:space="preserve">singular, the </w:t>
      </w:r>
      <w:r w:rsidRPr="00496CF0">
        <w:rPr>
          <w:rFonts w:eastAsia="Georgia" w:cs="Calibri"/>
          <w:color w:val="000000" w:themeColor="text1"/>
        </w:rPr>
        <w:t>‘</w:t>
      </w:r>
      <w:r w:rsidRPr="00496CF0">
        <w:rPr>
          <w:rFonts w:eastAsia="Georgia" w:cs="Calibri"/>
          <w:b/>
          <w:bCs/>
          <w:color w:val="000000" w:themeColor="text1"/>
          <w:highlight w:val="green"/>
          <w:u w:val="single"/>
        </w:rPr>
        <w:t>majoritarian’</w:t>
      </w:r>
      <w:r w:rsidRPr="00496CF0">
        <w:rPr>
          <w:rFonts w:eastAsia="Georgia" w:cs="Calibri"/>
          <w:color w:val="000000" w:themeColor="text1"/>
        </w:rPr>
        <w:t xml:space="preserve"> </w:t>
      </w:r>
      <w:r w:rsidRPr="00496CF0">
        <w:rPr>
          <w:rFonts w:eastAsia="Georgia" w:cs="Calibri"/>
          <w:b/>
          <w:bCs/>
          <w:color w:val="000000" w:themeColor="text1"/>
          <w:u w:val="single"/>
        </w:rPr>
        <w:t>and standardizing</w:t>
      </w:r>
      <w:r w:rsidRPr="00496CF0">
        <w:rPr>
          <w:rFonts w:eastAsia="Georgia" w:cs="Calibri"/>
          <w:color w:val="000000" w:themeColor="text1"/>
        </w:rPr>
        <w:t xml:space="preserve"> </w:t>
      </w:r>
      <w:r w:rsidRPr="00496CF0">
        <w:rPr>
          <w:rFonts w:eastAsia="Georgia" w:cs="Calibri"/>
          <w:b/>
          <w:bCs/>
          <w:color w:val="000000" w:themeColor="text1"/>
          <w:u w:val="single"/>
        </w:rPr>
        <w:t xml:space="preserve">impulse of </w:t>
      </w:r>
      <w:r w:rsidRPr="00496CF0">
        <w:rPr>
          <w:rFonts w:eastAsia="Georgia" w:cs="Calibri"/>
          <w:b/>
          <w:bCs/>
          <w:color w:val="000000" w:themeColor="text1"/>
          <w:highlight w:val="green"/>
          <w:u w:val="single"/>
        </w:rPr>
        <w:t>education takes</w:t>
      </w:r>
      <w:r w:rsidRPr="00496CF0">
        <w:rPr>
          <w:rFonts w:eastAsia="Georgia" w:cs="Calibri"/>
          <w:b/>
          <w:bCs/>
          <w:color w:val="000000" w:themeColor="text1"/>
          <w:u w:val="single"/>
        </w:rPr>
        <w:t xml:space="preserve"> as </w:t>
      </w:r>
      <w:r w:rsidRPr="00496CF0">
        <w:rPr>
          <w:rFonts w:eastAsia="Georgia" w:cs="Calibri"/>
          <w:b/>
          <w:bCs/>
          <w:color w:val="000000" w:themeColor="text1"/>
          <w:highlight w:val="green"/>
          <w:u w:val="single"/>
        </w:rPr>
        <w:t>its</w:t>
      </w:r>
      <w:r w:rsidRPr="00496CF0">
        <w:rPr>
          <w:rFonts w:eastAsia="Georgia" w:cs="Calibri"/>
          <w:b/>
          <w:bCs/>
          <w:color w:val="000000" w:themeColor="text1"/>
          <w:u w:val="single"/>
        </w:rPr>
        <w:t xml:space="preserve"> ‘</w:t>
      </w:r>
      <w:r w:rsidRPr="00496CF0">
        <w:rPr>
          <w:rFonts w:eastAsia="Georgia" w:cs="Calibri"/>
          <w:b/>
          <w:bCs/>
          <w:color w:val="000000" w:themeColor="text1"/>
          <w:highlight w:val="green"/>
          <w:u w:val="single"/>
        </w:rPr>
        <w:t>fundamental’ mode of production</w:t>
      </w:r>
      <w:r w:rsidRPr="00496CF0">
        <w:rPr>
          <w:rFonts w:eastAsia="Georgia" w:cs="Calibri"/>
          <w:color w:val="000000" w:themeColor="text1"/>
          <w:highlight w:val="green"/>
        </w:rPr>
        <w:t xml:space="preserve"> </w:t>
      </w:r>
      <w:r w:rsidRPr="00496CF0">
        <w:rPr>
          <w:rFonts w:eastAsia="Georgia" w:cs="Calibri"/>
          <w:b/>
          <w:bCs/>
          <w:color w:val="000000" w:themeColor="text1"/>
          <w:highlight w:val="green"/>
          <w:u w:val="single"/>
        </w:rPr>
        <w:t>the reification of common sense</w:t>
      </w:r>
      <w:r w:rsidRPr="00496CF0">
        <w:rPr>
          <w:rFonts w:eastAsia="Georgia" w:cs="Calibri"/>
          <w:color w:val="000000" w:themeColor="text1"/>
        </w:rPr>
        <w:t>,</w:t>
      </w:r>
      <w:r w:rsidRPr="00496CF0">
        <w:rPr>
          <w:rFonts w:eastAsia="Georgia" w:cs="Calibri"/>
          <w:color w:val="000000" w:themeColor="text1"/>
          <w:sz w:val="12"/>
          <w:szCs w:val="12"/>
        </w:rPr>
        <w:t xml:space="preserve"> or, rather, the </w:t>
      </w:r>
      <w:proofErr w:type="spellStart"/>
      <w:r w:rsidRPr="00496CF0">
        <w:rPr>
          <w:rFonts w:eastAsia="Georgia" w:cs="Calibri"/>
          <w:color w:val="000000" w:themeColor="text1"/>
          <w:sz w:val="12"/>
          <w:szCs w:val="12"/>
        </w:rPr>
        <w:t>territorialization</w:t>
      </w:r>
      <w:proofErr w:type="spellEnd"/>
      <w:r w:rsidRPr="00496CF0">
        <w:rPr>
          <w:rFonts w:eastAsia="Georgia" w:cs="Calibri"/>
          <w:color w:val="000000" w:themeColor="text1"/>
          <w:sz w:val="12"/>
          <w:szCs w:val="12"/>
        </w:rPr>
        <w:t xml:space="preserve"> of thought according to that which is given (that which everyone already knows).</w:t>
      </w:r>
      <w:r w:rsidRPr="00496CF0">
        <w:rPr>
          <w:rFonts w:eastAsia="Georgia" w:cs="Calibri"/>
          <w:color w:val="000000" w:themeColor="text1"/>
        </w:rPr>
        <w:t xml:space="preserve"> </w:t>
      </w:r>
      <w:r w:rsidRPr="00496CF0">
        <w:rPr>
          <w:rFonts w:eastAsia="Georgia" w:cs="Calibri"/>
          <w:b/>
          <w:bCs/>
          <w:color w:val="000000" w:themeColor="text1"/>
          <w:u w:val="single"/>
        </w:rPr>
        <w:t xml:space="preserve">Figuring </w:t>
      </w:r>
      <w:r w:rsidRPr="00496CF0">
        <w:rPr>
          <w:rFonts w:eastAsia="Georgia" w:cs="Calibri"/>
          <w:b/>
          <w:bCs/>
          <w:color w:val="000000" w:themeColor="text1"/>
          <w:highlight w:val="green"/>
          <w:u w:val="single"/>
        </w:rPr>
        <w:t>in</w:t>
      </w:r>
      <w:r w:rsidRPr="00496CF0">
        <w:rPr>
          <w:rFonts w:eastAsia="Georgia" w:cs="Calibri"/>
          <w:b/>
          <w:bCs/>
          <w:color w:val="000000" w:themeColor="text1"/>
          <w:u w:val="single"/>
        </w:rPr>
        <w:t xml:space="preserve"> a mode ‘of </w:t>
      </w:r>
      <w:r w:rsidRPr="00496CF0">
        <w:rPr>
          <w:rFonts w:eastAsia="Georgia" w:cs="Calibri"/>
          <w:b/>
          <w:bCs/>
          <w:color w:val="000000" w:themeColor="text1"/>
          <w:highlight w:val="green"/>
          <w:u w:val="single"/>
        </w:rPr>
        <w:t>identification that</w:t>
      </w:r>
      <w:r w:rsidRPr="00496CF0">
        <w:rPr>
          <w:rFonts w:eastAsia="Georgia" w:cs="Calibri"/>
          <w:b/>
          <w:bCs/>
          <w:color w:val="000000" w:themeColor="text1"/>
          <w:u w:val="single"/>
        </w:rPr>
        <w:t xml:space="preserve"> </w:t>
      </w:r>
      <w:r w:rsidRPr="00496CF0">
        <w:rPr>
          <w:rFonts w:eastAsia="Georgia" w:cs="Calibri"/>
          <w:b/>
          <w:bCs/>
          <w:color w:val="000000" w:themeColor="text1"/>
          <w:highlight w:val="green"/>
          <w:u w:val="single"/>
        </w:rPr>
        <w:t>brings diversity in general to bear upon the form of the Same’</w:t>
      </w:r>
      <w:r w:rsidRPr="00496CF0">
        <w:rPr>
          <w:rFonts w:eastAsia="Georgia" w:cs="Calibri"/>
          <w:b/>
          <w:bCs/>
          <w:color w:val="000000" w:themeColor="text1"/>
          <w:u w:val="single"/>
        </w:rPr>
        <w:t>,</w:t>
      </w:r>
      <w:r w:rsidRPr="00496CF0">
        <w:rPr>
          <w:rFonts w:eastAsia="Georgia" w:cs="Calibri"/>
          <w:color w:val="000000" w:themeColor="text1"/>
        </w:rPr>
        <w:t xml:space="preserve"> </w:t>
      </w:r>
      <w:r w:rsidRPr="00496CF0">
        <w:rPr>
          <w:rFonts w:eastAsia="Georgia" w:cs="Calibri"/>
          <w:color w:val="000000" w:themeColor="text1"/>
          <w:sz w:val="12"/>
          <w:szCs w:val="12"/>
        </w:rPr>
        <w:t xml:space="preserve">common sense functions to stabilize patterns of social production by tethering them to molar orders of meaning and dominant regimes of social signification (Deleuze, 1990, p. 78). As </w:t>
      </w:r>
      <w:proofErr w:type="spellStart"/>
      <w:r w:rsidRPr="00496CF0">
        <w:rPr>
          <w:rFonts w:eastAsia="Georgia" w:cs="Calibri"/>
          <w:color w:val="000000" w:themeColor="text1"/>
          <w:sz w:val="12"/>
          <w:szCs w:val="12"/>
        </w:rPr>
        <w:t>Daignault</w:t>
      </w:r>
      <w:proofErr w:type="spellEnd"/>
      <w:r w:rsidRPr="00496CF0">
        <w:rPr>
          <w:rFonts w:eastAsia="Georgia" w:cs="Calibri"/>
          <w:color w:val="000000" w:themeColor="text1"/>
          <w:sz w:val="12"/>
          <w:szCs w:val="12"/>
        </w:rPr>
        <w:t xml:space="preserve"> argues, in so far as it repels the anomalous by reterritorializing it within prior systems of representation, common sense constitutes a significant and lingering problem in contemporary education (</w:t>
      </w:r>
      <w:proofErr w:type="spellStart"/>
      <w:r w:rsidRPr="00496CF0">
        <w:rPr>
          <w:rFonts w:eastAsia="Georgia" w:cs="Calibri"/>
          <w:color w:val="000000" w:themeColor="text1"/>
          <w:sz w:val="12"/>
          <w:szCs w:val="12"/>
        </w:rPr>
        <w:t>Hwu</w:t>
      </w:r>
      <w:proofErr w:type="spellEnd"/>
      <w:r w:rsidRPr="00496CF0">
        <w:rPr>
          <w:rFonts w:eastAsia="Georgia" w:cs="Calibri"/>
          <w:color w:val="000000" w:themeColor="text1"/>
          <w:sz w:val="12"/>
          <w:szCs w:val="12"/>
        </w:rPr>
        <w:t xml:space="preserve">, 2004). Its function, </w:t>
      </w:r>
      <w:proofErr w:type="spellStart"/>
      <w:r w:rsidRPr="00496CF0">
        <w:rPr>
          <w:rFonts w:eastAsia="Georgia" w:cs="Calibri"/>
          <w:color w:val="000000" w:themeColor="text1"/>
          <w:sz w:val="12"/>
          <w:szCs w:val="12"/>
        </w:rPr>
        <w:t>Daignault</w:t>
      </w:r>
      <w:proofErr w:type="spellEnd"/>
      <w:r w:rsidRPr="00496CF0">
        <w:rPr>
          <w:rFonts w:eastAsia="Georgia" w:cs="Calibri"/>
          <w:color w:val="000000" w:themeColor="text1"/>
          <w:sz w:val="12"/>
          <w:szCs w:val="12"/>
        </w:rPr>
        <w:t xml:space="preserve"> alludes apropos </w:t>
      </w:r>
      <w:proofErr w:type="spellStart"/>
      <w:r w:rsidRPr="00496CF0">
        <w:rPr>
          <w:rFonts w:eastAsia="Georgia" w:cs="Calibri"/>
          <w:color w:val="000000" w:themeColor="text1"/>
          <w:sz w:val="12"/>
          <w:szCs w:val="12"/>
        </w:rPr>
        <w:t>Serres</w:t>
      </w:r>
      <w:proofErr w:type="spellEnd"/>
      <w:r w:rsidRPr="00496CF0">
        <w:rPr>
          <w:rFonts w:eastAsia="Georgia" w:cs="Calibri"/>
          <w:color w:val="000000" w:themeColor="text1"/>
          <w:sz w:val="12"/>
          <w:szCs w:val="12"/>
        </w:rPr>
        <w:t>, is oriented to the annihilation of difference. Hence,</w:t>
      </w:r>
      <w:r w:rsidRPr="00496CF0">
        <w:rPr>
          <w:rFonts w:eastAsia="Georgia" w:cs="Calibri"/>
          <w:color w:val="000000" w:themeColor="text1"/>
        </w:rPr>
        <w:t xml:space="preserve"> </w:t>
      </w:r>
      <w:r w:rsidRPr="00496CF0">
        <w:rPr>
          <w:rFonts w:eastAsia="Georgia" w:cs="Calibri"/>
          <w:b/>
          <w:bCs/>
          <w:color w:val="000000" w:themeColor="text1"/>
          <w:highlight w:val="green"/>
          <w:u w:val="single"/>
        </w:rPr>
        <w:t>where</w:t>
      </w:r>
      <w:r w:rsidRPr="00496CF0">
        <w:rPr>
          <w:rFonts w:eastAsia="Georgia" w:cs="Calibri"/>
          <w:b/>
          <w:bCs/>
          <w:color w:val="000000" w:themeColor="text1"/>
          <w:u w:val="single"/>
        </w:rPr>
        <w:t xml:space="preserve"> the conceptualization of ‘public’ education is founded in common sense, </w:t>
      </w:r>
      <w:r w:rsidRPr="00496CF0">
        <w:rPr>
          <w:rFonts w:eastAsia="Georgia" w:cs="Calibri"/>
          <w:b/>
          <w:bCs/>
          <w:color w:val="000000" w:themeColor="text1"/>
          <w:highlight w:val="green"/>
          <w:u w:val="single"/>
        </w:rPr>
        <w:t>potentials for political action</w:t>
      </w:r>
      <w:r w:rsidRPr="00496CF0">
        <w:rPr>
          <w:rFonts w:eastAsia="Georgia" w:cs="Calibri"/>
          <w:b/>
          <w:bCs/>
          <w:color w:val="000000" w:themeColor="text1"/>
          <w:u w:val="single"/>
        </w:rPr>
        <w:t xml:space="preserve"> through tactics of proliferation, disjunction, and </w:t>
      </w:r>
      <w:proofErr w:type="spellStart"/>
      <w:r w:rsidRPr="00496CF0">
        <w:rPr>
          <w:rFonts w:eastAsia="Georgia" w:cs="Calibri"/>
          <w:b/>
          <w:bCs/>
          <w:color w:val="000000" w:themeColor="text1"/>
          <w:u w:val="single"/>
        </w:rPr>
        <w:t>singularization</w:t>
      </w:r>
      <w:proofErr w:type="spellEnd"/>
      <w:r w:rsidRPr="00496CF0">
        <w:rPr>
          <w:rFonts w:eastAsia="Georgia" w:cs="Calibri"/>
          <w:b/>
          <w:bCs/>
          <w:color w:val="000000" w:themeColor="text1"/>
          <w:u w:val="single"/>
        </w:rPr>
        <w:t xml:space="preserve"> </w:t>
      </w:r>
      <w:r w:rsidRPr="00496CF0">
        <w:rPr>
          <w:rFonts w:eastAsia="Georgia" w:cs="Calibri"/>
          <w:b/>
          <w:bCs/>
          <w:color w:val="000000" w:themeColor="text1"/>
          <w:highlight w:val="green"/>
          <w:u w:val="single"/>
        </w:rPr>
        <w:t>are</w:t>
      </w:r>
      <w:r w:rsidRPr="00496CF0">
        <w:rPr>
          <w:rFonts w:eastAsia="Georgia" w:cs="Calibri"/>
          <w:b/>
          <w:bCs/>
          <w:color w:val="000000" w:themeColor="text1"/>
          <w:u w:val="single"/>
        </w:rPr>
        <w:t xml:space="preserve"> radically </w:t>
      </w:r>
      <w:r w:rsidRPr="00496CF0">
        <w:rPr>
          <w:rFonts w:eastAsia="Georgia" w:cs="Calibri"/>
          <w:b/>
          <w:bCs/>
          <w:color w:val="000000" w:themeColor="text1"/>
          <w:highlight w:val="green"/>
          <w:u w:val="single"/>
        </w:rPr>
        <w:t>delimited</w:t>
      </w:r>
      <w:r w:rsidRPr="00496CF0">
        <w:rPr>
          <w:rFonts w:eastAsia="Georgia" w:cs="Calibri"/>
          <w:b/>
          <w:bCs/>
          <w:color w:val="000000" w:themeColor="text1"/>
          <w:u w:val="single"/>
        </w:rPr>
        <w:t xml:space="preserve"> </w:t>
      </w:r>
      <w:r w:rsidRPr="00496CF0">
        <w:rPr>
          <w:rFonts w:eastAsia="Georgia" w:cs="Calibri"/>
          <w:color w:val="000000" w:themeColor="text1"/>
          <w:sz w:val="12"/>
          <w:szCs w:val="12"/>
        </w:rPr>
        <w:t>and captured within prior territorialities of use (Foucault, 1983, p. xiii). The problem of this scenario is clear:</w:t>
      </w:r>
      <w:r w:rsidRPr="00496CF0">
        <w:rPr>
          <w:rFonts w:eastAsia="Georgia" w:cs="Calibri"/>
          <w:color w:val="000000" w:themeColor="text1"/>
        </w:rPr>
        <w:t xml:space="preserve"> </w:t>
      </w:r>
      <w:r w:rsidRPr="00496CF0">
        <w:rPr>
          <w:rFonts w:eastAsia="Georgia" w:cs="Calibri"/>
          <w:b/>
          <w:bCs/>
          <w:color w:val="000000" w:themeColor="text1"/>
          <w:u w:val="single"/>
        </w:rPr>
        <w:t>common sense has yet to force us to think in a manner capable of subtracting desire from majoritarian thought in lieu of alternative forms of organization and experimental expression</w:t>
      </w:r>
      <w:r w:rsidRPr="00496CF0">
        <w:rPr>
          <w:rFonts w:eastAsia="Georgia" w:cs="Calibri"/>
          <w:color w:val="000000" w:themeColor="text1"/>
        </w:rPr>
        <w:t xml:space="preserve">. </w:t>
      </w:r>
      <w:r w:rsidRPr="00496CF0">
        <w:rPr>
          <w:rFonts w:eastAsia="Georgia" w:cs="Calibri"/>
          <w:color w:val="000000" w:themeColor="text1"/>
          <w:sz w:val="12"/>
          <w:szCs w:val="12"/>
        </w:rPr>
        <w:t>In so far as it functions as a vehicle of ‘molarization’, reifying a common universe of reference for enunciation, the school fails to produce conditions for thinking in a manner that is not already anticipated by such referential ‘possibilities’. Hence,</w:t>
      </w:r>
      <w:r w:rsidRPr="00496CF0">
        <w:rPr>
          <w:rFonts w:eastAsia="Georgia" w:cs="Calibri"/>
          <w:color w:val="000000" w:themeColor="text1"/>
        </w:rPr>
        <w:t xml:space="preserve"> </w:t>
      </w:r>
      <w:r w:rsidRPr="00496CF0">
        <w:rPr>
          <w:rFonts w:eastAsia="Georgia" w:cs="Calibri"/>
          <w:b/>
          <w:bCs/>
          <w:color w:val="000000" w:themeColor="text1"/>
          <w:u w:val="single"/>
        </w:rPr>
        <w:t>while antithetical to the espoused purpose of schooling, the majoritarian impulse of the school has yet to produce conditions for thinking</w:t>
      </w:r>
      <w:r w:rsidRPr="00496CF0">
        <w:rPr>
          <w:rFonts w:eastAsia="Georgia" w:cs="Calibri"/>
          <w:color w:val="000000" w:themeColor="text1"/>
          <w:sz w:val="12"/>
          <w:szCs w:val="12"/>
        </w:rPr>
        <w:t xml:space="preserve"> – at least in the </w:t>
      </w:r>
      <w:proofErr w:type="spellStart"/>
      <w:r w:rsidRPr="00496CF0">
        <w:rPr>
          <w:rFonts w:eastAsia="Georgia" w:cs="Calibri"/>
          <w:color w:val="000000" w:themeColor="text1"/>
          <w:sz w:val="12"/>
          <w:szCs w:val="12"/>
        </w:rPr>
        <w:t>Deleuzian</w:t>
      </w:r>
      <w:proofErr w:type="spellEnd"/>
      <w:r w:rsidRPr="00496CF0">
        <w:rPr>
          <w:rFonts w:eastAsia="Georgia" w:cs="Calibri"/>
          <w:color w:val="000000" w:themeColor="text1"/>
          <w:sz w:val="12"/>
          <w:szCs w:val="12"/>
        </w:rPr>
        <w:t xml:space="preserve"> (2000) sense whereupon thought proceeds from a necessary violence to those habits of repetition with which thought becomes </w:t>
      </w:r>
      <w:proofErr w:type="spellStart"/>
      <w:r w:rsidRPr="00496CF0">
        <w:rPr>
          <w:rFonts w:eastAsia="Georgia" w:cs="Calibri"/>
          <w:color w:val="000000" w:themeColor="text1"/>
          <w:sz w:val="12"/>
          <w:szCs w:val="12"/>
        </w:rPr>
        <w:t>contracte</w:t>
      </w:r>
      <w:proofErr w:type="spellEnd"/>
    </w:p>
    <w:p w:rsidR="00CF1124" w:rsidRDefault="00CF1124" w:rsidP="00CF1124">
      <w:pPr>
        <w:spacing w:line="240" w:lineRule="auto"/>
        <w:rPr>
          <w:rFonts w:eastAsia="Georgia" w:cs="Calibri"/>
          <w:color w:val="000000" w:themeColor="text1"/>
          <w:sz w:val="12"/>
          <w:szCs w:val="12"/>
        </w:rPr>
      </w:pPr>
    </w:p>
    <w:p w:rsidR="00CF1124" w:rsidRPr="007E4DEB" w:rsidRDefault="00CF1124" w:rsidP="00CF1124">
      <w:pPr>
        <w:pStyle w:val="Heading4"/>
        <w:rPr>
          <w:rFonts w:cs="Calibri"/>
          <w:color w:val="000000" w:themeColor="text1"/>
        </w:rPr>
      </w:pPr>
      <w:r w:rsidRPr="007E4DEB">
        <w:rPr>
          <w:rFonts w:cs="Calibri"/>
          <w:color w:val="000000" w:themeColor="text1"/>
        </w:rPr>
        <w:t xml:space="preserve">General understandings of the relation between norms, subjects, and the world are insufficient for ethics because there is a gap between discursive regimes and real subjectivity. Only structures of affect like the </w:t>
      </w:r>
      <w:proofErr w:type="spellStart"/>
      <w:r w:rsidRPr="007E4DEB">
        <w:rPr>
          <w:rFonts w:cs="Calibri"/>
          <w:color w:val="000000" w:themeColor="text1"/>
        </w:rPr>
        <w:t>aff’s</w:t>
      </w:r>
      <w:proofErr w:type="spellEnd"/>
      <w:r w:rsidRPr="007E4DEB">
        <w:rPr>
          <w:rFonts w:cs="Calibri"/>
          <w:color w:val="000000" w:themeColor="text1"/>
        </w:rPr>
        <w:t xml:space="preserve"> ontolo</w:t>
      </w:r>
      <w:r>
        <w:rPr>
          <w:rFonts w:cs="Calibri"/>
          <w:color w:val="000000" w:themeColor="text1"/>
        </w:rPr>
        <w:t xml:space="preserve">gical understanding of instability through time </w:t>
      </w:r>
      <w:r w:rsidRPr="007E4DEB">
        <w:rPr>
          <w:rFonts w:cs="Calibri"/>
          <w:color w:val="000000" w:themeColor="text1"/>
        </w:rPr>
        <w:t>distinguish the subject from static concepts of it – it is cruelly optimistic to think we can fit into stable structures. Schaefer 13:</w:t>
      </w:r>
    </w:p>
    <w:p w:rsidR="00CF1124" w:rsidRPr="007E4DEB" w:rsidRDefault="00CF1124" w:rsidP="00CF1124">
      <w:pPr>
        <w:rPr>
          <w:rFonts w:cs="Calibri"/>
          <w:color w:val="000000" w:themeColor="text1"/>
          <w:sz w:val="16"/>
          <w:szCs w:val="16"/>
        </w:rPr>
      </w:pPr>
      <w:r w:rsidRPr="007E4DEB">
        <w:rPr>
          <w:rFonts w:cs="Calibri"/>
          <w:color w:val="000000" w:themeColor="text1"/>
          <w:sz w:val="16"/>
          <w:szCs w:val="16"/>
        </w:rPr>
        <w:t xml:space="preserve">[Schaefer ’13. Schaefer, D. "The Promise of Affect: The Politics of the Event in Ahmed's The Promise of Happiness and </w:t>
      </w:r>
      <w:proofErr w:type="spellStart"/>
      <w:r w:rsidRPr="007E4DEB">
        <w:rPr>
          <w:rFonts w:cs="Calibri"/>
          <w:color w:val="000000" w:themeColor="text1"/>
          <w:sz w:val="16"/>
          <w:szCs w:val="16"/>
        </w:rPr>
        <w:t>Berlant's</w:t>
      </w:r>
      <w:proofErr w:type="spellEnd"/>
      <w:r w:rsidRPr="007E4DEB">
        <w:rPr>
          <w:rFonts w:cs="Calibri"/>
          <w:color w:val="000000" w:themeColor="text1"/>
          <w:sz w:val="16"/>
          <w:szCs w:val="16"/>
        </w:rPr>
        <w:t> Cruel Optimism." Theory &amp; Event 16.2 (2013). Project MUSE. Web. LHP MK]</w:t>
      </w:r>
    </w:p>
    <w:p w:rsidR="00CF1124" w:rsidRPr="007E4DEB" w:rsidRDefault="00CF1124" w:rsidP="00CF1124">
      <w:pPr>
        <w:rPr>
          <w:rFonts w:cs="Calibri"/>
          <w:color w:val="000000" w:themeColor="text1"/>
          <w:sz w:val="12"/>
        </w:rPr>
      </w:pPr>
      <w:r w:rsidRPr="007E4DEB">
        <w:rPr>
          <w:rFonts w:cs="Calibri"/>
          <w:color w:val="000000" w:themeColor="text1"/>
          <w:sz w:val="12"/>
        </w:rPr>
        <w:t xml:space="preserve">At a recent talk at the University of Pennsylvania, Lauren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was asked a question about the relationship between her work—she had just finished a lecture on the theme of flat affect in Gregg Araki's 2004 film Mysterious Skin—and the political. "Because I work on affect," she responded, "I think everything is realism" (</w:t>
      </w:r>
      <w:proofErr w:type="spellStart"/>
      <w:r>
        <w:fldChar w:fldCharType="begin"/>
      </w:r>
      <w:r>
        <w:instrText xml:space="preserve"> HYPERLINK "https://muse.jhu.edu/article/509908" \l "b3"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2012</w:t>
      </w:r>
      <w:r>
        <w:rPr>
          <w:rFonts w:cs="Calibri"/>
          <w:color w:val="000000" w:themeColor="text1"/>
          <w:sz w:val="12"/>
        </w:rPr>
        <w:fldChar w:fldCharType="end"/>
      </w:r>
      <w:r w:rsidRPr="007E4DEB">
        <w:rPr>
          <w:rFonts w:cs="Calibri"/>
          <w:color w:val="000000" w:themeColor="text1"/>
          <w:sz w:val="12"/>
        </w:rPr>
        <w:t xml:space="preserve">). Like the dense introductory segments of each of her chapters—thick but fast-moving genealogical waterslides—I think that unpacking statements like this from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is best repaid by taking them in a low gear. When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maps her method as affect theory, she is suggesting that the works she examines in her capacity as a scholar of literature cannot be divorced from the political-material contexts out of which they emerge, but at the same time must be recognized as incarnations of </w:t>
      </w:r>
      <w:proofErr w:type="spellStart"/>
      <w:r w:rsidRPr="007E4DEB">
        <w:rPr>
          <w:rFonts w:cs="Calibri"/>
          <w:color w:val="000000" w:themeColor="text1"/>
          <w:sz w:val="12"/>
        </w:rPr>
        <w:t>aparticular</w:t>
      </w:r>
      <w:proofErr w:type="spellEnd"/>
      <w:r w:rsidRPr="007E4DEB">
        <w:rPr>
          <w:rFonts w:cs="Calibri"/>
          <w:color w:val="000000" w:themeColor="text1"/>
          <w:sz w:val="12"/>
        </w:rPr>
        <w:t xml:space="preserve"> embodied iteration within this field. </w:t>
      </w:r>
      <w:r w:rsidRPr="007E4DEB">
        <w:rPr>
          <w:rFonts w:cs="Calibri"/>
          <w:b/>
          <w:color w:val="000000" w:themeColor="text1"/>
          <w:highlight w:val="yellow"/>
          <w:u w:val="single"/>
        </w:rPr>
        <w:t>Texts are produced by bodies</w:t>
      </w:r>
      <w:r w:rsidRPr="007E4DEB">
        <w:rPr>
          <w:rFonts w:cs="Calibri"/>
          <w:b/>
          <w:color w:val="000000" w:themeColor="text1"/>
          <w:u w:val="single"/>
        </w:rPr>
        <w:t xml:space="preserve"> that are both </w:t>
      </w:r>
      <w:r w:rsidRPr="007E4DEB">
        <w:rPr>
          <w:rFonts w:cs="Calibri"/>
          <w:b/>
          <w:color w:val="000000" w:themeColor="text1"/>
          <w:highlight w:val="yellow"/>
          <w:u w:val="single"/>
        </w:rPr>
        <w:t>enmeshed in their political worlds and trying to negotiate those worlds in their own</w:t>
      </w:r>
      <w:r w:rsidRPr="007E4DEB">
        <w:rPr>
          <w:rStyle w:val="Emphasis"/>
          <w:rFonts w:cs="Calibri"/>
          <w:highlight w:val="yellow"/>
        </w:rPr>
        <w:t xml:space="preserve"> </w:t>
      </w:r>
      <w:r w:rsidRPr="007E4DEB">
        <w:rPr>
          <w:rFonts w:cs="Calibri"/>
          <w:b/>
          <w:color w:val="000000" w:themeColor="text1"/>
          <w:u w:val="single"/>
        </w:rPr>
        <w:t xml:space="preserve">distinct </w:t>
      </w:r>
      <w:r w:rsidRPr="007E4DEB">
        <w:rPr>
          <w:rFonts w:cs="Calibri"/>
          <w:b/>
          <w:color w:val="000000" w:themeColor="text1"/>
          <w:highlight w:val="yellow"/>
          <w:u w:val="single"/>
        </w:rPr>
        <w:t>way.</w:t>
      </w:r>
      <w:r w:rsidRPr="007E4DEB">
        <w:rPr>
          <w:rFonts w:cs="Calibri"/>
          <w:b/>
          <w:color w:val="000000" w:themeColor="text1"/>
          <w:u w:val="single"/>
        </w:rPr>
        <w:t xml:space="preserve"> Everything we do is realism: </w:t>
      </w:r>
      <w:proofErr w:type="spellStart"/>
      <w:r w:rsidRPr="007E4DEB">
        <w:rPr>
          <w:rFonts w:cs="Calibri"/>
          <w:b/>
          <w:color w:val="000000" w:themeColor="text1"/>
          <w:u w:val="single"/>
        </w:rPr>
        <w:t>Berlant's</w:t>
      </w:r>
      <w:proofErr w:type="spellEnd"/>
      <w:r w:rsidRPr="007E4DEB">
        <w:rPr>
          <w:rFonts w:cs="Calibri"/>
          <w:b/>
          <w:color w:val="000000" w:themeColor="text1"/>
          <w:u w:val="single"/>
        </w:rPr>
        <w:t xml:space="preserve"> textual objects of study are mediations, attempts to work something out, exhibitions of tensed, embodied, affective realities</w:t>
      </w:r>
      <w:r w:rsidRPr="007E4DEB">
        <w:rPr>
          <w:rFonts w:cs="Calibri"/>
          <w:color w:val="000000" w:themeColor="text1"/>
          <w:sz w:val="12"/>
        </w:rPr>
        <w:t>.</w:t>
      </w:r>
      <w:hyperlink r:id="rId9" w:anchor="f1" w:history="1">
        <w:r w:rsidRPr="007E4DEB">
          <w:rPr>
            <w:rFonts w:cs="Calibri"/>
            <w:color w:val="000000" w:themeColor="text1"/>
            <w:sz w:val="12"/>
          </w:rPr>
          <w:t>1</w:t>
        </w:r>
      </w:hyperlink>
      <w:r w:rsidRPr="007E4DEB">
        <w:rPr>
          <w:rFonts w:cs="Calibri"/>
          <w:color w:val="000000" w:themeColor="text1"/>
          <w:sz w:val="12"/>
        </w:rPr>
        <w:t xml:space="preserve"> This is the promise of </w:t>
      </w:r>
      <w:r w:rsidRPr="007E4DEB">
        <w:rPr>
          <w:rFonts w:cs="Calibri"/>
          <w:b/>
          <w:color w:val="000000" w:themeColor="text1"/>
          <w:u w:val="single"/>
        </w:rPr>
        <w:t>affect theory, the possibility sliding together analytical tools used to pick apart both highly individuated and highly social contact zones—bodies and histories—as incarnated realities. Affect theory wants to maintain the insights of high theory, the doctrinaire approach that says "historicize everything," while</w:t>
      </w:r>
      <w:r w:rsidRPr="007E4DEB">
        <w:rPr>
          <w:rFonts w:cs="Calibri"/>
          <w:color w:val="000000" w:themeColor="text1"/>
          <w:sz w:val="12"/>
        </w:rPr>
        <w:t xml:space="preserve"> at the same time </w:t>
      </w:r>
      <w:r w:rsidRPr="007E4DEB">
        <w:rPr>
          <w:rFonts w:cs="Calibri"/>
          <w:b/>
          <w:color w:val="000000" w:themeColor="text1"/>
          <w:u w:val="single"/>
        </w:rPr>
        <w:t>thinking of how bodies inject their own materiality</w:t>
      </w:r>
      <w:r w:rsidRPr="007E4DEB">
        <w:rPr>
          <w:rFonts w:cs="Calibri"/>
          <w:color w:val="000000" w:themeColor="text1"/>
          <w:sz w:val="12"/>
        </w:rPr>
        <w:t xml:space="preserve"> into spaces. This means using language that enters the orbit of the biological. In the introduction to their 1995 edited volume Shame and Its Sisters: A Silvan Tomkins Reader (later reprinted in Sedgwick's Touching Feeling)—one of the earliest manifestoes of contemporary affect theory— Eve </w:t>
      </w:r>
      <w:proofErr w:type="spellStart"/>
      <w:r w:rsidRPr="007E4DEB">
        <w:rPr>
          <w:rFonts w:cs="Calibri"/>
          <w:color w:val="000000" w:themeColor="text1"/>
          <w:sz w:val="12"/>
        </w:rPr>
        <w:t>Kosofsky</w:t>
      </w:r>
      <w:proofErr w:type="spellEnd"/>
      <w:r w:rsidRPr="007E4DEB">
        <w:rPr>
          <w:rFonts w:cs="Calibri"/>
          <w:color w:val="000000" w:themeColor="text1"/>
          <w:sz w:val="12"/>
        </w:rPr>
        <w:t xml:space="preserve"> Sedgwick and Adam Frank acerbically catalog what theory "knows today," first and foremost that 1: The distance of [an] account from a biological basis is assumed to correlate near precisely with its potential for doing justice to difference (individual, historical, and cross-cultural), to contingency, to performative force, and to the possibility of change (</w:t>
      </w:r>
      <w:hyperlink r:id="rId10" w:anchor="b11" w:history="1">
        <w:r w:rsidRPr="007E4DEB">
          <w:rPr>
            <w:rFonts w:cs="Calibri"/>
            <w:color w:val="000000" w:themeColor="text1"/>
            <w:sz w:val="12"/>
          </w:rPr>
          <w:t>Sedgwick: 2003, 93</w:t>
        </w:r>
      </w:hyperlink>
      <w:r w:rsidRPr="007E4DEB">
        <w:rPr>
          <w:rFonts w:cs="Calibri"/>
          <w:color w:val="000000" w:themeColor="text1"/>
          <w:sz w:val="12"/>
        </w:rPr>
        <w:t>). And 2: Human language is assumed to offer the most productive, if not the only possible, model for understanding representation (</w:t>
      </w:r>
      <w:hyperlink r:id="rId11" w:anchor="b11" w:history="1">
        <w:r w:rsidRPr="007E4DEB">
          <w:rPr>
            <w:rFonts w:cs="Calibri"/>
            <w:color w:val="000000" w:themeColor="text1"/>
            <w:sz w:val="12"/>
          </w:rPr>
          <w:t>Sedgwick: 2003, 93</w:t>
        </w:r>
      </w:hyperlink>
      <w:r w:rsidRPr="007E4DEB">
        <w:rPr>
          <w:rFonts w:cs="Calibri"/>
          <w:color w:val="000000" w:themeColor="text1"/>
          <w:sz w:val="12"/>
        </w:rPr>
        <w:t xml:space="preserve">). </w:t>
      </w:r>
      <w:r w:rsidRPr="007E4DEB">
        <w:rPr>
          <w:rFonts w:cs="Calibri"/>
          <w:b/>
          <w:color w:val="000000" w:themeColor="text1"/>
          <w:highlight w:val="yellow"/>
          <w:u w:val="single"/>
        </w:rPr>
        <w:t>Affect theory</w:t>
      </w:r>
      <w:r w:rsidRPr="007E4DEB">
        <w:rPr>
          <w:rFonts w:cs="Calibri"/>
          <w:b/>
          <w:color w:val="000000" w:themeColor="text1"/>
          <w:u w:val="single"/>
        </w:rPr>
        <w:t xml:space="preserve"> in this vision is designed to </w:t>
      </w:r>
      <w:r w:rsidRPr="007E4DEB">
        <w:rPr>
          <w:rFonts w:cs="Calibri"/>
          <w:b/>
          <w:color w:val="000000" w:themeColor="text1"/>
          <w:highlight w:val="yellow"/>
          <w:u w:val="single"/>
        </w:rPr>
        <w:t>explore[s]</w:t>
      </w:r>
      <w:r w:rsidRPr="007E4DEB">
        <w:rPr>
          <w:rFonts w:cs="Calibri"/>
          <w:b/>
          <w:color w:val="000000" w:themeColor="text1"/>
          <w:u w:val="single"/>
        </w:rPr>
        <w:t xml:space="preserve"> the "crucial </w:t>
      </w:r>
      <w:r w:rsidRPr="007E4DEB">
        <w:rPr>
          <w:rFonts w:cs="Calibri"/>
          <w:b/>
          <w:color w:val="000000" w:themeColor="text1"/>
          <w:highlight w:val="yellow"/>
          <w:u w:val="single"/>
        </w:rPr>
        <w:t>knowledges" of bodies outside</w:t>
      </w:r>
      <w:r w:rsidRPr="007E4DEB">
        <w:rPr>
          <w:rFonts w:cs="Calibri"/>
          <w:b/>
          <w:color w:val="000000" w:themeColor="text1"/>
          <w:u w:val="single"/>
        </w:rPr>
        <w:t xml:space="preserve"> a </w:t>
      </w:r>
      <w:r w:rsidRPr="007E4DEB">
        <w:rPr>
          <w:rFonts w:cs="Calibri"/>
          <w:b/>
          <w:color w:val="000000" w:themeColor="text1"/>
          <w:highlight w:val="yellow"/>
          <w:u w:val="single"/>
        </w:rPr>
        <w:t>purely theoretical</w:t>
      </w:r>
      <w:r w:rsidRPr="007E4DEB">
        <w:rPr>
          <w:rFonts w:cs="Calibri"/>
          <w:b/>
          <w:color w:val="000000" w:themeColor="text1"/>
          <w:u w:val="single"/>
        </w:rPr>
        <w:t xml:space="preserve"> determination, outside</w:t>
      </w:r>
      <w:r w:rsidRPr="007E4DEB">
        <w:rPr>
          <w:rFonts w:cs="Calibri"/>
          <w:color w:val="000000" w:themeColor="text1"/>
          <w:sz w:val="12"/>
        </w:rPr>
        <w:t xml:space="preserve"> the traditional </w:t>
      </w:r>
      <w:r w:rsidRPr="007E4DEB">
        <w:rPr>
          <w:rFonts w:cs="Calibri"/>
          <w:b/>
          <w:color w:val="000000" w:themeColor="text1"/>
          <w:highlight w:val="yellow"/>
          <w:u w:val="single"/>
        </w:rPr>
        <w:t>domains of humanist scholarship</w:t>
      </w:r>
      <w:r w:rsidRPr="007E4DEB">
        <w:rPr>
          <w:rFonts w:cs="Calibri"/>
          <w:b/>
          <w:color w:val="000000" w:themeColor="text1"/>
          <w:u w:val="single"/>
        </w:rPr>
        <w:t>—reason, cognition, and language</w:t>
      </w:r>
      <w:r w:rsidRPr="007E4DEB">
        <w:rPr>
          <w:rFonts w:cs="Calibri"/>
          <w:color w:val="000000" w:themeColor="text1"/>
          <w:sz w:val="12"/>
        </w:rPr>
        <w:t xml:space="preserve"> (</w:t>
      </w:r>
      <w:hyperlink r:id="rId12" w:anchor="b11" w:history="1">
        <w:r w:rsidRPr="007E4DEB">
          <w:rPr>
            <w:rFonts w:cs="Calibri"/>
            <w:color w:val="000000" w:themeColor="text1"/>
            <w:sz w:val="12"/>
          </w:rPr>
          <w:t>Sedgwick: 2003, 114</w:t>
        </w:r>
      </w:hyperlink>
      <w:r w:rsidRPr="007E4DEB">
        <w:rPr>
          <w:rFonts w:cs="Calibri"/>
          <w:color w:val="000000" w:themeColor="text1"/>
          <w:sz w:val="12"/>
        </w:rPr>
        <w:t xml:space="preserve">). </w:t>
      </w:r>
      <w:r w:rsidRPr="007E4DEB">
        <w:rPr>
          <w:rFonts w:cs="Calibri"/>
          <w:b/>
          <w:color w:val="000000" w:themeColor="text1"/>
          <w:highlight w:val="yellow"/>
          <w:u w:val="single"/>
        </w:rPr>
        <w:t>Affect</w:t>
      </w:r>
      <w:r w:rsidRPr="007E4DEB">
        <w:rPr>
          <w:rFonts w:cs="Calibri"/>
          <w:color w:val="000000" w:themeColor="text1"/>
          <w:sz w:val="12"/>
        </w:rPr>
        <w:t xml:space="preserve">, for Lauren </w:t>
      </w:r>
      <w:proofErr w:type="spellStart"/>
      <w:r w:rsidRPr="007E4DEB">
        <w:rPr>
          <w:rFonts w:cs="Calibri"/>
          <w:color w:val="000000" w:themeColor="text1"/>
          <w:sz w:val="12"/>
        </w:rPr>
        <w:t>Berlant</w:t>
      </w:r>
      <w:proofErr w:type="spellEnd"/>
      <w:r w:rsidRPr="007E4DEB">
        <w:rPr>
          <w:rFonts w:cs="Calibri"/>
          <w:color w:val="000000" w:themeColor="text1"/>
          <w:sz w:val="12"/>
          <w:highlight w:val="yellow"/>
        </w:rPr>
        <w:t>,</w:t>
      </w:r>
      <w:r w:rsidRPr="007E4DEB">
        <w:rPr>
          <w:rFonts w:cs="Calibri"/>
          <w:color w:val="000000" w:themeColor="text1"/>
          <w:sz w:val="12"/>
        </w:rPr>
        <w:t xml:space="preserve"> </w:t>
      </w:r>
      <w:r w:rsidRPr="007E4DEB">
        <w:rPr>
          <w:rFonts w:cs="Calibri"/>
          <w:b/>
          <w:color w:val="000000" w:themeColor="text1"/>
          <w:highlight w:val="yellow"/>
          <w:u w:val="single"/>
        </w:rPr>
        <w:t>is</w:t>
      </w:r>
      <w:r w:rsidRPr="007E4DEB">
        <w:rPr>
          <w:rFonts w:cs="Calibri"/>
          <w:color w:val="000000" w:themeColor="text1"/>
          <w:sz w:val="12"/>
        </w:rPr>
        <w:t xml:space="preserve"> thus understandable as "sensual </w:t>
      </w:r>
      <w:r w:rsidRPr="007E4DEB">
        <w:rPr>
          <w:rFonts w:cs="Calibri"/>
          <w:b/>
          <w:color w:val="000000" w:themeColor="text1"/>
          <w:highlight w:val="yellow"/>
          <w:u w:val="single"/>
        </w:rPr>
        <w:t>matter that is elsewhere to sovereign consciousness but</w:t>
      </w:r>
      <w:r w:rsidRPr="007E4DEB">
        <w:rPr>
          <w:rFonts w:cs="Calibri"/>
          <w:color w:val="000000" w:themeColor="text1"/>
          <w:sz w:val="12"/>
        </w:rPr>
        <w:t xml:space="preserve"> that </w:t>
      </w:r>
      <w:r w:rsidRPr="007E4DEB">
        <w:rPr>
          <w:rFonts w:cs="Calibri"/>
          <w:b/>
          <w:color w:val="000000" w:themeColor="text1"/>
          <w:highlight w:val="yellow"/>
          <w:u w:val="single"/>
        </w:rPr>
        <w:t>has</w:t>
      </w:r>
      <w:r w:rsidRPr="007E4DEB">
        <w:rPr>
          <w:rFonts w:cs="Calibri"/>
          <w:color w:val="000000" w:themeColor="text1"/>
          <w:sz w:val="12"/>
        </w:rPr>
        <w:t xml:space="preserve"> historical </w:t>
      </w:r>
      <w:r w:rsidRPr="007E4DEB">
        <w:rPr>
          <w:rFonts w:cs="Calibri"/>
          <w:b/>
          <w:color w:val="000000" w:themeColor="text1"/>
          <w:highlight w:val="yellow"/>
          <w:u w:val="single"/>
        </w:rPr>
        <w:t>significance in domains of subjectivity</w:t>
      </w:r>
      <w:r w:rsidRPr="007E4DEB">
        <w:rPr>
          <w:rFonts w:cs="Calibri"/>
          <w:color w:val="000000" w:themeColor="text1"/>
          <w:sz w:val="12"/>
        </w:rPr>
        <w:t>" (</w:t>
      </w:r>
      <w:proofErr w:type="spellStart"/>
      <w:r>
        <w:fldChar w:fldCharType="begin"/>
      </w:r>
      <w:r>
        <w:instrText xml:space="preserve"> HYPERLINK "https://muse.jhu.edu/article/509908" \l "b2"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2011, 53</w:t>
      </w:r>
      <w:r>
        <w:rPr>
          <w:rFonts w:cs="Calibri"/>
          <w:color w:val="000000" w:themeColor="text1"/>
          <w:sz w:val="12"/>
        </w:rPr>
        <w:fldChar w:fldCharType="end"/>
      </w:r>
      <w:r w:rsidRPr="007E4DEB">
        <w:rPr>
          <w:rFonts w:cs="Calibri"/>
          <w:color w:val="000000" w:themeColor="text1"/>
          <w:sz w:val="12"/>
        </w:rPr>
        <w:t xml:space="preserve">). </w:t>
      </w:r>
      <w:r w:rsidRPr="007E4DEB">
        <w:rPr>
          <w:rFonts w:cs="Calibri"/>
          <w:b/>
          <w:color w:val="000000" w:themeColor="text1"/>
          <w:u w:val="single"/>
        </w:rPr>
        <w:t>Affect theory is about how systems of forces circulating within bodies</w:t>
      </w:r>
      <w:r w:rsidRPr="007E4DEB">
        <w:rPr>
          <w:rFonts w:cs="Calibri"/>
          <w:color w:val="000000" w:themeColor="text1"/>
          <w:sz w:val="12"/>
        </w:rPr>
        <w:t>—forces not necessarily subsumable or describable by language—</w:t>
      </w:r>
      <w:r w:rsidRPr="007E4DEB">
        <w:rPr>
          <w:rFonts w:cs="Calibri"/>
          <w:b/>
          <w:color w:val="000000" w:themeColor="text1"/>
          <w:u w:val="single"/>
        </w:rPr>
        <w:t>interface with histories</w:t>
      </w:r>
      <w:r w:rsidRPr="007E4DEB">
        <w:rPr>
          <w:rFonts w:cs="Calibri"/>
          <w:color w:val="000000" w:themeColor="text1"/>
          <w:sz w:val="12"/>
        </w:rPr>
        <w:t>. It is about how discourses form ligatures with pulsing flesh-and-blood creatures. Two recent texts, Sara Ahmed's The Promise of Happiness (</w:t>
      </w:r>
      <w:hyperlink r:id="rId13" w:anchor="b1" w:history="1">
        <w:r w:rsidRPr="007E4DEB">
          <w:rPr>
            <w:rFonts w:cs="Calibri"/>
            <w:color w:val="000000" w:themeColor="text1"/>
            <w:sz w:val="12"/>
          </w:rPr>
          <w:t>2010</w:t>
        </w:r>
      </w:hyperlink>
      <w:r w:rsidRPr="007E4DEB">
        <w:rPr>
          <w:rFonts w:cs="Calibri"/>
          <w:color w:val="000000" w:themeColor="text1"/>
          <w:sz w:val="12"/>
        </w:rPr>
        <w:t xml:space="preserve">) and </w:t>
      </w:r>
      <w:proofErr w:type="spellStart"/>
      <w:r w:rsidRPr="007E4DEB">
        <w:rPr>
          <w:rFonts w:cs="Calibri"/>
          <w:color w:val="000000" w:themeColor="text1"/>
          <w:sz w:val="12"/>
        </w:rPr>
        <w:t>Berlant's</w:t>
      </w:r>
      <w:proofErr w:type="spellEnd"/>
      <w:r w:rsidRPr="007E4DEB">
        <w:rPr>
          <w:rFonts w:cs="Calibri"/>
          <w:color w:val="000000" w:themeColor="text1"/>
          <w:sz w:val="12"/>
        </w:rPr>
        <w:t xml:space="preserve"> Cruel Optimism (</w:t>
      </w:r>
      <w:hyperlink r:id="rId14" w:anchor="b2" w:history="1">
        <w:r w:rsidRPr="007E4DEB">
          <w:rPr>
            <w:rFonts w:cs="Calibri"/>
            <w:color w:val="000000" w:themeColor="text1"/>
            <w:sz w:val="12"/>
          </w:rPr>
          <w:t>2011</w:t>
        </w:r>
      </w:hyperlink>
      <w:r w:rsidRPr="007E4DEB">
        <w:rPr>
          <w:rFonts w:cs="Calibri"/>
          <w:color w:val="000000" w:themeColor="text1"/>
          <w:sz w:val="12"/>
        </w:rPr>
        <w:t>), can be seen as developing this strand, and in particular, of indicating new ways of feeling out politics through the membrane of affect theory. Both of these authors suggest that the repertoire of the analytics of power (</w:t>
      </w:r>
      <w:hyperlink r:id="rId15" w:anchor="b6" w:history="1">
        <w:r w:rsidRPr="007E4DEB">
          <w:rPr>
            <w:rFonts w:cs="Calibri"/>
            <w:color w:val="000000" w:themeColor="text1"/>
            <w:sz w:val="12"/>
          </w:rPr>
          <w:t>Foucault: 1990</w:t>
        </w:r>
      </w:hyperlink>
      <w:r w:rsidRPr="007E4DEB">
        <w:rPr>
          <w:rFonts w:cs="Calibri"/>
          <w:color w:val="000000" w:themeColor="text1"/>
          <w:sz w:val="12"/>
        </w:rPr>
        <w:t>) must be supplemented with resources from the affective turn. Recent critiques of affect theory</w:t>
      </w:r>
      <w:hyperlink r:id="rId16" w:anchor="f2" w:history="1">
        <w:r w:rsidRPr="007E4DEB">
          <w:rPr>
            <w:rFonts w:cs="Calibri"/>
            <w:color w:val="000000" w:themeColor="text1"/>
            <w:sz w:val="12"/>
          </w:rPr>
          <w:t>2</w:t>
        </w:r>
      </w:hyperlink>
      <w:r w:rsidRPr="007E4DEB">
        <w:rPr>
          <w:rFonts w:cs="Calibri"/>
          <w:color w:val="000000" w:themeColor="text1"/>
          <w:sz w:val="12"/>
        </w:rPr>
        <w:t xml:space="preserve"> have focused on a branch of affect theory heavily informed by Gilles Deleuze's reading of Spinoza. In this strand, affect is rendered as a set of ontological properties, as an ensemble of mutable attributes.</w:t>
      </w:r>
      <w:hyperlink r:id="rId17" w:anchor="f3" w:history="1">
        <w:r w:rsidRPr="007E4DEB">
          <w:rPr>
            <w:rFonts w:cs="Calibri"/>
            <w:color w:val="000000" w:themeColor="text1"/>
            <w:sz w:val="12"/>
          </w:rPr>
          <w:t>3</w:t>
        </w:r>
      </w:hyperlink>
      <w:r w:rsidRPr="007E4DEB">
        <w:rPr>
          <w:rFonts w:cs="Calibri"/>
          <w:color w:val="000000" w:themeColor="text1"/>
          <w:sz w:val="12"/>
        </w:rPr>
        <w:t xml:space="preserve"> Contemporary </w:t>
      </w:r>
      <w:proofErr w:type="spellStart"/>
      <w:r w:rsidRPr="007E4DEB">
        <w:rPr>
          <w:rFonts w:cs="Calibri"/>
          <w:color w:val="000000" w:themeColor="text1"/>
          <w:sz w:val="12"/>
        </w:rPr>
        <w:t>Deleuzians</w:t>
      </w:r>
      <w:proofErr w:type="spellEnd"/>
      <w:r w:rsidRPr="007E4DEB">
        <w:rPr>
          <w:rFonts w:cs="Calibri"/>
          <w:color w:val="000000" w:themeColor="text1"/>
          <w:sz w:val="12"/>
        </w:rPr>
        <w:t xml:space="preserve"> such as Brian Massumi</w:t>
      </w:r>
      <w:hyperlink r:id="rId18" w:anchor="f4" w:history="1">
        <w:r w:rsidRPr="007E4DEB">
          <w:rPr>
            <w:rFonts w:cs="Calibri"/>
            <w:color w:val="000000" w:themeColor="text1"/>
            <w:sz w:val="12"/>
          </w:rPr>
          <w:t>4</w:t>
        </w:r>
      </w:hyperlink>
      <w:r w:rsidRPr="007E4DEB">
        <w:rPr>
          <w:rFonts w:cs="Calibri"/>
          <w:color w:val="000000" w:themeColor="text1"/>
          <w:sz w:val="12"/>
        </w:rPr>
        <w:t xml:space="preserve"> and William Connolly</w:t>
      </w:r>
      <w:hyperlink r:id="rId19" w:anchor="f5" w:history="1">
        <w:r w:rsidRPr="007E4DEB">
          <w:rPr>
            <w:rFonts w:cs="Calibri"/>
            <w:color w:val="000000" w:themeColor="text1"/>
            <w:sz w:val="12"/>
          </w:rPr>
          <w:t>5</w:t>
        </w:r>
      </w:hyperlink>
      <w:r w:rsidRPr="007E4DEB">
        <w:rPr>
          <w:rFonts w:cs="Calibri"/>
          <w:color w:val="000000" w:themeColor="text1"/>
          <w:sz w:val="12"/>
        </w:rPr>
        <w:t xml:space="preserve"> have been targeted by these critics for their attempts at absorbing scientific research into the </w:t>
      </w:r>
      <w:proofErr w:type="spellStart"/>
      <w:r w:rsidRPr="007E4DEB">
        <w:rPr>
          <w:rFonts w:cs="Calibri"/>
          <w:color w:val="000000" w:themeColor="text1"/>
          <w:sz w:val="12"/>
        </w:rPr>
        <w:t>Spinozistic</w:t>
      </w:r>
      <w:proofErr w:type="spellEnd"/>
      <w:r w:rsidRPr="007E4DEB">
        <w:rPr>
          <w:rFonts w:cs="Calibri"/>
          <w:color w:val="000000" w:themeColor="text1"/>
          <w:sz w:val="12"/>
        </w:rPr>
        <w:t xml:space="preserve"> discourse of affect. But Spinoza and Deleuze are second-tier characters in Ahmed and </w:t>
      </w:r>
      <w:proofErr w:type="spellStart"/>
      <w:r w:rsidRPr="007E4DEB">
        <w:rPr>
          <w:rFonts w:cs="Calibri"/>
          <w:color w:val="000000" w:themeColor="text1"/>
          <w:sz w:val="12"/>
        </w:rPr>
        <w:t>Berlant's</w:t>
      </w:r>
      <w:proofErr w:type="spellEnd"/>
      <w:r w:rsidRPr="007E4DEB">
        <w:rPr>
          <w:rFonts w:cs="Calibri"/>
          <w:color w:val="000000" w:themeColor="text1"/>
          <w:sz w:val="12"/>
        </w:rPr>
        <w:t xml:space="preserve"> work—which is perhaps why Ahmed situates herself in a lineage—stretching back to Sedgwick—that she calls "feminist cultural studies of affect"</w:t>
      </w:r>
      <w:hyperlink r:id="rId20" w:anchor="f6" w:history="1">
        <w:r w:rsidRPr="007E4DEB">
          <w:rPr>
            <w:rFonts w:cs="Calibri"/>
            <w:color w:val="000000" w:themeColor="text1"/>
            <w:sz w:val="12"/>
          </w:rPr>
          <w:t>6</w:t>
        </w:r>
      </w:hyperlink>
      <w:r w:rsidRPr="007E4DEB">
        <w:rPr>
          <w:rFonts w:cs="Calibri"/>
          <w:color w:val="000000" w:themeColor="text1"/>
          <w:sz w:val="12"/>
        </w:rPr>
        <w:t xml:space="preserve"> (</w:t>
      </w:r>
      <w:hyperlink r:id="rId21" w:anchor="b1" w:history="1">
        <w:r w:rsidRPr="007E4DEB">
          <w:rPr>
            <w:rFonts w:cs="Calibri"/>
            <w:color w:val="000000" w:themeColor="text1"/>
            <w:sz w:val="12"/>
          </w:rPr>
          <w:t>Ahmed: 2010, 13</w:t>
        </w:r>
      </w:hyperlink>
      <w:r w:rsidRPr="007E4DEB">
        <w:rPr>
          <w:rFonts w:cs="Calibri"/>
          <w:color w:val="000000" w:themeColor="text1"/>
          <w:sz w:val="12"/>
        </w:rPr>
        <w:t xml:space="preserve">). Where the </w:t>
      </w:r>
      <w:proofErr w:type="spellStart"/>
      <w:r w:rsidRPr="007E4DEB">
        <w:rPr>
          <w:rFonts w:cs="Calibri"/>
          <w:color w:val="000000" w:themeColor="text1"/>
          <w:sz w:val="12"/>
        </w:rPr>
        <w:t>Deleuzian</w:t>
      </w:r>
      <w:proofErr w:type="spellEnd"/>
      <w:r w:rsidRPr="007E4DEB">
        <w:rPr>
          <w:rFonts w:cs="Calibri"/>
          <w:color w:val="000000" w:themeColor="text1"/>
          <w:sz w:val="12"/>
        </w:rPr>
        <w:t xml:space="preserve"> strands focuses on affect as the raw material of becoming, as the play of substances, Ahmed and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locate </w:t>
      </w:r>
      <w:r w:rsidRPr="007E4DEB">
        <w:rPr>
          <w:rFonts w:cs="Calibri"/>
          <w:b/>
          <w:color w:val="000000" w:themeColor="text1"/>
          <w:u w:val="single"/>
        </w:rPr>
        <w:t>affect theory [is]</w:t>
      </w:r>
      <w:r w:rsidRPr="007E4DEB">
        <w:rPr>
          <w:rFonts w:cs="Calibri"/>
          <w:color w:val="000000" w:themeColor="text1"/>
          <w:sz w:val="12"/>
        </w:rPr>
        <w:t xml:space="preserve"> as a </w:t>
      </w:r>
      <w:r w:rsidRPr="007E4DEB">
        <w:rPr>
          <w:rFonts w:cs="Calibri"/>
          <w:b/>
          <w:color w:val="000000" w:themeColor="text1"/>
          <w:u w:val="single"/>
        </w:rPr>
        <w:t>phenomenological, rather than ontological</w:t>
      </w:r>
      <w:r w:rsidRPr="007E4DEB">
        <w:rPr>
          <w:rFonts w:cs="Calibri"/>
          <w:color w:val="000000" w:themeColor="text1"/>
          <w:sz w:val="12"/>
        </w:rPr>
        <w:t xml:space="preserve"> enterprise. It is in the phenomenology of the political that Ahmed and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ground their projects. For Ahmed, this comes in the form of a new attention to happiness as an object of analysis. This does not mean a circumscribed exploration of happiness as a thing, but rather programmatically asking the question "what does happiness do?" (</w:t>
      </w:r>
      <w:hyperlink r:id="rId22" w:anchor="b1" w:history="1">
        <w:r w:rsidRPr="007E4DEB">
          <w:rPr>
            <w:rFonts w:cs="Calibri"/>
            <w:color w:val="000000" w:themeColor="text1"/>
            <w:sz w:val="12"/>
          </w:rPr>
          <w:t>Ahmed: 2010, 2</w:t>
        </w:r>
      </w:hyperlink>
      <w:r w:rsidRPr="007E4DEB">
        <w:rPr>
          <w:rFonts w:cs="Calibri"/>
          <w:color w:val="000000" w:themeColor="text1"/>
          <w:sz w:val="12"/>
        </w:rPr>
        <w:t xml:space="preserve">). </w:t>
      </w:r>
      <w:r w:rsidRPr="007E4DEB">
        <w:rPr>
          <w:rFonts w:cs="Calibri"/>
          <w:b/>
          <w:color w:val="000000" w:themeColor="text1"/>
          <w:u w:val="single"/>
        </w:rPr>
        <w:t>Happiness is not autonomous,</w:t>
      </w:r>
      <w:r w:rsidRPr="007E4DEB">
        <w:rPr>
          <w:rFonts w:cs="Calibri"/>
          <w:color w:val="000000" w:themeColor="text1"/>
          <w:sz w:val="12"/>
        </w:rPr>
        <w:t xml:space="preserve"> Ahmed argues, </w:t>
      </w:r>
      <w:r w:rsidRPr="007E4DEB">
        <w:rPr>
          <w:rFonts w:cs="Calibri"/>
          <w:b/>
          <w:color w:val="000000" w:themeColor="text1"/>
          <w:u w:val="single"/>
        </w:rPr>
        <w:t>but a relationship of evaluation that creates the horizon of the self.</w:t>
      </w:r>
      <w:r w:rsidRPr="007E4DEB">
        <w:rPr>
          <w:rFonts w:cs="Calibri"/>
          <w:color w:val="000000" w:themeColor="text1"/>
          <w:sz w:val="12"/>
        </w:rPr>
        <w:t xml:space="preserve"> For Ahmed, the "near sphere" of </w:t>
      </w:r>
      <w:r w:rsidRPr="007E4DEB">
        <w:rPr>
          <w:rFonts w:cs="Calibri"/>
          <w:b/>
          <w:color w:val="000000" w:themeColor="text1"/>
          <w:u w:val="single"/>
        </w:rPr>
        <w:t>the self is constituted by a perimeter studded with "happy objects." This cluster</w:t>
      </w:r>
      <w:r w:rsidRPr="007E4DEB">
        <w:rPr>
          <w:rFonts w:cs="Calibri"/>
          <w:color w:val="000000" w:themeColor="text1"/>
          <w:sz w:val="12"/>
        </w:rPr>
        <w:t xml:space="preserve"> of objects </w:t>
      </w:r>
      <w:r w:rsidRPr="007E4DEB">
        <w:rPr>
          <w:rFonts w:cs="Calibri"/>
          <w:b/>
          <w:color w:val="000000" w:themeColor="text1"/>
          <w:u w:val="single"/>
        </w:rPr>
        <w:t>is what gives the field of mobile operations of the self its shape</w:t>
      </w:r>
      <w:r w:rsidRPr="007E4DEB">
        <w:rPr>
          <w:rFonts w:cs="Calibri"/>
          <w:color w:val="000000" w:themeColor="text1"/>
          <w:sz w:val="12"/>
        </w:rPr>
        <w:t>. In this "drama of contingency," we "come to have our likes, which might even establish what we are like" (</w:t>
      </w:r>
      <w:hyperlink r:id="rId23" w:anchor="b1" w:history="1">
        <w:r w:rsidRPr="007E4DEB">
          <w:rPr>
            <w:rFonts w:cs="Calibri"/>
            <w:color w:val="000000" w:themeColor="text1"/>
            <w:sz w:val="12"/>
          </w:rPr>
          <w:t>Ahmed: 2010, 24</w:t>
        </w:r>
      </w:hyperlink>
      <w:r w:rsidRPr="007E4DEB">
        <w:rPr>
          <w:rFonts w:cs="Calibri"/>
          <w:color w:val="000000" w:themeColor="text1"/>
          <w:sz w:val="12"/>
        </w:rPr>
        <w:t xml:space="preserve">). But for Ahmed, happiness as an affective field settling in proximity to bodies is not necessarily transparent in its shape or its function to the self. Happiness often takes the form, she suggests, of a promise, of a deferred possibility. Taking the phenomenological tradition of Edmund Husserl as a springboard for a discussion of time-consciousness, she suggests that happiness as a promise—from the Latin verb </w:t>
      </w:r>
      <w:proofErr w:type="spellStart"/>
      <w:r w:rsidRPr="007E4DEB">
        <w:rPr>
          <w:rFonts w:cs="Calibri"/>
          <w:color w:val="000000" w:themeColor="text1"/>
          <w:sz w:val="12"/>
        </w:rPr>
        <w:t>promittere</w:t>
      </w:r>
      <w:proofErr w:type="spellEnd"/>
      <w:r w:rsidRPr="007E4DEB">
        <w:rPr>
          <w:rFonts w:cs="Calibri"/>
          <w:color w:val="000000" w:themeColor="text1"/>
          <w:sz w:val="12"/>
        </w:rPr>
        <w:t>, "to let go or send forth"—is an anticipation rather than a felt presence (</w:t>
      </w:r>
      <w:hyperlink r:id="rId24" w:anchor="b1" w:history="1">
        <w:r w:rsidRPr="007E4DEB">
          <w:rPr>
            <w:rFonts w:cs="Calibri"/>
            <w:color w:val="000000" w:themeColor="text1"/>
            <w:sz w:val="12"/>
          </w:rPr>
          <w:t>Ahmed: 2010, 38</w:t>
        </w:r>
      </w:hyperlink>
      <w:r w:rsidRPr="007E4DEB">
        <w:rPr>
          <w:rFonts w:cs="Calibri"/>
          <w:color w:val="000000" w:themeColor="text1"/>
          <w:sz w:val="12"/>
        </w:rPr>
        <w:t>). Rather than simply an affect that circulates between bodies and objects, happiness is also a promise that is passed around. This analysis of the promise of happiness underpins the genealogy Ahmed organizes in the opening chapter of the book: an exploration of the contemporary "happiness turn" in scholarship and the "happiness industry" emerging in parallel in popular media marketplaces. This discourse, she suggests, moves happiness further away from its etymological origin point—in the Middle English hap or fortune, cognate with "perhaps" and "happenstance"— suggesting chance to a sense of happiness as a scheme, a program that, if followed, leads to ultimate good (</w:t>
      </w:r>
      <w:hyperlink r:id="rId25" w:anchor="b1" w:history="1">
        <w:r w:rsidRPr="007E4DEB">
          <w:rPr>
            <w:rFonts w:cs="Calibri"/>
            <w:color w:val="000000" w:themeColor="text1"/>
            <w:sz w:val="12"/>
          </w:rPr>
          <w:t>Ahmed: 2010, 6</w:t>
        </w:r>
      </w:hyperlink>
      <w:r w:rsidRPr="007E4DEB">
        <w:rPr>
          <w:rFonts w:cs="Calibri"/>
          <w:color w:val="000000" w:themeColor="text1"/>
          <w:sz w:val="12"/>
        </w:rPr>
        <w:t>). This sense of the promise of happiness is the elimination of contingency by guaranteeing the futurity of happiness: "The promise of happiness takes this form: if you have this or have that, or if you do this or do that, then happiness is what follows" (</w:t>
      </w:r>
      <w:hyperlink r:id="rId26" w:anchor="b1" w:history="1">
        <w:r w:rsidRPr="007E4DEB">
          <w:rPr>
            <w:rFonts w:cs="Calibri"/>
            <w:color w:val="000000" w:themeColor="text1"/>
            <w:sz w:val="12"/>
          </w:rPr>
          <w:t>Ahmed: 2010, 29</w:t>
        </w:r>
      </w:hyperlink>
      <w:r w:rsidRPr="007E4DEB">
        <w:rPr>
          <w:rFonts w:cs="Calibri"/>
          <w:color w:val="000000" w:themeColor="text1"/>
          <w:sz w:val="12"/>
        </w:rPr>
        <w:t>). Happiness as a guarantee—a promise that circulates through power-knowledge regimes—but one that defers happiness rather than making happiness present, is one of the mechanisms by which happiness is translated into the skin of a political organism, an "affective community"—such as a family or a society. Through the promise of happiness, bodies are brought together by a shared expectation of future comfort. But because this is a promise rather than immediate happiness, an interstice is formed between this promise and individual experiencing bodies— an interstice that can either be full and complete or disconnected. The family, for instance, does not share a happiness, but a happiness deferred, a promise or image of happiness to-come (</w:t>
      </w:r>
      <w:hyperlink r:id="rId27" w:anchor="b1" w:history="1">
        <w:r w:rsidRPr="007E4DEB">
          <w:rPr>
            <w:rFonts w:cs="Calibri"/>
            <w:color w:val="000000" w:themeColor="text1"/>
            <w:sz w:val="12"/>
          </w:rPr>
          <w:t>Ahmed: 2010, 46</w:t>
        </w:r>
      </w:hyperlink>
      <w:r w:rsidRPr="007E4DEB">
        <w:rPr>
          <w:rFonts w:cs="Calibri"/>
          <w:color w:val="000000" w:themeColor="text1"/>
          <w:sz w:val="12"/>
        </w:rPr>
        <w:t>). It is in this interstice, either blockaded or fluid, that Ahmed articulates the need for a politics of killing joy, of breaking down the promise of happiness as a regime that demands fidelity without recourse. For Ahmed, the discourse of happiness is performative: it produces a politics of promise (or nostalgia) that suffocates alternative promises and alternative explorations. Here Ahmed produces biographies of a range of "affect aliens," bodies that are called on to be silent and accept the happiness that has been promised, while their actual desires and hopes are out of joint with the world around them: feminist killjoys, unhappy queers, melancholic migrants. The promise of happiness, Ahmed suggests, must be interrupted to make room for emancipatory politics. "I am not saying that we have an obligation to be unhappy," she writes, "I am simply suggesting that we need to think about unhappiness as more than a feeling that should be overcome" (</w:t>
      </w:r>
      <w:hyperlink r:id="rId28" w:anchor="b1" w:history="1">
        <w:r w:rsidRPr="007E4DEB">
          <w:rPr>
            <w:rFonts w:cs="Calibri"/>
            <w:color w:val="000000" w:themeColor="text1"/>
            <w:sz w:val="12"/>
          </w:rPr>
          <w:t>Ahmed: 2010, 217</w:t>
        </w:r>
      </w:hyperlink>
      <w:r w:rsidRPr="007E4DEB">
        <w:rPr>
          <w:rFonts w:cs="Calibri"/>
          <w:color w:val="000000" w:themeColor="text1"/>
          <w:sz w:val="12"/>
        </w:rPr>
        <w:t>). In the closing passage of the book she writes that since "the desire for happiness can cover signs of its negation, a revolutionary politics has to work hard to stay proximate to unhappiness" (</w:t>
      </w:r>
      <w:hyperlink r:id="rId29" w:anchor="b1" w:history="1">
        <w:r w:rsidRPr="007E4DEB">
          <w:rPr>
            <w:rFonts w:cs="Calibri"/>
            <w:color w:val="000000" w:themeColor="text1"/>
            <w:sz w:val="12"/>
          </w:rPr>
          <w:t>Ahmed: 2010, 223</w:t>
        </w:r>
      </w:hyperlink>
      <w:r w:rsidRPr="007E4DEB">
        <w:rPr>
          <w:rFonts w:cs="Calibri"/>
          <w:color w:val="000000" w:themeColor="text1"/>
          <w:sz w:val="12"/>
        </w:rPr>
        <w:t xml:space="preserve">). Political change, Ahmed contends, is paralyzed by the imperative to be happy, to stay within the narrow guidelines of happiness's promise. Where Ahmed's background is in a western philosophical lineage that leads up to contemporary questions of affect, the immediate theoretical precursor of Lauren </w:t>
      </w:r>
      <w:proofErr w:type="spellStart"/>
      <w:r w:rsidRPr="007E4DEB">
        <w:rPr>
          <w:rFonts w:cs="Calibri"/>
          <w:color w:val="000000" w:themeColor="text1"/>
          <w:sz w:val="12"/>
        </w:rPr>
        <w:t>Berlant's</w:t>
      </w:r>
      <w:proofErr w:type="spellEnd"/>
      <w:r w:rsidRPr="007E4DEB">
        <w:rPr>
          <w:rFonts w:cs="Calibri"/>
          <w:color w:val="000000" w:themeColor="text1"/>
          <w:sz w:val="12"/>
        </w:rPr>
        <w:t xml:space="preserve"> Cruel Optimism is Kathleen Stewart's Ordinary Affects (</w:t>
      </w:r>
      <w:hyperlink r:id="rId30" w:anchor="b12" w:history="1">
        <w:r w:rsidRPr="007E4DEB">
          <w:rPr>
            <w:rFonts w:cs="Calibri"/>
            <w:color w:val="000000" w:themeColor="text1"/>
            <w:sz w:val="12"/>
          </w:rPr>
          <w:t>2007</w:t>
        </w:r>
      </w:hyperlink>
      <w:r w:rsidRPr="007E4DEB">
        <w:rPr>
          <w:rFonts w:cs="Calibri"/>
          <w:color w:val="000000" w:themeColor="text1"/>
          <w:sz w:val="12"/>
        </w:rPr>
        <w:t>), which develops the notion of the "ordinary" as a felt reality. "Ordinary affects," Stewart writes, "are the varied, surging capacities to affect and to be affected that give everyday life the quality of a continual motion of relations, scenes, contingencies, and emergences" (</w:t>
      </w:r>
      <w:hyperlink r:id="rId31" w:anchor="b12" w:history="1">
        <w:r w:rsidRPr="007E4DEB">
          <w:rPr>
            <w:rFonts w:cs="Calibri"/>
            <w:color w:val="000000" w:themeColor="text1"/>
            <w:sz w:val="12"/>
          </w:rPr>
          <w:t>Stewart: 2007, 1f</w:t>
        </w:r>
      </w:hyperlink>
      <w:r w:rsidRPr="007E4DEB">
        <w:rPr>
          <w:rFonts w:cs="Calibri"/>
          <w:color w:val="000000" w:themeColor="text1"/>
          <w:sz w:val="12"/>
        </w:rPr>
        <w:t xml:space="preserve">).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is interested in particular in how the ordinary comes to take the form of a sort of affective impasse, a set of felt relationships that cannot be moved through. Cruel Optimism is a focused study of a particular category of impasse, what she calls "cruel optimism." </w:t>
      </w:r>
      <w:r w:rsidRPr="007E4DEB">
        <w:rPr>
          <w:rFonts w:cs="Calibri"/>
          <w:b/>
          <w:color w:val="000000" w:themeColor="text1"/>
          <w:highlight w:val="yellow"/>
          <w:u w:val="single"/>
        </w:rPr>
        <w:t>Cruel optimism</w:t>
      </w:r>
      <w:r w:rsidRPr="007E4DEB">
        <w:rPr>
          <w:rFonts w:cs="Calibri"/>
          <w:color w:val="000000" w:themeColor="text1"/>
          <w:sz w:val="12"/>
        </w:rPr>
        <w:t xml:space="preserve">, she explains at the book's outset, refers to a relation that </w:t>
      </w:r>
      <w:r w:rsidRPr="007E4DEB">
        <w:rPr>
          <w:rFonts w:cs="Calibri"/>
          <w:b/>
          <w:color w:val="000000" w:themeColor="text1"/>
          <w:highlight w:val="yellow"/>
          <w:u w:val="single"/>
        </w:rPr>
        <w:t>emerges "when something you desire is actually an obstacle to your flourishing</w:t>
      </w:r>
      <w:r w:rsidRPr="007E4DEB">
        <w:rPr>
          <w:rFonts w:cs="Calibri"/>
          <w:color w:val="000000" w:themeColor="text1"/>
          <w:sz w:val="12"/>
        </w:rPr>
        <w:t xml:space="preserve">. It might involve food, or a kind of love; </w:t>
      </w:r>
      <w:r w:rsidRPr="007E4DEB">
        <w:rPr>
          <w:rFonts w:cs="Calibri"/>
          <w:b/>
          <w:color w:val="000000" w:themeColor="text1"/>
          <w:u w:val="single"/>
        </w:rPr>
        <w:t xml:space="preserve">it might be </w:t>
      </w:r>
      <w:r w:rsidRPr="007E4DEB">
        <w:rPr>
          <w:rFonts w:cs="Calibri"/>
          <w:b/>
          <w:color w:val="000000" w:themeColor="text1"/>
          <w:highlight w:val="yellow"/>
          <w:u w:val="single"/>
        </w:rPr>
        <w:t>a fantasy of the good life, or a political project</w:t>
      </w:r>
      <w:r w:rsidRPr="007E4DEB">
        <w:rPr>
          <w:rFonts w:cs="Calibri"/>
          <w:color w:val="000000" w:themeColor="text1"/>
          <w:sz w:val="12"/>
        </w:rPr>
        <w:t>" (</w:t>
      </w:r>
      <w:proofErr w:type="spellStart"/>
      <w:r>
        <w:fldChar w:fldCharType="begin"/>
      </w:r>
      <w:r>
        <w:instrText xml:space="preserve"> HYPERLINK "https://muse.jhu.edu/article/509908" \l "b2"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2011, 1</w:t>
      </w:r>
      <w:r>
        <w:rPr>
          <w:rFonts w:cs="Calibri"/>
          <w:color w:val="000000" w:themeColor="text1"/>
          <w:sz w:val="12"/>
        </w:rPr>
        <w:fldChar w:fldCharType="end"/>
      </w:r>
      <w:r w:rsidRPr="007E4DEB">
        <w:rPr>
          <w:rFonts w:cs="Calibri"/>
          <w:color w:val="000000" w:themeColor="text1"/>
          <w:sz w:val="12"/>
        </w:rPr>
        <w:t xml:space="preserve">).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explores a range of situations where </w:t>
      </w:r>
      <w:r w:rsidRPr="007E4DEB">
        <w:rPr>
          <w:rFonts w:cs="Calibri"/>
          <w:b/>
          <w:color w:val="000000" w:themeColor="text1"/>
          <w:u w:val="single"/>
        </w:rPr>
        <w:t>these attachments emerge, as a response to trauma or out of the ongoing pressures of the ordinary</w:t>
      </w:r>
      <w:r w:rsidRPr="007E4DEB">
        <w:rPr>
          <w:rFonts w:cs="Calibri"/>
          <w:color w:val="000000" w:themeColor="text1"/>
          <w:sz w:val="12"/>
        </w:rPr>
        <w:t>, in particular through the parameters of what she calls "genres of precarity," a range of aesthetic practices and styles—"mass media, literature, television, film, and video"—that ... emerge during the 1990s to register a shift in how the older state-liberal-capitalist fantasies shape adjustments to the structural pressures of crisis and loss that are wearing out the power of the good life's traditional fantasy bribe without wearing out the need for a good life (</w:t>
      </w:r>
      <w:proofErr w:type="spellStart"/>
      <w:r>
        <w:fldChar w:fldCharType="begin"/>
      </w:r>
      <w:r>
        <w:instrText xml:space="preserve"> HYPERLINK "https://muse.jhu.edu/article/509908" \l "b2"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2011, 7</w:t>
      </w:r>
      <w:r>
        <w:rPr>
          <w:rFonts w:cs="Calibri"/>
          <w:color w:val="000000" w:themeColor="text1"/>
          <w:sz w:val="12"/>
        </w:rPr>
        <w:fldChar w:fldCharType="end"/>
      </w:r>
      <w:r w:rsidRPr="007E4DEB">
        <w:rPr>
          <w:rFonts w:cs="Calibri"/>
          <w:color w:val="000000" w:themeColor="text1"/>
          <w:sz w:val="12"/>
        </w:rPr>
        <w:t xml:space="preserve">). Realism: texts always reflect an affective situation, a force field of desires, a labile contact zone between bodies and intersecting historical frames. Framing literary criticism (broadly construed) as a practice of </w:t>
      </w:r>
      <w:r w:rsidRPr="007E4DEB">
        <w:rPr>
          <w:rFonts w:cs="Calibri"/>
          <w:b/>
          <w:color w:val="000000" w:themeColor="text1"/>
          <w:u w:val="single"/>
        </w:rPr>
        <w:t>tracing the connective tissue between bodies and situations</w:t>
      </w:r>
      <w:r w:rsidRPr="007E4DEB">
        <w:rPr>
          <w:rFonts w:cs="Calibri"/>
          <w:b/>
          <w:color w:val="000000" w:themeColor="text1"/>
          <w:sz w:val="12"/>
          <w:u w:val="single"/>
        </w:rPr>
        <w:t xml:space="preserve"> </w:t>
      </w:r>
      <w:r w:rsidRPr="007E4DEB">
        <w:rPr>
          <w:rFonts w:cs="Calibri"/>
          <w:b/>
          <w:color w:val="000000" w:themeColor="text1"/>
          <w:u w:val="single"/>
        </w:rPr>
        <w:t>is</w:t>
      </w:r>
      <w:r w:rsidRPr="007E4DEB">
        <w:rPr>
          <w:rFonts w:cs="Calibri"/>
          <w:color w:val="000000" w:themeColor="text1"/>
          <w:sz w:val="12"/>
        </w:rPr>
        <w:t xml:space="preserve"> what lets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speak to </w:t>
      </w:r>
      <w:r w:rsidRPr="007E4DEB">
        <w:rPr>
          <w:rFonts w:cs="Calibri"/>
          <w:b/>
          <w:color w:val="000000" w:themeColor="text1"/>
          <w:u w:val="single"/>
        </w:rPr>
        <w:t>the political use</w:t>
      </w:r>
      <w:r w:rsidRPr="007E4DEB">
        <w:rPr>
          <w:rFonts w:cs="Calibri"/>
          <w:color w:val="000000" w:themeColor="text1"/>
          <w:sz w:val="12"/>
        </w:rPr>
        <w:t xml:space="preserve">s </w:t>
      </w:r>
      <w:r w:rsidRPr="007E4DEB">
        <w:rPr>
          <w:rFonts w:cs="Calibri"/>
          <w:b/>
          <w:color w:val="000000" w:themeColor="text1"/>
          <w:u w:val="single"/>
        </w:rPr>
        <w:t>of affect</w:t>
      </w:r>
      <w:r w:rsidRPr="007E4DEB">
        <w:rPr>
          <w:rFonts w:cs="Calibri"/>
          <w:color w:val="000000" w:themeColor="text1"/>
          <w:sz w:val="12"/>
        </w:rPr>
        <w:t>. She suggests that affect theory is a "another phase in the history of ideology theory," that it "brings us back to the encounter of what is sensed with what is known and what has impact in a new but also recognizable way" (</w:t>
      </w:r>
      <w:proofErr w:type="spellStart"/>
      <w:r>
        <w:fldChar w:fldCharType="begin"/>
      </w:r>
      <w:r>
        <w:instrText xml:space="preserve"> HYPERLINK "https://muse.jhu.edu/article/509908" \l "b2"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2011, 53</w:t>
      </w:r>
      <w:r>
        <w:rPr>
          <w:rFonts w:cs="Calibri"/>
          <w:color w:val="000000" w:themeColor="text1"/>
          <w:sz w:val="12"/>
        </w:rPr>
        <w:fldChar w:fldCharType="end"/>
      </w:r>
      <w:r w:rsidRPr="007E4DEB">
        <w:rPr>
          <w:rFonts w:cs="Calibri"/>
          <w:color w:val="000000" w:themeColor="text1"/>
          <w:sz w:val="12"/>
        </w:rPr>
        <w:t xml:space="preserve">). </w:t>
      </w:r>
      <w:r w:rsidRPr="007E4DEB">
        <w:rPr>
          <w:rFonts w:cs="Calibri"/>
          <w:b/>
          <w:color w:val="000000" w:themeColor="text1"/>
          <w:highlight w:val="yellow"/>
          <w:u w:val="single"/>
        </w:rPr>
        <w:t>Affect</w:t>
      </w:r>
      <w:r w:rsidRPr="007E4DEB">
        <w:rPr>
          <w:rFonts w:cs="Calibri"/>
          <w:color w:val="000000" w:themeColor="text1"/>
          <w:sz w:val="12"/>
        </w:rPr>
        <w:t>—especially ordinary affect—</w:t>
      </w:r>
      <w:r w:rsidRPr="007E4DEB">
        <w:rPr>
          <w:rFonts w:cs="Calibri"/>
          <w:b/>
          <w:color w:val="000000" w:themeColor="text1"/>
          <w:highlight w:val="yellow"/>
          <w:u w:val="single"/>
        </w:rPr>
        <w:t>is the missing link between discursive regimes and bodies</w:t>
      </w:r>
      <w:r w:rsidRPr="007E4DEB">
        <w:rPr>
          <w:rFonts w:cs="Calibri"/>
          <w:b/>
          <w:color w:val="000000" w:themeColor="text1"/>
          <w:u w:val="single"/>
        </w:rPr>
        <w:t xml:space="preserve">, the arterial linkages through which power is disseminated. "The present" is not an assemblage of texts and knowledges, bloodless discursive inscriptions on the body, </w:t>
      </w:r>
      <w:r w:rsidRPr="007E4DEB">
        <w:rPr>
          <w:rFonts w:cs="Calibri"/>
          <w:b/>
          <w:color w:val="000000" w:themeColor="text1"/>
          <w:highlight w:val="yellow"/>
          <w:u w:val="single"/>
        </w:rPr>
        <w:t xml:space="preserve">but a felt sense out of which political circumstances emerge. </w:t>
      </w:r>
      <w:r w:rsidRPr="007E4DEB">
        <w:rPr>
          <w:rFonts w:cs="Calibri"/>
          <w:b/>
          <w:color w:val="000000" w:themeColor="text1"/>
          <w:u w:val="single"/>
        </w:rPr>
        <w:t>"</w:t>
      </w:r>
      <w:r w:rsidRPr="007E4DEB">
        <w:rPr>
          <w:rFonts w:cs="Calibri"/>
          <w:b/>
          <w:color w:val="000000" w:themeColor="text1"/>
          <w:highlight w:val="yellow"/>
          <w:u w:val="single"/>
        </w:rPr>
        <w:t>We understand nothing about</w:t>
      </w:r>
      <w:r w:rsidRPr="007E4DEB">
        <w:rPr>
          <w:rFonts w:cs="Calibri"/>
          <w:b/>
          <w:color w:val="000000" w:themeColor="text1"/>
          <w:u w:val="single"/>
        </w:rPr>
        <w:t xml:space="preserve"> impasses of </w:t>
      </w:r>
      <w:r w:rsidRPr="007E4DEB">
        <w:rPr>
          <w:rFonts w:cs="Calibri"/>
          <w:b/>
          <w:color w:val="000000" w:themeColor="text1"/>
          <w:highlight w:val="yellow"/>
          <w:u w:val="single"/>
        </w:rPr>
        <w:t>the political</w:t>
      </w:r>
      <w:r w:rsidRPr="007E4DEB">
        <w:rPr>
          <w:rFonts w:cs="Calibri"/>
          <w:b/>
          <w:color w:val="000000" w:themeColor="text1"/>
          <w:u w:val="single"/>
        </w:rPr>
        <w:t>," she writes, "</w:t>
      </w:r>
      <w:r w:rsidRPr="007E4DEB">
        <w:rPr>
          <w:rFonts w:cs="Calibri"/>
          <w:b/>
          <w:color w:val="000000" w:themeColor="text1"/>
          <w:highlight w:val="yellow"/>
          <w:u w:val="single"/>
        </w:rPr>
        <w:t>without</w:t>
      </w:r>
      <w:r w:rsidRPr="007E4DEB">
        <w:rPr>
          <w:rFonts w:cs="Calibri"/>
          <w:b/>
          <w:color w:val="000000" w:themeColor="text1"/>
          <w:u w:val="single"/>
        </w:rPr>
        <w:t xml:space="preserve"> having </w:t>
      </w:r>
      <w:r w:rsidRPr="007E4DEB">
        <w:rPr>
          <w:rFonts w:cs="Calibri"/>
          <w:b/>
          <w:color w:val="000000" w:themeColor="text1"/>
          <w:highlight w:val="yellow"/>
          <w:u w:val="single"/>
        </w:rPr>
        <w:t>an</w:t>
      </w:r>
      <w:r w:rsidRPr="007E4DEB">
        <w:rPr>
          <w:rFonts w:cs="Calibri"/>
          <w:b/>
          <w:color w:val="000000" w:themeColor="text1"/>
          <w:u w:val="single"/>
        </w:rPr>
        <w:t xml:space="preserve"> </w:t>
      </w:r>
      <w:r w:rsidRPr="007E4DEB">
        <w:rPr>
          <w:rFonts w:cs="Calibri"/>
          <w:b/>
          <w:color w:val="000000" w:themeColor="text1"/>
          <w:highlight w:val="yellow"/>
          <w:u w:val="single"/>
        </w:rPr>
        <w:t>account of the production of the present</w:t>
      </w:r>
      <w:r w:rsidRPr="007E4DEB">
        <w:rPr>
          <w:rFonts w:cs="Calibri"/>
          <w:b/>
          <w:color w:val="000000" w:themeColor="text1"/>
          <w:u w:val="single"/>
        </w:rPr>
        <w:t>"</w:t>
      </w:r>
      <w:r w:rsidRPr="007E4DEB">
        <w:rPr>
          <w:rFonts w:cs="Calibri"/>
          <w:color w:val="000000" w:themeColor="text1"/>
          <w:sz w:val="12"/>
        </w:rPr>
        <w:t xml:space="preserve"> (</w:t>
      </w:r>
      <w:proofErr w:type="spellStart"/>
      <w:r>
        <w:fldChar w:fldCharType="begin"/>
      </w:r>
      <w:r>
        <w:instrText xml:space="preserve"> HYPERLINK "https://muse.jhu.edu/article/509908" \l "b2"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2011, 4</w:t>
      </w:r>
      <w:r>
        <w:rPr>
          <w:rFonts w:cs="Calibri"/>
          <w:color w:val="000000" w:themeColor="text1"/>
          <w:sz w:val="12"/>
        </w:rPr>
        <w:fldChar w:fldCharType="end"/>
      </w:r>
      <w:r w:rsidRPr="007E4DEB">
        <w:rPr>
          <w:rFonts w:cs="Calibri"/>
          <w:color w:val="000000" w:themeColor="text1"/>
          <w:sz w:val="12"/>
        </w:rPr>
        <w:t xml:space="preserve">). Cruel optimism as a byproduct of political situations colliding with bodies plays out in ongoing, </w:t>
      </w:r>
      <w:proofErr w:type="spellStart"/>
      <w:r w:rsidRPr="007E4DEB">
        <w:rPr>
          <w:rFonts w:cs="Calibri"/>
          <w:color w:val="000000" w:themeColor="text1"/>
          <w:sz w:val="12"/>
        </w:rPr>
        <w:t>semistable</w:t>
      </w:r>
      <w:proofErr w:type="spellEnd"/>
      <w:r w:rsidRPr="007E4DEB">
        <w:rPr>
          <w:rFonts w:cs="Calibri"/>
          <w:color w:val="000000" w:themeColor="text1"/>
          <w:sz w:val="12"/>
        </w:rPr>
        <w:t xml:space="preserve"> routines, in ordinariness. This focus on the ordinary frames </w:t>
      </w:r>
      <w:proofErr w:type="spellStart"/>
      <w:r w:rsidRPr="007E4DEB">
        <w:rPr>
          <w:rFonts w:cs="Calibri"/>
          <w:color w:val="000000" w:themeColor="text1"/>
          <w:sz w:val="12"/>
        </w:rPr>
        <w:t>Berlant's</w:t>
      </w:r>
      <w:proofErr w:type="spellEnd"/>
      <w:r w:rsidRPr="007E4DEB">
        <w:rPr>
          <w:rFonts w:cs="Calibri"/>
          <w:color w:val="000000" w:themeColor="text1"/>
          <w:sz w:val="12"/>
        </w:rPr>
        <w:t xml:space="preserve"> conception of the political as a slow-motion reaction rather than a series of staccato punctuations. This comes out, for instance, in her exhortation to move away from trauma theory as a way of "describing what happens to persons and populations as an effect of catastrophic impacts" (</w:t>
      </w:r>
      <w:proofErr w:type="spellStart"/>
      <w:r>
        <w:fldChar w:fldCharType="begin"/>
      </w:r>
      <w:r>
        <w:instrText xml:space="preserve"> HYPERLINK "https://muse.jhu.edu/article/509908" \l "b2"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2011, 9</w:t>
      </w:r>
      <w:r>
        <w:rPr>
          <w:rFonts w:cs="Calibri"/>
          <w:color w:val="000000" w:themeColor="text1"/>
          <w:sz w:val="12"/>
        </w:rPr>
        <w:fldChar w:fldCharType="end"/>
      </w:r>
      <w:r w:rsidRPr="007E4DEB">
        <w:rPr>
          <w:rFonts w:cs="Calibri"/>
          <w:color w:val="000000" w:themeColor="text1"/>
          <w:sz w:val="12"/>
        </w:rPr>
        <w:t xml:space="preserve">). Rather,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suggests that trauma is only one facet of the ordinary, a precursory event that yields new historical trajectories lived out in slow-motion. "Trauma," she writes, ... forces its subjects not into mere </w:t>
      </w:r>
      <w:proofErr w:type="spellStart"/>
      <w:r w:rsidRPr="007E4DEB">
        <w:rPr>
          <w:rFonts w:cs="Calibri"/>
          <w:color w:val="000000" w:themeColor="text1"/>
          <w:sz w:val="12"/>
        </w:rPr>
        <w:t>stuckness</w:t>
      </w:r>
      <w:proofErr w:type="spellEnd"/>
      <w:r w:rsidRPr="007E4DEB">
        <w:rPr>
          <w:rFonts w:cs="Calibri"/>
          <w:color w:val="000000" w:themeColor="text1"/>
          <w:sz w:val="12"/>
        </w:rPr>
        <w:t xml:space="preserve"> but into crisis mode, where they develop some broad, enduring intuitions about the way we live in a now that's emerging without unfolding, and imagining a historicism from within a discontinuous present and ways of being that were never sovereign (</w:t>
      </w:r>
      <w:proofErr w:type="spellStart"/>
      <w:r>
        <w:fldChar w:fldCharType="begin"/>
      </w:r>
      <w:r>
        <w:instrText xml:space="preserve"> HYPERLINK "https://muse.jhu.edu/article/509908" \l "b2"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2011, 93</w:t>
      </w:r>
      <w:r>
        <w:rPr>
          <w:rFonts w:cs="Calibri"/>
          <w:color w:val="000000" w:themeColor="text1"/>
          <w:sz w:val="12"/>
        </w:rPr>
        <w:fldChar w:fldCharType="end"/>
      </w:r>
      <w:r w:rsidRPr="007E4DEB">
        <w:rPr>
          <w:rFonts w:cs="Calibri"/>
          <w:color w:val="000000" w:themeColor="text1"/>
          <w:sz w:val="12"/>
        </w:rPr>
        <w:t xml:space="preserve">). Rather than the instantiating event,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is interested in the fallout of politics, the long-running reverberations. It is in these interwoven aftermaths following in the wake of bodies that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locates the tropic of cruel optimism. Optimism, she is careful to point out, can "feel" any number of different ways, can come clothed in any number of affective orientations. "Because optimism is ambitious," she writes, "at any moment it might not feel like anything, including nothing: dread, anxiety, hunger, curiosity, the whole gamut from the sly neutrality of browsing the aisles to excitement at the prospect of 'the change that's </w:t>
      </w:r>
      <w:proofErr w:type="spellStart"/>
      <w:r w:rsidRPr="007E4DEB">
        <w:rPr>
          <w:rFonts w:cs="Calibri"/>
          <w:color w:val="000000" w:themeColor="text1"/>
          <w:sz w:val="12"/>
        </w:rPr>
        <w:t>gonna</w:t>
      </w:r>
      <w:proofErr w:type="spellEnd"/>
      <w:r w:rsidRPr="007E4DEB">
        <w:rPr>
          <w:rFonts w:cs="Calibri"/>
          <w:color w:val="000000" w:themeColor="text1"/>
          <w:sz w:val="12"/>
        </w:rPr>
        <w:t xml:space="preserve"> come'" (</w:t>
      </w:r>
      <w:proofErr w:type="spellStart"/>
      <w:r>
        <w:fldChar w:fldCharType="begin"/>
      </w:r>
      <w:r>
        <w:instrText xml:space="preserve"> HYPERLINK "https://muse.jhu.edu/article/509908" \l "b2"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2011, 2</w:t>
      </w:r>
      <w:r>
        <w:rPr>
          <w:rFonts w:cs="Calibri"/>
          <w:color w:val="000000" w:themeColor="text1"/>
          <w:sz w:val="12"/>
        </w:rPr>
        <w:fldChar w:fldCharType="end"/>
      </w:r>
      <w:r w:rsidRPr="007E4DEB">
        <w:rPr>
          <w:rFonts w:cs="Calibri"/>
          <w:color w:val="000000" w:themeColor="text1"/>
          <w:sz w:val="12"/>
        </w:rPr>
        <w:t xml:space="preserve">). </w:t>
      </w:r>
      <w:r w:rsidRPr="007E4DEB">
        <w:rPr>
          <w:rFonts w:cs="Calibri"/>
          <w:b/>
          <w:color w:val="000000" w:themeColor="text1"/>
          <w:u w:val="single"/>
        </w:rPr>
        <w:t>Rather than a singularly identifiable feeling, optimism takes the phenomenological form of a "knotty tethering to objects, scenes, and modes of life that generate so much overwhelming yet sustaining negation" (</w:t>
      </w:r>
      <w:proofErr w:type="spellStart"/>
      <w:r>
        <w:fldChar w:fldCharType="begin"/>
      </w:r>
      <w:r>
        <w:instrText xml:space="preserve"> HYPERLINK "https://muse.jhu.edu/article/509908" \l "b2" </w:instrText>
      </w:r>
      <w:r>
        <w:fldChar w:fldCharType="separate"/>
      </w:r>
      <w:r w:rsidRPr="007E4DEB">
        <w:rPr>
          <w:rFonts w:cs="Calibri"/>
          <w:b/>
          <w:color w:val="000000" w:themeColor="text1"/>
          <w:u w:val="single"/>
        </w:rPr>
        <w:t>Berlant</w:t>
      </w:r>
      <w:proofErr w:type="spellEnd"/>
      <w:r w:rsidRPr="007E4DEB">
        <w:rPr>
          <w:rFonts w:cs="Calibri"/>
          <w:b/>
          <w:color w:val="000000" w:themeColor="text1"/>
          <w:u w:val="single"/>
        </w:rPr>
        <w:t>: 2011, 52</w:t>
      </w:r>
      <w:r>
        <w:rPr>
          <w:rFonts w:cs="Calibri"/>
          <w:b/>
          <w:color w:val="000000" w:themeColor="text1"/>
          <w:u w:val="single"/>
        </w:rPr>
        <w:fldChar w:fldCharType="end"/>
      </w:r>
      <w:r w:rsidRPr="007E4DEB">
        <w:rPr>
          <w:rFonts w:cs="Calibri"/>
          <w:b/>
          <w:color w:val="000000" w:themeColor="text1"/>
          <w:u w:val="single"/>
        </w:rPr>
        <w:t xml:space="preserve">). </w:t>
      </w:r>
      <w:r w:rsidRPr="007E4DEB">
        <w:rPr>
          <w:rFonts w:cs="Calibri"/>
          <w:b/>
          <w:color w:val="000000" w:themeColor="text1"/>
          <w:highlight w:val="yellow"/>
          <w:u w:val="single"/>
        </w:rPr>
        <w:t xml:space="preserve">Optimism binds bodies to "fantasies of the good life," </w:t>
      </w:r>
      <w:r w:rsidRPr="007E4DEB">
        <w:rPr>
          <w:rFonts w:cs="Calibri"/>
          <w:b/>
          <w:color w:val="000000" w:themeColor="text1"/>
          <w:u w:val="single"/>
        </w:rPr>
        <w:t xml:space="preserve">to horizons of </w:t>
      </w:r>
      <w:r w:rsidRPr="007E4DEB">
        <w:rPr>
          <w:rFonts w:cs="Calibri"/>
          <w:b/>
          <w:color w:val="000000" w:themeColor="text1"/>
          <w:highlight w:val="yellow"/>
          <w:u w:val="single"/>
        </w:rPr>
        <w:t xml:space="preserve">possibility that may or may not be defeated by the conditions of their own emergence. </w:t>
      </w:r>
      <w:r w:rsidRPr="007E4DEB">
        <w:rPr>
          <w:rFonts w:cs="Calibri"/>
          <w:b/>
          <w:color w:val="000000" w:themeColor="text1"/>
          <w:u w:val="single"/>
        </w:rPr>
        <w:t>Cruel optimism is the outcome of this circumstance of tethering confused by itself, of Möbius-strip cycles of ambition and frustration.</w:t>
      </w:r>
      <w:r w:rsidRPr="007E4DEB">
        <w:rPr>
          <w:rFonts w:cs="Calibri"/>
          <w:color w:val="000000" w:themeColor="text1"/>
          <w:sz w:val="12"/>
        </w:rPr>
        <w:t xml:space="preserve"> The ordinary, precisely because of its complexity, can contain the intransigent contradictions of cruel optimism (</w:t>
      </w:r>
      <w:proofErr w:type="spellStart"/>
      <w:r>
        <w:fldChar w:fldCharType="begin"/>
      </w:r>
      <w:r>
        <w:instrText xml:space="preserve"> HYPERLINK "https://muse.jhu.edu/article/509908" \l "b2"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2011, 53</w:t>
      </w:r>
      <w:r>
        <w:rPr>
          <w:rFonts w:cs="Calibri"/>
          <w:color w:val="000000" w:themeColor="text1"/>
          <w:sz w:val="12"/>
        </w:rPr>
        <w:fldChar w:fldCharType="end"/>
      </w:r>
      <w:r w:rsidRPr="007E4DEB">
        <w:rPr>
          <w:rFonts w:cs="Calibri"/>
          <w:color w:val="000000" w:themeColor="text1"/>
          <w:sz w:val="12"/>
        </w:rPr>
        <w:t xml:space="preserve">). It is the space of the rubble, the hovering dust, the shockwaves that follow the event rather than the piercing clarity of the punctum itself.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is interested in the ways that habits form out of situations of impossibility—for instance, in her reading of Gregg </w:t>
      </w:r>
      <w:proofErr w:type="spellStart"/>
      <w:r w:rsidRPr="007E4DEB">
        <w:rPr>
          <w:rFonts w:cs="Calibri"/>
          <w:color w:val="000000" w:themeColor="text1"/>
          <w:sz w:val="12"/>
        </w:rPr>
        <w:t>Bordowitz's</w:t>
      </w:r>
      <w:proofErr w:type="spellEnd"/>
      <w:r w:rsidRPr="007E4DEB">
        <w:rPr>
          <w:rFonts w:cs="Calibri"/>
          <w:color w:val="000000" w:themeColor="text1"/>
          <w:sz w:val="12"/>
        </w:rPr>
        <w:t xml:space="preserve"> documentary </w:t>
      </w:r>
      <w:proofErr w:type="spellStart"/>
      <w:r w:rsidRPr="007E4DEB">
        <w:rPr>
          <w:rFonts w:cs="Calibri"/>
          <w:color w:val="000000" w:themeColor="text1"/>
          <w:sz w:val="12"/>
        </w:rPr>
        <w:t>filmHabit</w:t>
      </w:r>
      <w:proofErr w:type="spellEnd"/>
      <w:r w:rsidRPr="007E4DEB">
        <w:rPr>
          <w:rFonts w:cs="Calibri"/>
          <w:color w:val="000000" w:themeColor="text1"/>
          <w:sz w:val="12"/>
        </w:rPr>
        <w:t xml:space="preserve"> (2001), about the body rituals that structure the daily lives of a gay man living with AIDS and his partner in New York City in the 1990s. </w:t>
      </w:r>
      <w:proofErr w:type="spellStart"/>
      <w:r w:rsidRPr="007E4DEB">
        <w:rPr>
          <w:rFonts w:cs="Calibri"/>
          <w:color w:val="000000" w:themeColor="text1"/>
          <w:sz w:val="12"/>
        </w:rPr>
        <w:t>Bordowitz's</w:t>
      </w:r>
      <w:proofErr w:type="spellEnd"/>
      <w:r w:rsidRPr="007E4DEB">
        <w:rPr>
          <w:rFonts w:cs="Calibri"/>
          <w:color w:val="000000" w:themeColor="text1"/>
          <w:sz w:val="12"/>
        </w:rPr>
        <w:t xml:space="preserve"> work maps a crisis that reflects </w:t>
      </w:r>
      <w:proofErr w:type="spellStart"/>
      <w:r w:rsidRPr="007E4DEB">
        <w:rPr>
          <w:rFonts w:cs="Calibri"/>
          <w:color w:val="000000" w:themeColor="text1"/>
          <w:sz w:val="12"/>
        </w:rPr>
        <w:t>Berlant's</w:t>
      </w:r>
      <w:proofErr w:type="spellEnd"/>
      <w:r w:rsidRPr="007E4DEB">
        <w:rPr>
          <w:rFonts w:cs="Calibri"/>
          <w:color w:val="000000" w:themeColor="text1"/>
          <w:sz w:val="12"/>
        </w:rPr>
        <w:t xml:space="preserve"> delineation of the field of the political: with the new availability of anti-retroviral drugs in the 1990s, AIDS ceased to be "a death sentence," and thus "turned fated life back into an ellipsis, a time marked by pill- and test-taking, and other things, the usual" (</w:t>
      </w:r>
      <w:proofErr w:type="spellStart"/>
      <w:r>
        <w:fldChar w:fldCharType="begin"/>
      </w:r>
      <w:r>
        <w:instrText xml:space="preserve"> HYPERLINK "https://muse.jhu.edu/article/509908" \l "b2"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2011, 58</w:t>
      </w:r>
      <w:r>
        <w:rPr>
          <w:rFonts w:cs="Calibri"/>
          <w:color w:val="000000" w:themeColor="text1"/>
          <w:sz w:val="12"/>
        </w:rPr>
        <w:fldChar w:fldCharType="end"/>
      </w:r>
      <w:r w:rsidRPr="007E4DEB">
        <w:rPr>
          <w:rFonts w:cs="Calibri"/>
          <w:color w:val="000000" w:themeColor="text1"/>
          <w:sz w:val="12"/>
        </w:rPr>
        <w:t xml:space="preserve">). For </w:t>
      </w:r>
      <w:proofErr w:type="spellStart"/>
      <w:r w:rsidRPr="007E4DEB">
        <w:rPr>
          <w:rFonts w:cs="Calibri"/>
          <w:color w:val="000000" w:themeColor="text1"/>
          <w:sz w:val="12"/>
        </w:rPr>
        <w:t>Berlant</w:t>
      </w:r>
      <w:proofErr w:type="spellEnd"/>
      <w:r w:rsidRPr="007E4DEB">
        <w:rPr>
          <w:rFonts w:cs="Calibri"/>
          <w:color w:val="000000" w:themeColor="text1"/>
          <w:sz w:val="12"/>
        </w:rPr>
        <w:t>, the event is a rarity, and is only secondarily the zone of the political, which is itself constituted by ongoing patterns of response and desire—slow-motion echoes producing new forms as they cross-cut and interfere with one another (</w:t>
      </w:r>
      <w:proofErr w:type="spellStart"/>
      <w:r>
        <w:fldChar w:fldCharType="begin"/>
      </w:r>
      <w:r>
        <w:instrText xml:space="preserve"> HYPERLINK "https://muse.jhu.edu/article/509908" \l "b2"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2011, 6</w:t>
      </w:r>
      <w:r>
        <w:rPr>
          <w:rFonts w:cs="Calibri"/>
          <w:color w:val="000000" w:themeColor="text1"/>
          <w:sz w:val="12"/>
        </w:rPr>
        <w:fldChar w:fldCharType="end"/>
      </w:r>
      <w:r w:rsidRPr="007E4DEB">
        <w:rPr>
          <w:rFonts w:cs="Calibri"/>
          <w:color w:val="000000" w:themeColor="text1"/>
          <w:sz w:val="12"/>
        </w:rPr>
        <w:t xml:space="preserve">). In this sense,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explains, her work meshes with Sedgwick's queer reading of affect as the histories that make us desire in unexpected, perverse ways. "The queer tendency of this method,"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writes, "is to put one's attachments back into play and into pleasure, into knowledge, into worlds. It is to admit that they matter" (</w:t>
      </w:r>
      <w:proofErr w:type="spellStart"/>
      <w:r>
        <w:fldChar w:fldCharType="begin"/>
      </w:r>
      <w:r>
        <w:instrText xml:space="preserve"> HYPERLINK "https://muse.jhu.edu/article/509908" \l "b2"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2011, 123</w:t>
      </w:r>
      <w:r>
        <w:rPr>
          <w:rFonts w:cs="Calibri"/>
          <w:color w:val="000000" w:themeColor="text1"/>
          <w:sz w:val="12"/>
        </w:rPr>
        <w:fldChar w:fldCharType="end"/>
      </w:r>
      <w:r w:rsidRPr="007E4DEB">
        <w:rPr>
          <w:rFonts w:cs="Calibri"/>
          <w:color w:val="000000" w:themeColor="text1"/>
          <w:sz w:val="12"/>
        </w:rPr>
        <w:t xml:space="preserve">).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sees the terrain of the political emerging out of this tissue of affectively-embroidered histories. Although both Ahmed and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write about the uses of affect as a phenomenological bridge to the political, and the slipperiness of happiness or the good life—the way that pleasure can be wrapped up with a strain of unease— there is a distinction between their respective scopes of inquiry. Where Ahmed's book is about frustration/promise/deferral, </w:t>
      </w:r>
      <w:proofErr w:type="spellStart"/>
      <w:r w:rsidRPr="007E4DEB">
        <w:rPr>
          <w:rFonts w:cs="Calibri"/>
          <w:color w:val="000000" w:themeColor="text1"/>
          <w:sz w:val="12"/>
        </w:rPr>
        <w:t>Berlant's</w:t>
      </w:r>
      <w:proofErr w:type="spellEnd"/>
      <w:r w:rsidRPr="007E4DEB">
        <w:rPr>
          <w:rFonts w:cs="Calibri"/>
          <w:color w:val="000000" w:themeColor="text1"/>
          <w:sz w:val="12"/>
        </w:rPr>
        <w:t xml:space="preserve"> is about addiction. When I asked my students to come up with examples of </w:t>
      </w:r>
      <w:r w:rsidRPr="007E4DEB">
        <w:rPr>
          <w:rFonts w:cs="Calibri"/>
          <w:b/>
          <w:color w:val="000000" w:themeColor="text1"/>
          <w:u w:val="single"/>
        </w:rPr>
        <w:t>cruel optimism</w:t>
      </w:r>
      <w:r w:rsidRPr="007E4DEB">
        <w:rPr>
          <w:rFonts w:cs="Calibri"/>
          <w:color w:val="000000" w:themeColor="text1"/>
          <w:sz w:val="12"/>
        </w:rPr>
        <w:t xml:space="preserve">, they brainstormed the following list: heroin, abusive relationships, candy, horcruxes. Each of these instances </w:t>
      </w:r>
      <w:r w:rsidRPr="007E4DEB">
        <w:rPr>
          <w:rFonts w:cs="Calibri"/>
          <w:b/>
          <w:color w:val="000000" w:themeColor="text1"/>
          <w:u w:val="single"/>
        </w:rPr>
        <w:t>suggests a vital but destructive need, an ambivalent compulsion—an addiction</w:t>
      </w:r>
      <w:r w:rsidRPr="007E4DEB">
        <w:rPr>
          <w:rFonts w:cs="Calibri"/>
          <w:color w:val="000000" w:themeColor="text1"/>
          <w:sz w:val="12"/>
        </w:rPr>
        <w:t xml:space="preserve">, where the tectonic plates of the body's affects shift in friction with one another. </w:t>
      </w:r>
      <w:r w:rsidRPr="007E4DEB">
        <w:rPr>
          <w:rFonts w:cs="Calibri"/>
          <w:b/>
          <w:color w:val="000000" w:themeColor="text1"/>
          <w:u w:val="single"/>
        </w:rPr>
        <w:t>Cruel optimism indexes these moments where a body desires and needs an arrangement of the world that is also frustrating or corrosive</w:t>
      </w:r>
      <w:r w:rsidRPr="007E4DEB">
        <w:rPr>
          <w:rFonts w:cs="Calibri"/>
          <w:color w:val="000000" w:themeColor="text1"/>
          <w:sz w:val="12"/>
        </w:rPr>
        <w:t xml:space="preserve">. Politics is one of these zones of fractious attraction.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writes, for instance, that Intensely political seasons spawn reveries of a different immediacy. People imagine alternative environments where authenticity trumps ideology, truths cannot be concealed, and communication feels intimate, face-to-face" (</w:t>
      </w:r>
      <w:proofErr w:type="spellStart"/>
      <w:r>
        <w:fldChar w:fldCharType="begin"/>
      </w:r>
      <w:r>
        <w:instrText xml:space="preserve"> HYPERLINK "https://muse.jhu.edu/article/509908" \l "b2"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2011, 223</w:t>
      </w:r>
      <w:r>
        <w:rPr>
          <w:rFonts w:cs="Calibri"/>
          <w:color w:val="000000" w:themeColor="text1"/>
          <w:sz w:val="12"/>
        </w:rPr>
        <w:fldChar w:fldCharType="end"/>
      </w:r>
      <w:r w:rsidRPr="007E4DEB">
        <w:rPr>
          <w:rFonts w:cs="Calibri"/>
          <w:color w:val="000000" w:themeColor="text1"/>
          <w:sz w:val="12"/>
        </w:rPr>
        <w:t xml:space="preserve">). </w:t>
      </w:r>
      <w:r w:rsidRPr="007E4DEB">
        <w:rPr>
          <w:rFonts w:cs="Calibri"/>
          <w:b/>
          <w:color w:val="000000" w:themeColor="text1"/>
          <w:u w:val="single"/>
        </w:rPr>
        <w:t>Politics produces fantasies, tethers that draw us forward to particular attachments in the form of images, narratives, bodily practices</w:t>
      </w:r>
      <w:r w:rsidRPr="007E4DEB">
        <w:rPr>
          <w:rFonts w:cs="Calibri"/>
          <w:color w:val="000000" w:themeColor="text1"/>
          <w:sz w:val="12"/>
        </w:rPr>
        <w:t xml:space="preserve">. But </w:t>
      </w:r>
      <w:r w:rsidRPr="007E4DEB">
        <w:rPr>
          <w:rFonts w:cs="Calibri"/>
          <w:b/>
          <w:color w:val="000000" w:themeColor="text1"/>
          <w:u w:val="single"/>
        </w:rPr>
        <w:t>these fantasies also contain the elements of their own frustration or refusal.</w:t>
      </w:r>
      <w:r w:rsidRPr="007E4DEB">
        <w:rPr>
          <w:rFonts w:cs="Calibri"/>
          <w:color w:val="000000" w:themeColor="text1"/>
          <w:sz w:val="12"/>
        </w:rPr>
        <w:t xml:space="preserve"> President George W. Bush, for example, is able to use the affective elements of statecraft (a practice which,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assures us, is decidedly non-partisan) to create a façade that diverts attention from his flailing foreign and economic policies (</w:t>
      </w:r>
      <w:proofErr w:type="spellStart"/>
      <w:r>
        <w:fldChar w:fldCharType="begin"/>
      </w:r>
      <w:r>
        <w:instrText xml:space="preserve"> HYPERLINK "https://muse.jhu.edu/article/509908" \l "b2"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2011, 226</w:t>
      </w:r>
      <w:r>
        <w:rPr>
          <w:rFonts w:cs="Calibri"/>
          <w:color w:val="000000" w:themeColor="text1"/>
          <w:sz w:val="12"/>
        </w:rPr>
        <w:fldChar w:fldCharType="end"/>
      </w:r>
      <w:r w:rsidRPr="007E4DEB">
        <w:rPr>
          <w:rFonts w:cs="Calibri"/>
          <w:color w:val="000000" w:themeColor="text1"/>
          <w:sz w:val="12"/>
        </w:rPr>
        <w:t xml:space="preserve">). </w:t>
      </w:r>
      <w:proofErr w:type="spellStart"/>
      <w:r w:rsidRPr="007E4DEB">
        <w:rPr>
          <w:rFonts w:cs="Calibri"/>
          <w:color w:val="000000" w:themeColor="text1"/>
          <w:sz w:val="12"/>
        </w:rPr>
        <w:t>Berlant's</w:t>
      </w:r>
      <w:proofErr w:type="spellEnd"/>
      <w:r w:rsidRPr="007E4DEB">
        <w:rPr>
          <w:rFonts w:cs="Calibri"/>
          <w:color w:val="000000" w:themeColor="text1"/>
          <w:sz w:val="12"/>
        </w:rPr>
        <w:t xml:space="preserve"> focus in Cruel Optimism is on politics as a field of attachments, a skein of affectively pulsing tissues linking bodies together. "Pace </w:t>
      </w:r>
      <w:proofErr w:type="spellStart"/>
      <w:r w:rsidRPr="007E4DEB">
        <w:rPr>
          <w:rFonts w:cs="Calibri"/>
          <w:color w:val="000000" w:themeColor="text1"/>
          <w:sz w:val="12"/>
        </w:rPr>
        <w:t>Žižek</w:t>
      </w:r>
      <w:proofErr w:type="spellEnd"/>
      <w:r w:rsidRPr="007E4DEB">
        <w:rPr>
          <w:rFonts w:cs="Calibri"/>
          <w:color w:val="000000" w:themeColor="text1"/>
          <w:sz w:val="12"/>
        </w:rPr>
        <w:t xml:space="preserve">," she writes, ... the energy that generates this sustaining commitment to the work of undoing a world while making one requires fantasy to motor programs of action, to distort the present on behalf of what the present can become. It requires a surrealistic </w:t>
      </w:r>
      <w:proofErr w:type="spellStart"/>
      <w:r w:rsidRPr="007E4DEB">
        <w:rPr>
          <w:rFonts w:cs="Calibri"/>
          <w:color w:val="000000" w:themeColor="text1"/>
          <w:sz w:val="12"/>
        </w:rPr>
        <w:t>affectsphere</w:t>
      </w:r>
      <w:proofErr w:type="spellEnd"/>
      <w:r w:rsidRPr="007E4DEB">
        <w:rPr>
          <w:rFonts w:cs="Calibri"/>
          <w:color w:val="000000" w:themeColor="text1"/>
          <w:sz w:val="12"/>
        </w:rPr>
        <w:t xml:space="preserve"> to counter the one that already exists, enabling a confrontation with the fact that any action of making a claim on the present involves bruising processes of detachment from anchors in the world, along with optimistic projections of a world that is worth our attachment to it (</w:t>
      </w:r>
      <w:proofErr w:type="spellStart"/>
      <w:r>
        <w:fldChar w:fldCharType="begin"/>
      </w:r>
      <w:r>
        <w:instrText xml:space="preserve"> HYPERLINK "https://muse.jhu.edu/article/509908" \l "b2"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2011, 263</w:t>
      </w:r>
      <w:r>
        <w:rPr>
          <w:rFonts w:cs="Calibri"/>
          <w:color w:val="000000" w:themeColor="text1"/>
          <w:sz w:val="12"/>
        </w:rPr>
        <w:fldChar w:fldCharType="end"/>
      </w:r>
      <w:r w:rsidRPr="007E4DEB">
        <w:rPr>
          <w:rFonts w:cs="Calibri"/>
          <w:color w:val="000000" w:themeColor="text1"/>
          <w:sz w:val="12"/>
        </w:rPr>
        <w:t xml:space="preserve">).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looks at how politics pulls on bodies using the ligaments of affect, how politics becomes irresistible, even when it is self-frustrating. Ahmed's focus is very different: she is interested in thinking through politics as the space of unhappiness and deferment. In a section of Chapter 5 entitled "The Freedom to Be Unhappy," Ahmed writes that revolutionary practices may need to follow from the willingness to suspend happiness, to dissolve the imbricated promises of happiness that produce hermetically sealed political systems. Affect aliens are forged in the pressure of unfulfilled or unfulfillable promises of happiness, sealed in a relationship of anticipation pinned to the guarantee of ultimate good. </w:t>
      </w:r>
      <w:proofErr w:type="gramStart"/>
      <w:r w:rsidRPr="007E4DEB">
        <w:rPr>
          <w:rFonts w:cs="Calibri"/>
          <w:color w:val="000000" w:themeColor="text1"/>
          <w:sz w:val="12"/>
        </w:rPr>
        <w:t>Thus</w:t>
      </w:r>
      <w:proofErr w:type="gramEnd"/>
      <w:r w:rsidRPr="007E4DEB">
        <w:rPr>
          <w:rFonts w:cs="Calibri"/>
          <w:color w:val="000000" w:themeColor="text1"/>
          <w:sz w:val="12"/>
        </w:rPr>
        <w:t xml:space="preserve"> Ahmed writes that "any politics of justice will involve causing unhappiness even if that is not the point of our action. So much happiness is premised on, and promised by, the concealment of suffering, the freedom to look away from what compromises one's happiness" (</w:t>
      </w:r>
      <w:hyperlink r:id="rId32" w:anchor="b1" w:history="1">
        <w:r w:rsidRPr="007E4DEB">
          <w:rPr>
            <w:rFonts w:cs="Calibri"/>
            <w:color w:val="000000" w:themeColor="text1"/>
            <w:sz w:val="12"/>
          </w:rPr>
          <w:t>Ahmed: 2010, 196</w:t>
        </w:r>
      </w:hyperlink>
      <w:r w:rsidRPr="007E4DEB">
        <w:rPr>
          <w:rFonts w:cs="Calibri"/>
          <w:color w:val="000000" w:themeColor="text1"/>
          <w:sz w:val="12"/>
        </w:rPr>
        <w:t>). The revolutionary politics Ahmed wants to advance is willing to put happiness at risk, to dissolve promises of happiness. Ahmed is clear, though, that this is not to make politics about unhappiness: It is not that unhappiness becomes our telos: rather, if we no longer presume happiness is our telos, unhappiness would register as more than what gets in the way. When we are no longer sure of what gets in the way, then 'the way' itself becomes a question (</w:t>
      </w:r>
      <w:hyperlink r:id="rId33" w:anchor="b1" w:history="1">
        <w:r w:rsidRPr="007E4DEB">
          <w:rPr>
            <w:rFonts w:cs="Calibri"/>
            <w:color w:val="000000" w:themeColor="text1"/>
            <w:sz w:val="12"/>
          </w:rPr>
          <w:t>Ahmed: 2010, 195</w:t>
        </w:r>
      </w:hyperlink>
      <w:r w:rsidRPr="007E4DEB">
        <w:rPr>
          <w:rFonts w:cs="Calibri"/>
          <w:color w:val="000000" w:themeColor="text1"/>
          <w:sz w:val="12"/>
        </w:rPr>
        <w:t xml:space="preserve">). Neither happiness nor unhappiness is the telos of revolutionary politics. Rather, Ahmed wants to connect the political back to the "hap" of happiness. Rather than a critique of happiness, I would suggest that the broader channel of her project is best understood as a critique </w:t>
      </w:r>
      <w:proofErr w:type="spellStart"/>
      <w:r w:rsidRPr="007E4DEB">
        <w:rPr>
          <w:rFonts w:cs="Calibri"/>
          <w:color w:val="000000" w:themeColor="text1"/>
          <w:sz w:val="12"/>
        </w:rPr>
        <w:t>ofpromise</w:t>
      </w:r>
      <w:proofErr w:type="spellEnd"/>
      <w:r w:rsidRPr="007E4DEB">
        <w:rPr>
          <w:rFonts w:cs="Calibri"/>
          <w:color w:val="000000" w:themeColor="text1"/>
          <w:sz w:val="12"/>
        </w:rPr>
        <w:t xml:space="preserve">. </w:t>
      </w:r>
      <w:proofErr w:type="gramStart"/>
      <w:r w:rsidRPr="007E4DEB">
        <w:rPr>
          <w:rFonts w:cs="Calibri"/>
          <w:color w:val="000000" w:themeColor="text1"/>
          <w:sz w:val="12"/>
        </w:rPr>
        <w:t>Thus</w:t>
      </w:r>
      <w:proofErr w:type="gramEnd"/>
      <w:r w:rsidRPr="007E4DEB">
        <w:rPr>
          <w:rFonts w:cs="Calibri"/>
          <w:color w:val="000000" w:themeColor="text1"/>
          <w:sz w:val="12"/>
        </w:rPr>
        <w:t xml:space="preserve"> she ends Chapter 5 with the later work of Jacques Derrida, indicating the need to keep politics open to the event, to the unexpected possibilities to-come. She proposes a vision of happiness that "would be alive to chance, to chance arrivals, to the perhaps of a happening" (</w:t>
      </w:r>
      <w:hyperlink r:id="rId34" w:anchor="b1" w:history="1">
        <w:r w:rsidRPr="007E4DEB">
          <w:rPr>
            <w:rFonts w:cs="Calibri"/>
            <w:color w:val="000000" w:themeColor="text1"/>
            <w:sz w:val="12"/>
          </w:rPr>
          <w:t>Ahmed: 2010, 198</w:t>
        </w:r>
      </w:hyperlink>
      <w:r w:rsidRPr="007E4DEB">
        <w:rPr>
          <w:rFonts w:cs="Calibri"/>
          <w:color w:val="000000" w:themeColor="text1"/>
          <w:sz w:val="12"/>
        </w:rPr>
        <w:t xml:space="preserve">). Where for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the event is in the past, the ancestor of our tensed bodily habits today, for Ahmed, the event is ahead, the always-anticipated but radically unknown future. There is also a complementarity to these books, a sense in which both come at the relationship between affect and the political from different sides of the problem, but are nonetheless hurtling towards a common point of impact. Is Ahmed describing scenes where cruel optimism unravels under the internal pressure of a frustrated promise? Is cruel optimism the deferral of happiness implicit in the temporal structure of the promise? These are not fully resolved or resolvable questions, in part because Ahmed and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roll their theoretical lens over such a wide range of circumstances. I would suggest that deepening the conversation between these approaches will hinge in part on exploring the relationship between affect and time—a question that is surfaced by both of these texts but not resolved. Ahmed wants to play inside the deconstructive </w:t>
      </w:r>
      <w:proofErr w:type="spellStart"/>
      <w:r w:rsidRPr="007E4DEB">
        <w:rPr>
          <w:rFonts w:cs="Calibri"/>
          <w:color w:val="000000" w:themeColor="text1"/>
          <w:sz w:val="12"/>
        </w:rPr>
        <w:t>thematics</w:t>
      </w:r>
      <w:proofErr w:type="spellEnd"/>
      <w:r w:rsidRPr="007E4DEB">
        <w:rPr>
          <w:rFonts w:cs="Calibri"/>
          <w:color w:val="000000" w:themeColor="text1"/>
          <w:sz w:val="12"/>
        </w:rPr>
        <w:t xml:space="preserve"> of the promise that allows us to view affect as a state of deferral. But Ahmed comes closest to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when she writes that "[</w:t>
      </w:r>
      <w:proofErr w:type="spellStart"/>
      <w:r w:rsidRPr="007E4DEB">
        <w:rPr>
          <w:rFonts w:cs="Calibri"/>
          <w:color w:val="000000" w:themeColor="text1"/>
          <w:sz w:val="12"/>
        </w:rPr>
        <w:t>i</w:t>
      </w:r>
      <w:proofErr w:type="spellEnd"/>
      <w:r w:rsidRPr="007E4DEB">
        <w:rPr>
          <w:rFonts w:cs="Calibri"/>
          <w:color w:val="000000" w:themeColor="text1"/>
          <w:sz w:val="12"/>
        </w:rPr>
        <w:t>]f we hope for happiness, then we might be happy as long as we can retain this hope (a happiness that paradoxically allows us to be happy with unhappiness)" (</w:t>
      </w:r>
      <w:hyperlink r:id="rId35" w:anchor="b1" w:history="1">
        <w:r w:rsidRPr="007E4DEB">
          <w:rPr>
            <w:rFonts w:cs="Calibri"/>
            <w:color w:val="000000" w:themeColor="text1"/>
            <w:sz w:val="12"/>
          </w:rPr>
          <w:t>Ahmed: 2010, 181</w:t>
        </w:r>
      </w:hyperlink>
      <w:r w:rsidRPr="007E4DEB">
        <w:rPr>
          <w:rFonts w:cs="Calibri"/>
          <w:color w:val="000000" w:themeColor="text1"/>
          <w:sz w:val="12"/>
        </w:rPr>
        <w:t>). Is deferred happiness really divided from happiness? What if fantasies—what Silvan Tomkins calls "images"</w:t>
      </w:r>
      <w:hyperlink r:id="rId36" w:anchor="f7" w:history="1">
        <w:r w:rsidRPr="007E4DEB">
          <w:rPr>
            <w:rFonts w:cs="Calibri"/>
            <w:color w:val="000000" w:themeColor="text1"/>
            <w:sz w:val="12"/>
          </w:rPr>
          <w:t>7</w:t>
        </w:r>
      </w:hyperlink>
      <w:r w:rsidRPr="007E4DEB">
        <w:rPr>
          <w:rFonts w:cs="Calibri"/>
          <w:color w:val="000000" w:themeColor="text1"/>
          <w:sz w:val="12"/>
        </w:rPr>
        <w:t xml:space="preserve">—are so crucial to the production of affect that to save and savor fantasies in one's near sphere is "worth" their eventual frustration? What if a promise deferred is itself a form of happiness—even if the deferral turns out, in retrospect, to have been endless? What happens while we wait? This is in no way to acquiesce to those situations, sketched by Ahmed in the inner chapters of the book, where promises are made that produce affect aliens— investment in a community of promise that will never materialize as happiness. But it is to suggest that the economic flows of affect are more complex than a simple binary of presence/deferment. There may be a clearer divergence in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and Ahmed's respective emphases on the felt temporality of politics. Ahmed suggests that political transformation happens by orienting us to the perhaps, towards an </w:t>
      </w:r>
      <w:proofErr w:type="spellStart"/>
      <w:r w:rsidRPr="007E4DEB">
        <w:rPr>
          <w:rFonts w:cs="Calibri"/>
          <w:color w:val="000000" w:themeColor="text1"/>
          <w:sz w:val="12"/>
        </w:rPr>
        <w:t>evental</w:t>
      </w:r>
      <w:proofErr w:type="spellEnd"/>
      <w:r w:rsidRPr="007E4DEB">
        <w:rPr>
          <w:rFonts w:cs="Calibri"/>
          <w:color w:val="000000" w:themeColor="text1"/>
          <w:sz w:val="12"/>
        </w:rPr>
        <w:t xml:space="preserve"> horizon constituted by uncertainty, rather than promise.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seems more skeptical about the possibility of untethering ourselves from an orientation to future happiness. As in her response to </w:t>
      </w:r>
      <w:proofErr w:type="spellStart"/>
      <w:r w:rsidRPr="007E4DEB">
        <w:rPr>
          <w:rFonts w:cs="Calibri"/>
          <w:color w:val="000000" w:themeColor="text1"/>
          <w:sz w:val="12"/>
        </w:rPr>
        <w:t>Žižek</w:t>
      </w:r>
      <w:proofErr w:type="spellEnd"/>
      <w:r w:rsidRPr="007E4DEB">
        <w:rPr>
          <w:rFonts w:cs="Calibri"/>
          <w:color w:val="000000" w:themeColor="text1"/>
          <w:sz w:val="12"/>
        </w:rPr>
        <w:t xml:space="preserve">, she emphasizes the intransigence of fantasy, especially as a conduit that can produce political energy. I wonder if </w:t>
      </w:r>
      <w:proofErr w:type="spellStart"/>
      <w:r w:rsidRPr="007E4DEB">
        <w:rPr>
          <w:rFonts w:cs="Calibri"/>
          <w:color w:val="000000" w:themeColor="text1"/>
          <w:sz w:val="12"/>
        </w:rPr>
        <w:t>Berlant's</w:t>
      </w:r>
      <w:proofErr w:type="spellEnd"/>
      <w:r w:rsidRPr="007E4DEB">
        <w:rPr>
          <w:rFonts w:cs="Calibri"/>
          <w:color w:val="000000" w:themeColor="text1"/>
          <w:sz w:val="12"/>
        </w:rPr>
        <w:t xml:space="preserve"> answer here points to a different way of resolving the problem of temporality hovering over Ahmed's work: what if the dissolution of promise did not leave us at the mercy of a pure politics of hap, of chance, but opened us up to new horizons of hope—neither guaranteed nor radically accidental? This dynamic interfaces with an equally provocative question lodged early on and left unresolved in </w:t>
      </w:r>
      <w:proofErr w:type="spellStart"/>
      <w:r w:rsidRPr="007E4DEB">
        <w:rPr>
          <w:rFonts w:cs="Calibri"/>
          <w:color w:val="000000" w:themeColor="text1"/>
          <w:sz w:val="12"/>
        </w:rPr>
        <w:t>Berlant's</w:t>
      </w:r>
      <w:proofErr w:type="spellEnd"/>
      <w:r w:rsidRPr="007E4DEB">
        <w:rPr>
          <w:rFonts w:cs="Calibri"/>
          <w:color w:val="000000" w:themeColor="text1"/>
          <w:sz w:val="12"/>
        </w:rPr>
        <w:t xml:space="preserve"> book: "I have indeed wondered," she writes in her Introduction, "whether all optimism is cruel, because the experience of loss of the conditions of its reproduction can be so breathtakingly bad, just as the threat of the loss of x in the scope of one's attachment drives can feel like a threat to living on itself" (</w:t>
      </w:r>
      <w:proofErr w:type="spellStart"/>
      <w:r>
        <w:fldChar w:fldCharType="begin"/>
      </w:r>
      <w:r>
        <w:instrText xml:space="preserve"> HYPERLINK "https://muse.jhu.edu/article/509908" \l "b1"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2011, 24</w:t>
      </w:r>
      <w:r>
        <w:rPr>
          <w:rFonts w:cs="Calibri"/>
          <w:color w:val="000000" w:themeColor="text1"/>
          <w:sz w:val="12"/>
        </w:rPr>
        <w:fldChar w:fldCharType="end"/>
      </w:r>
      <w:r w:rsidRPr="007E4DEB">
        <w:rPr>
          <w:rFonts w:cs="Calibri"/>
          <w:color w:val="000000" w:themeColor="text1"/>
          <w:sz w:val="12"/>
        </w:rPr>
        <w:t xml:space="preserve">). In mapping affectively mediated politics, how do we assess the cruelty of hope? What are the singular psychic costs of disappointment that must be risked or countenanced in the production of a politics without promise? These books are profoundly important contributions advancing the still-new and in some ways still-tentative field of affect theory. They open up two distinct but interrelated methodological templates for thinking through issues of globalization, race, gender and sexuality, media, philosophy, and religion: the </w:t>
      </w:r>
      <w:proofErr w:type="spellStart"/>
      <w:r w:rsidRPr="007E4DEB">
        <w:rPr>
          <w:rFonts w:cs="Calibri"/>
          <w:color w:val="000000" w:themeColor="text1"/>
          <w:sz w:val="12"/>
        </w:rPr>
        <w:t>thematics</w:t>
      </w:r>
      <w:proofErr w:type="spellEnd"/>
      <w:r w:rsidRPr="007E4DEB">
        <w:rPr>
          <w:rFonts w:cs="Calibri"/>
          <w:color w:val="000000" w:themeColor="text1"/>
          <w:sz w:val="12"/>
        </w:rPr>
        <w:t xml:space="preserve"> of frustration and of addiction in the moving </w:t>
      </w:r>
      <w:proofErr w:type="spellStart"/>
      <w:r w:rsidRPr="007E4DEB">
        <w:rPr>
          <w:rFonts w:cs="Calibri"/>
          <w:color w:val="000000" w:themeColor="text1"/>
          <w:sz w:val="12"/>
        </w:rPr>
        <w:t>affectsphere</w:t>
      </w:r>
      <w:proofErr w:type="spellEnd"/>
      <w:r w:rsidRPr="007E4DEB">
        <w:rPr>
          <w:rFonts w:cs="Calibri"/>
          <w:color w:val="000000" w:themeColor="text1"/>
          <w:sz w:val="12"/>
        </w:rPr>
        <w:t xml:space="preserve"> of the political. What both Ahmed and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demonstrate is that </w:t>
      </w:r>
      <w:r w:rsidRPr="007E4DEB">
        <w:rPr>
          <w:rFonts w:cs="Calibri"/>
          <w:b/>
          <w:color w:val="000000" w:themeColor="text1"/>
          <w:highlight w:val="yellow"/>
          <w:u w:val="single"/>
        </w:rPr>
        <w:t>affect theory offers a crucial</w:t>
      </w:r>
      <w:r w:rsidRPr="007E4DEB">
        <w:rPr>
          <w:rFonts w:cs="Calibri"/>
          <w:b/>
          <w:color w:val="000000" w:themeColor="text1"/>
          <w:u w:val="single"/>
        </w:rPr>
        <w:t xml:space="preserve"> set of </w:t>
      </w:r>
      <w:r w:rsidRPr="007E4DEB">
        <w:rPr>
          <w:rFonts w:cs="Calibri"/>
          <w:b/>
          <w:color w:val="000000" w:themeColor="text1"/>
          <w:highlight w:val="yellow"/>
          <w:u w:val="single"/>
        </w:rPr>
        <w:t>resources for thinking through the relationship between bodies and discourses</w:t>
      </w:r>
      <w:r w:rsidRPr="007E4DEB">
        <w:rPr>
          <w:rFonts w:cs="Calibri"/>
          <w:b/>
          <w:color w:val="000000" w:themeColor="text1"/>
          <w:u w:val="single"/>
        </w:rPr>
        <w:t>.</w:t>
      </w:r>
      <w:r w:rsidRPr="007E4DEB">
        <w:rPr>
          <w:rFonts w:cs="Calibri"/>
          <w:color w:val="000000" w:themeColor="text1"/>
          <w:sz w:val="12"/>
        </w:rPr>
        <w:t xml:space="preserve"> The enterprise of thinking politics, of mapping the enfolding of bodies by power, cannot move forward without affect. </w:t>
      </w:r>
    </w:p>
    <w:p w:rsidR="00CF1124" w:rsidRPr="00D70D45" w:rsidRDefault="00CF1124" w:rsidP="00CF1124">
      <w:pPr>
        <w:pStyle w:val="Heading4"/>
        <w:rPr>
          <w:rFonts w:cs="Calibri"/>
          <w:color w:val="000000" w:themeColor="text1"/>
          <w:sz w:val="16"/>
        </w:rPr>
      </w:pPr>
      <w:r>
        <w:rPr>
          <w:rFonts w:cs="Calibri"/>
        </w:rPr>
        <w:t xml:space="preserve">A) </w:t>
      </w:r>
      <w:r w:rsidRPr="00D70D45">
        <w:rPr>
          <w:rFonts w:cs="Calibri"/>
        </w:rPr>
        <w:t>Fluidity leads to differentiation in ethics as each subject’s ethicality arises from their own affective relations indexed to themselves, to deny the resolution doesn’t deny my relation to its ethicality</w:t>
      </w:r>
    </w:p>
    <w:p w:rsidR="00CF1124" w:rsidRPr="007E4DEB" w:rsidRDefault="00CF1124" w:rsidP="00CF1124">
      <w:pPr>
        <w:pStyle w:val="Heading4"/>
        <w:rPr>
          <w:rFonts w:cs="Calibri"/>
          <w:color w:val="000000" w:themeColor="text1"/>
        </w:rPr>
      </w:pPr>
      <w:r>
        <w:rPr>
          <w:rFonts w:cs="Calibri"/>
          <w:color w:val="000000" w:themeColor="text1"/>
        </w:rPr>
        <w:t xml:space="preserve">B) </w:t>
      </w:r>
      <w:r w:rsidRPr="007E4DEB">
        <w:rPr>
          <w:rFonts w:cs="Calibri"/>
          <w:color w:val="000000" w:themeColor="text1"/>
        </w:rPr>
        <w:t xml:space="preserve">All other frameworks assume their subjects can bridge the gap between discursive theories and the material world, else ethics would never guide to action. Only structures focused on affect can bridge those two. </w:t>
      </w:r>
    </w:p>
    <w:p w:rsidR="00CF1124" w:rsidRDefault="00CF1124" w:rsidP="00CF1124">
      <w:pPr>
        <w:pStyle w:val="Heading2"/>
      </w:pPr>
      <w:r>
        <w:t>Offense</w:t>
      </w:r>
    </w:p>
    <w:p w:rsidR="00CF1124" w:rsidRPr="00385385" w:rsidRDefault="00CF1124" w:rsidP="00CF1124">
      <w:pPr>
        <w:pStyle w:val="Heading4"/>
        <w:rPr>
          <w:rFonts w:cs="Times New Roman"/>
        </w:rPr>
      </w:pPr>
      <w:r w:rsidRPr="00292DE7">
        <w:rPr>
          <w:rFonts w:cs="Times New Roman"/>
        </w:rPr>
        <w:t>Thus, I affirm—</w:t>
      </w:r>
      <w:r w:rsidRPr="00CD5B9C">
        <w:t xml:space="preserve"> </w:t>
      </w:r>
      <w:r w:rsidRPr="00CD5B9C">
        <w:rPr>
          <w:rFonts w:cs="Times New Roman"/>
        </w:rPr>
        <w:t>Resolved: The member nations of the World Trade Organization ought to reduce intellectual property protections for medicines.</w:t>
      </w:r>
      <w:r w:rsidRPr="00292DE7">
        <w:rPr>
          <w:rFonts w:cs="Times New Roman"/>
        </w:rPr>
        <w:t xml:space="preserve"> I’ll defend the resolution as a general principle and PICS don’t negate because general principles tolerate exceptions. I’ll spec whatever you want me to in cx as long as it doesn’t force me to abandon my maxim </w:t>
      </w:r>
    </w:p>
    <w:p w:rsidR="00CF1124" w:rsidRDefault="00CF1124" w:rsidP="00CF1124">
      <w:pPr>
        <w:pStyle w:val="Heading4"/>
      </w:pPr>
      <w:r>
        <w:t xml:space="preserve">1) Property protections are a manifestation of the creeping shadow in our comfortable </w:t>
      </w:r>
      <w:proofErr w:type="spellStart"/>
      <w:r>
        <w:t>lawscape</w:t>
      </w:r>
      <w:proofErr w:type="spellEnd"/>
      <w:r>
        <w:t xml:space="preserve">. Every object has a distinct and undeniable patent, trademark or copyright symbol, each serving as a daunting reminder of the ever-present state and commodifying our affect  </w:t>
      </w:r>
    </w:p>
    <w:p w:rsidR="00CF1124" w:rsidRPr="00166132" w:rsidRDefault="00CF1124" w:rsidP="00CF1124">
      <w:r>
        <w:rPr>
          <w:rStyle w:val="Style13ptBold"/>
        </w:rPr>
        <w:t xml:space="preserve">[P-M 13] </w:t>
      </w:r>
      <w:proofErr w:type="spellStart"/>
      <w:r w:rsidRPr="00D22FC8">
        <w:t>Philippopoulos-Mihalopoulos</w:t>
      </w:r>
      <w:proofErr w:type="spellEnd"/>
      <w:r w:rsidRPr="00D22FC8">
        <w:t xml:space="preserve"> 13</w:t>
      </w:r>
      <w:r>
        <w:t xml:space="preserve"> </w:t>
      </w:r>
      <w:r w:rsidRPr="00166132">
        <w:rPr>
          <w:sz w:val="12"/>
          <w:szCs w:val="12"/>
        </w:rPr>
        <w:t xml:space="preserve">[Andreas </w:t>
      </w:r>
      <w:proofErr w:type="spellStart"/>
      <w:r w:rsidRPr="00166132">
        <w:rPr>
          <w:sz w:val="12"/>
          <w:szCs w:val="12"/>
        </w:rPr>
        <w:t>Philippopoulos-Mihalopoulos</w:t>
      </w:r>
      <w:proofErr w:type="spellEnd"/>
      <w:r w:rsidRPr="00166132">
        <w:rPr>
          <w:sz w:val="12"/>
          <w:szCs w:val="12"/>
        </w:rPr>
        <w:t xml:space="preserve">, Atmospheres of law: Senses, affects, </w:t>
      </w:r>
      <w:proofErr w:type="spellStart"/>
      <w:r w:rsidRPr="00166132">
        <w:rPr>
          <w:sz w:val="12"/>
          <w:szCs w:val="12"/>
        </w:rPr>
        <w:t>lawscapes</w:t>
      </w:r>
      <w:proofErr w:type="spellEnd"/>
      <w:r w:rsidRPr="00166132">
        <w:rPr>
          <w:sz w:val="12"/>
          <w:szCs w:val="12"/>
        </w:rPr>
        <w:t>, Emotion, Space and Society, Volume 7, 2013, Pages 35-44, ISSN 1755-4586, https://doi.org</w:t>
      </w:r>
      <w:r>
        <w:rPr>
          <w:sz w:val="12"/>
          <w:szCs w:val="12"/>
        </w:rPr>
        <w:t xml:space="preserve">/10.1016/j.emospa.2012.03.001. </w:t>
      </w:r>
      <w:hyperlink r:id="rId37" w:history="1">
        <w:r w:rsidRPr="00800F7C">
          <w:rPr>
            <w:rStyle w:val="Hyperlink"/>
            <w:sz w:val="12"/>
            <w:szCs w:val="12"/>
          </w:rPr>
          <w:t>https://www.sciencedirect.com/science/article/pii/S1755458612000266</w:t>
        </w:r>
      </w:hyperlink>
      <w:r>
        <w:rPr>
          <w:sz w:val="12"/>
          <w:szCs w:val="12"/>
        </w:rPr>
        <w:t xml:space="preserve"> (</w:t>
      </w:r>
      <w:r w:rsidRPr="00345194">
        <w:rPr>
          <w:sz w:val="12"/>
          <w:szCs w:val="12"/>
        </w:rPr>
        <w:t xml:space="preserve">Andreas </w:t>
      </w:r>
      <w:proofErr w:type="spellStart"/>
      <w:r w:rsidRPr="00345194">
        <w:rPr>
          <w:sz w:val="12"/>
          <w:szCs w:val="12"/>
        </w:rPr>
        <w:t>Philippopoulos-Mihalopoulos</w:t>
      </w:r>
      <w:proofErr w:type="spellEnd"/>
      <w:r w:rsidRPr="00345194">
        <w:rPr>
          <w:sz w:val="12"/>
          <w:szCs w:val="12"/>
        </w:rPr>
        <w:t xml:space="preserve">, LLB, LLM, PhD, is </w:t>
      </w:r>
      <w:r>
        <w:rPr>
          <w:sz w:val="12"/>
          <w:szCs w:val="12"/>
        </w:rPr>
        <w:t xml:space="preserve">a </w:t>
      </w:r>
      <w:r w:rsidRPr="00345194">
        <w:rPr>
          <w:sz w:val="12"/>
          <w:szCs w:val="12"/>
        </w:rPr>
        <w:t>Professor of Law &amp; Theory at the University of Westminster, and founder and Director of The Westminster Law &amp; Theory Lab.</w:t>
      </w:r>
      <w:r>
        <w:rPr>
          <w:sz w:val="12"/>
          <w:szCs w:val="12"/>
        </w:rPr>
        <w:t>)</w:t>
      </w:r>
      <w:r w:rsidRPr="00166132">
        <w:rPr>
          <w:sz w:val="12"/>
          <w:szCs w:val="12"/>
        </w:rPr>
        <w:t xml:space="preserve">] SHS KS </w:t>
      </w:r>
      <w:r>
        <w:rPr>
          <w:sz w:val="12"/>
          <w:szCs w:val="12"/>
        </w:rPr>
        <w:t xml:space="preserve">*brackets used for grammatical clarity </w:t>
      </w:r>
    </w:p>
    <w:p w:rsidR="00CF1124" w:rsidRPr="00385385" w:rsidRDefault="00CF1124" w:rsidP="00CF1124">
      <w:pPr>
        <w:rPr>
          <w:b/>
          <w:iCs/>
          <w:u w:val="single"/>
        </w:rPr>
      </w:pPr>
      <w:r w:rsidRPr="00722D9B">
        <w:rPr>
          <w:sz w:val="12"/>
        </w:rPr>
        <w:t xml:space="preserve">Let me therefore allow a little bit of law, and specifically intellectual property law, to emerge. </w:t>
      </w:r>
      <w:r w:rsidRPr="00007D18">
        <w:rPr>
          <w:rStyle w:val="Emphasis"/>
          <w:highlight w:val="cyan"/>
        </w:rPr>
        <w:t xml:space="preserve">Think of your initial welcome to the </w:t>
      </w:r>
      <w:proofErr w:type="spellStart"/>
      <w:r w:rsidRPr="00007D18">
        <w:rPr>
          <w:rStyle w:val="Emphasis"/>
          <w:highlight w:val="cyan"/>
        </w:rPr>
        <w:t>lawscape</w:t>
      </w:r>
      <w:proofErr w:type="spellEnd"/>
      <w:r w:rsidRPr="007D1D1C">
        <w:rPr>
          <w:rStyle w:val="Emphasis"/>
          <w:highlight w:val="cyan"/>
        </w:rPr>
        <w:t>: the music, the smell, the taste, the textures.</w:t>
      </w:r>
      <w:r w:rsidRPr="007D1D1C">
        <w:rPr>
          <w:rStyle w:val="Emphasis"/>
        </w:rPr>
        <w:t xml:space="preserve"> Think of how </w:t>
      </w:r>
      <w:proofErr w:type="spellStart"/>
      <w:r w:rsidRPr="007D1D1C">
        <w:rPr>
          <w:rStyle w:val="Emphasis"/>
        </w:rPr>
        <w:t>cosy</w:t>
      </w:r>
      <w:proofErr w:type="spellEnd"/>
      <w:r w:rsidRPr="007D1D1C">
        <w:rPr>
          <w:rStyle w:val="Emphasis"/>
        </w:rPr>
        <w:t xml:space="preserve"> you felt.</w:t>
      </w:r>
      <w:r w:rsidRPr="007D1D1C">
        <w:rPr>
          <w:rStyle w:val="StyleUnderline"/>
        </w:rPr>
        <w:t xml:space="preserve"> Think of your affects —</w:t>
      </w:r>
      <w:r w:rsidRPr="004F5E2A">
        <w:rPr>
          <w:rStyle w:val="StyleUnderline"/>
        </w:rPr>
        <w:t xml:space="preserve"> you wanted to have a Coke, you had a Coke; you wanted to stay in the room, you stayed in the room. </w:t>
      </w:r>
      <w:r w:rsidRPr="00007D18">
        <w:rPr>
          <w:rStyle w:val="Emphasis"/>
          <w:highlight w:val="cyan"/>
        </w:rPr>
        <w:t xml:space="preserve">Think of the atmosphere, comfortable, safe, </w:t>
      </w:r>
      <w:proofErr w:type="spellStart"/>
      <w:r w:rsidRPr="00007D18">
        <w:rPr>
          <w:rStyle w:val="Emphasis"/>
          <w:highlight w:val="cyan"/>
        </w:rPr>
        <w:t>energising</w:t>
      </w:r>
      <w:proofErr w:type="spellEnd"/>
      <w:r w:rsidRPr="00007D18">
        <w:rPr>
          <w:rStyle w:val="Emphasis"/>
          <w:highlight w:val="cyan"/>
        </w:rPr>
        <w:t>.</w:t>
      </w:r>
      <w:r w:rsidRPr="004F5E2A">
        <w:rPr>
          <w:rStyle w:val="StyleUnderline"/>
        </w:rPr>
        <w:t xml:space="preserve"> </w:t>
      </w:r>
      <w:r w:rsidRPr="00007D18">
        <w:rPr>
          <w:rStyle w:val="Emphasis"/>
          <w:highlight w:val="cyan"/>
        </w:rPr>
        <w:t xml:space="preserve">No law, just smooth space, reassuringly urban, </w:t>
      </w:r>
      <w:r w:rsidRPr="007D1D1C">
        <w:rPr>
          <w:rStyle w:val="Emphasis"/>
        </w:rPr>
        <w:t xml:space="preserve">tasteful </w:t>
      </w:r>
      <w:r w:rsidRPr="00007D18">
        <w:rPr>
          <w:rStyle w:val="Emphasis"/>
          <w:highlight w:val="cyan"/>
        </w:rPr>
        <w:t xml:space="preserve">yet </w:t>
      </w:r>
      <w:r w:rsidRPr="007D1D1C">
        <w:rPr>
          <w:rStyle w:val="Emphasis"/>
        </w:rPr>
        <w:t>with a hint of home-baking.</w:t>
      </w:r>
      <w:r w:rsidRPr="00007D18">
        <w:rPr>
          <w:rStyle w:val="Emphasis"/>
          <w:highlight w:val="cyan"/>
        </w:rPr>
        <w:t xml:space="preserve"> At the same time, you </w:t>
      </w:r>
      <w:proofErr w:type="spellStart"/>
      <w:r w:rsidRPr="00007D18">
        <w:rPr>
          <w:rStyle w:val="Emphasis"/>
          <w:highlight w:val="cyan"/>
        </w:rPr>
        <w:t>realise</w:t>
      </w:r>
      <w:proofErr w:type="spellEnd"/>
      <w:r w:rsidRPr="00007D18">
        <w:rPr>
          <w:rStyle w:val="Emphasis"/>
          <w:highlight w:val="cyan"/>
        </w:rPr>
        <w:t xml:space="preserve"> that </w:t>
      </w:r>
      <w:r w:rsidRPr="00632D9D">
        <w:rPr>
          <w:rStyle w:val="Emphasis"/>
        </w:rPr>
        <w:t>there is a bit of law around to protect you</w:t>
      </w:r>
      <w:r w:rsidRPr="00632D9D">
        <w:rPr>
          <w:rStyle w:val="StyleUnderline"/>
        </w:rPr>
        <w:t>:</w:t>
      </w:r>
      <w:r w:rsidRPr="00722D9B">
        <w:rPr>
          <w:sz w:val="12"/>
        </w:rPr>
        <w:t xml:space="preserve"> you close the door behind you, </w:t>
      </w:r>
      <w:r w:rsidRPr="00632D9D">
        <w:rPr>
          <w:rStyle w:val="Emphasis"/>
        </w:rPr>
        <w:t>this is your private space, the law protects that.</w:t>
      </w:r>
      <w:r w:rsidRPr="00722D9B">
        <w:rPr>
          <w:sz w:val="12"/>
        </w:rPr>
        <w:t xml:space="preserve"> You were offered the Coke, you did not steal it; you legitimately bought your iPad (ok, from Hong Kong but who knows this). </w:t>
      </w:r>
      <w:r w:rsidRPr="00632D9D">
        <w:rPr>
          <w:rStyle w:val="Emphasis"/>
          <w:highlight w:val="cyan"/>
        </w:rPr>
        <w:t xml:space="preserve">The atmosphere is assembled by a safe, small measure of law, there to protect you </w:t>
      </w:r>
      <w:r w:rsidRPr="00722D9B">
        <w:rPr>
          <w:sz w:val="12"/>
        </w:rPr>
        <w:t>and to make you feel immune in your enclosed sphere.</w:t>
      </w:r>
      <w:r w:rsidRPr="004F5E2A">
        <w:rPr>
          <w:rStyle w:val="StyleUnderline"/>
        </w:rPr>
        <w:t xml:space="preserve"> </w:t>
      </w:r>
      <w:r w:rsidRPr="008400EB">
        <w:rPr>
          <w:rStyle w:val="Emphasis"/>
          <w:highlight w:val="cyan"/>
        </w:rPr>
        <w:t>But look again.</w:t>
      </w:r>
      <w:r w:rsidRPr="008400EB">
        <w:rPr>
          <w:rStyle w:val="Emphasis"/>
        </w:rPr>
        <w:t xml:space="preserve"> </w:t>
      </w:r>
      <w:r w:rsidRPr="004F5E2A">
        <w:rPr>
          <w:rStyle w:val="StyleUnderline"/>
        </w:rPr>
        <w:t xml:space="preserve">Or rather, smell, listen, touch again. </w:t>
      </w:r>
      <w:r w:rsidRPr="008400EB">
        <w:rPr>
          <w:rStyle w:val="Emphasis"/>
          <w:highlight w:val="cyan"/>
        </w:rPr>
        <w:t xml:space="preserve">The red and yellow </w:t>
      </w:r>
      <w:proofErr w:type="spellStart"/>
      <w:r w:rsidRPr="008400EB">
        <w:rPr>
          <w:rStyle w:val="Emphasis"/>
          <w:highlight w:val="cyan"/>
        </w:rPr>
        <w:t>colour</w:t>
      </w:r>
      <w:proofErr w:type="spellEnd"/>
      <w:r w:rsidRPr="008400EB">
        <w:rPr>
          <w:rStyle w:val="Emphasis"/>
          <w:highlight w:val="cyan"/>
        </w:rPr>
        <w:t xml:space="preserve"> combination is a registered trademark of KODAK</w:t>
      </w:r>
      <w:r w:rsidRPr="004F5E2A">
        <w:rPr>
          <w:rStyle w:val="StyleUnderline"/>
        </w:rPr>
        <w:t xml:space="preserve"> (</w:t>
      </w:r>
      <w:proofErr w:type="spellStart"/>
      <w:r w:rsidRPr="004F5E2A">
        <w:rPr>
          <w:rStyle w:val="StyleUnderline"/>
        </w:rPr>
        <w:t>Vaver</w:t>
      </w:r>
      <w:proofErr w:type="spellEnd"/>
      <w:r w:rsidRPr="004F5E2A">
        <w:rPr>
          <w:rStyle w:val="StyleUnderline"/>
        </w:rPr>
        <w:t xml:space="preserve">, 2005). The smell of roses comes from the rubber used for the floor of the room — the Sumitomo </w:t>
      </w:r>
      <w:proofErr w:type="spellStart"/>
      <w:r w:rsidRPr="004F5E2A">
        <w:rPr>
          <w:rStyle w:val="StyleUnderline"/>
        </w:rPr>
        <w:t>Rubbers’s</w:t>
      </w:r>
      <w:proofErr w:type="spellEnd"/>
      <w:r w:rsidRPr="004F5E2A">
        <w:rPr>
          <w:rStyle w:val="StyleUnderline"/>
        </w:rPr>
        <w:t xml:space="preserve"> successful application for trademark.1 The first notes of </w:t>
      </w:r>
      <w:proofErr w:type="spellStart"/>
      <w:r w:rsidRPr="004F5E2A">
        <w:rPr>
          <w:rStyle w:val="StyleUnderline"/>
        </w:rPr>
        <w:t>Für</w:t>
      </w:r>
      <w:proofErr w:type="spellEnd"/>
      <w:r w:rsidRPr="004F5E2A">
        <w:rPr>
          <w:rStyle w:val="StyleUnderline"/>
        </w:rPr>
        <w:t xml:space="preserve"> Elise by Beethoven have been registered as a trademark by a Dutch company. </w:t>
      </w:r>
      <w:r w:rsidRPr="008400EB">
        <w:rPr>
          <w:rStyle w:val="Emphasis"/>
          <w:highlight w:val="cyan"/>
        </w:rPr>
        <w:t>The iPad touch screen is part of patented technology</w:t>
      </w:r>
      <w:r w:rsidRPr="008400EB">
        <w:rPr>
          <w:rStyle w:val="Emphasis"/>
        </w:rPr>
        <w:t xml:space="preserve"> </w:t>
      </w:r>
      <w:r w:rsidRPr="004F5E2A">
        <w:rPr>
          <w:rStyle w:val="StyleUnderline"/>
        </w:rPr>
        <w:t xml:space="preserve">for which Apple has been in dispute with Samsung over the past few years (see also </w:t>
      </w:r>
      <w:proofErr w:type="spellStart"/>
      <w:r w:rsidRPr="004F5E2A">
        <w:rPr>
          <w:rStyle w:val="StyleUnderline"/>
        </w:rPr>
        <w:t>Parisi</w:t>
      </w:r>
      <w:proofErr w:type="spellEnd"/>
      <w:r w:rsidRPr="004F5E2A">
        <w:rPr>
          <w:rStyle w:val="StyleUnderline"/>
        </w:rPr>
        <w:t xml:space="preserve">, 2008 on touch technologies).2 Finally, the Coke, well!, </w:t>
      </w:r>
      <w:r w:rsidRPr="008400EB">
        <w:rPr>
          <w:rStyle w:val="Emphasis"/>
          <w:highlight w:val="cyan"/>
        </w:rPr>
        <w:t>the Coke is obviously one of the best examples of a fully protected product</w:t>
      </w:r>
      <w:r w:rsidRPr="008400EB">
        <w:rPr>
          <w:rStyle w:val="Emphasis"/>
        </w:rPr>
        <w:t xml:space="preserve"> </w:t>
      </w:r>
      <w:r w:rsidRPr="004F5E2A">
        <w:rPr>
          <w:rStyle w:val="StyleUnderline"/>
        </w:rPr>
        <w:t>in terms of taste, appearance, logo, bottle — the whole lot.</w:t>
      </w:r>
      <w:r w:rsidRPr="00722D9B">
        <w:rPr>
          <w:sz w:val="12"/>
        </w:rPr>
        <w:t xml:space="preserve"> And the bonus of sorts in the room: if you were to approach the darts, you would see that they emanate a distinct smell of dark beer. Even this combination is successfully registered by Unicorn Products, 3 a company who obviously thought that its target audience would be able to identify with it, and wanted to secure that no one else would use it. These are just some examples. As </w:t>
      </w:r>
      <w:proofErr w:type="spellStart"/>
      <w:r w:rsidRPr="00722D9B">
        <w:rPr>
          <w:sz w:val="12"/>
        </w:rPr>
        <w:t>Vaver</w:t>
      </w:r>
      <w:proofErr w:type="spellEnd"/>
      <w:r w:rsidRPr="00722D9B">
        <w:rPr>
          <w:sz w:val="12"/>
        </w:rPr>
        <w:t xml:space="preserve"> (2005: 897) points out, </w:t>
      </w:r>
      <w:r w:rsidRPr="005F769C">
        <w:rPr>
          <w:rStyle w:val="StyleUnderline"/>
        </w:rPr>
        <w:t>“</w:t>
      </w:r>
      <w:r w:rsidRPr="008400EB">
        <w:rPr>
          <w:rStyle w:val="Emphasis"/>
        </w:rPr>
        <w:t xml:space="preserve">over time </w:t>
      </w:r>
      <w:r w:rsidRPr="008400EB">
        <w:rPr>
          <w:rStyle w:val="Emphasis"/>
          <w:highlight w:val="cyan"/>
        </w:rPr>
        <w:t>there has been constant pressure from</w:t>
      </w:r>
      <w:r w:rsidRPr="008400EB">
        <w:rPr>
          <w:rStyle w:val="StyleUnderline"/>
        </w:rPr>
        <w:t xml:space="preserve"> </w:t>
      </w:r>
      <w:r w:rsidRPr="008400EB">
        <w:rPr>
          <w:rStyle w:val="Emphasis"/>
          <w:highlight w:val="cyan"/>
        </w:rPr>
        <w:t>industry</w:t>
      </w:r>
      <w:r w:rsidRPr="005F769C">
        <w:rPr>
          <w:rStyle w:val="StyleUnderline"/>
        </w:rPr>
        <w:t xml:space="preserve"> – note, not consumers – </w:t>
      </w:r>
      <w:r w:rsidRPr="008400EB">
        <w:rPr>
          <w:rStyle w:val="Emphasis"/>
          <w:highlight w:val="cyan"/>
        </w:rPr>
        <w:t xml:space="preserve">to widen </w:t>
      </w:r>
      <w:r w:rsidRPr="008400EB">
        <w:rPr>
          <w:rStyle w:val="Emphasis"/>
        </w:rPr>
        <w:t xml:space="preserve">the subject matter of </w:t>
      </w:r>
      <w:r w:rsidRPr="008400EB">
        <w:rPr>
          <w:rStyle w:val="Emphasis"/>
          <w:highlight w:val="cyan"/>
        </w:rPr>
        <w:t xml:space="preserve">protection to </w:t>
      </w:r>
      <w:r w:rsidRPr="008400EB">
        <w:rPr>
          <w:rStyle w:val="Emphasis"/>
        </w:rPr>
        <w:t xml:space="preserve">include as </w:t>
      </w:r>
      <w:r w:rsidRPr="008400EB">
        <w:rPr>
          <w:rStyle w:val="Emphasis"/>
          <w:highlight w:val="cyan"/>
        </w:rPr>
        <w:t>trademark virtually any perceptible feature in the sensory world that can be used to attract custom.</w:t>
      </w:r>
      <w:r w:rsidRPr="005F769C">
        <w:rPr>
          <w:rStyle w:val="StyleUnderline"/>
        </w:rPr>
        <w:t xml:space="preserve">” </w:t>
      </w:r>
      <w:r w:rsidRPr="008400EB">
        <w:rPr>
          <w:rStyle w:val="Emphasis"/>
        </w:rPr>
        <w:t xml:space="preserve">There are myriads of </w:t>
      </w:r>
      <w:r w:rsidRPr="004F03A7">
        <w:rPr>
          <w:rStyle w:val="Emphasis"/>
        </w:rPr>
        <w:t xml:space="preserve">other laws that </w:t>
      </w:r>
      <w:proofErr w:type="spellStart"/>
      <w:r w:rsidRPr="004F03A7">
        <w:rPr>
          <w:rStyle w:val="Emphasis"/>
        </w:rPr>
        <w:t>categorise</w:t>
      </w:r>
      <w:proofErr w:type="spellEnd"/>
      <w:r w:rsidRPr="004F03A7">
        <w:rPr>
          <w:rStyle w:val="Emphasis"/>
        </w:rPr>
        <w:t>, determine and restrict urban space</w:t>
      </w:r>
      <w:r w:rsidRPr="00722D9B">
        <w:rPr>
          <w:sz w:val="12"/>
        </w:rPr>
        <w:t>, such as planning law (Valverde, 2011), property law (</w:t>
      </w:r>
      <w:proofErr w:type="spellStart"/>
      <w:r w:rsidRPr="00722D9B">
        <w:rPr>
          <w:sz w:val="12"/>
        </w:rPr>
        <w:t>Blomley</w:t>
      </w:r>
      <w:proofErr w:type="spellEnd"/>
      <w:r w:rsidRPr="00722D9B">
        <w:rPr>
          <w:sz w:val="12"/>
        </w:rPr>
        <w:t>, 2004), environmental law (</w:t>
      </w:r>
      <w:proofErr w:type="spellStart"/>
      <w:r w:rsidRPr="00722D9B">
        <w:rPr>
          <w:sz w:val="12"/>
        </w:rPr>
        <w:t>PhilippopoulosMihalopoulos</w:t>
      </w:r>
      <w:proofErr w:type="spellEnd"/>
      <w:r w:rsidRPr="00722D9B">
        <w:rPr>
          <w:sz w:val="12"/>
        </w:rPr>
        <w:t xml:space="preserve">, 2007) and health and safety regulations (and the mythology that feeds back, Almond, 2009). </w:t>
      </w:r>
      <w:r w:rsidRPr="004F03A7">
        <w:rPr>
          <w:rStyle w:val="Emphasis"/>
        </w:rPr>
        <w:t xml:space="preserve">I chose to introduce </w:t>
      </w:r>
      <w:r w:rsidRPr="004F03A7">
        <w:rPr>
          <w:rStyle w:val="Emphasis"/>
          <w:highlight w:val="cyan"/>
        </w:rPr>
        <w:t>the issue of</w:t>
      </w:r>
      <w:r w:rsidRPr="004F03A7">
        <w:rPr>
          <w:rStyle w:val="Emphasis"/>
        </w:rPr>
        <w:t xml:space="preserve"> atmospheres on the basis of </w:t>
      </w:r>
      <w:r w:rsidRPr="004F03A7">
        <w:rPr>
          <w:rStyle w:val="Emphasis"/>
          <w:highlight w:val="cyan"/>
        </w:rPr>
        <w:t>intellectual property law</w:t>
      </w:r>
      <w:r w:rsidRPr="004F03A7">
        <w:rPr>
          <w:rStyle w:val="Emphasis"/>
        </w:rPr>
        <w:t xml:space="preserve"> because of </w:t>
      </w:r>
      <w:r>
        <w:rPr>
          <w:rStyle w:val="Emphasis"/>
          <w:highlight w:val="cyan"/>
        </w:rPr>
        <w:t>[is] t</w:t>
      </w:r>
      <w:r w:rsidRPr="004F03A7">
        <w:rPr>
          <w:rStyle w:val="Emphasis"/>
          <w:highlight w:val="cyan"/>
        </w:rPr>
        <w:t xml:space="preserve">he fact that sensory control is direct and unmediated to the body, yet it manages to diffuse and dissimulate itself. This it does in </w:t>
      </w:r>
      <w:r w:rsidRPr="008400EB">
        <w:rPr>
          <w:rStyle w:val="Emphasis"/>
          <w:highlight w:val="cyan"/>
        </w:rPr>
        <w:t xml:space="preserve">two ways: first, by targeting the environment rather than the body </w:t>
      </w:r>
      <w:r w:rsidRPr="004F03A7">
        <w:rPr>
          <w:rStyle w:val="Emphasis"/>
        </w:rPr>
        <w:t>(</w:t>
      </w:r>
      <w:proofErr w:type="spellStart"/>
      <w:r w:rsidRPr="004F03A7">
        <w:rPr>
          <w:rStyle w:val="Emphasis"/>
        </w:rPr>
        <w:t>Sloterdijk</w:t>
      </w:r>
      <w:proofErr w:type="spellEnd"/>
      <w:r w:rsidRPr="004F03A7">
        <w:rPr>
          <w:rStyle w:val="Emphasis"/>
        </w:rPr>
        <w:t xml:space="preserve">, 2009), and precisely through this diffusing </w:t>
      </w:r>
      <w:proofErr w:type="spellStart"/>
      <w:r w:rsidRPr="004F03A7">
        <w:rPr>
          <w:rStyle w:val="Emphasis"/>
        </w:rPr>
        <w:t>manoeuvre</w:t>
      </w:r>
      <w:proofErr w:type="spellEnd"/>
      <w:r w:rsidRPr="008400EB">
        <w:rPr>
          <w:rStyle w:val="Emphasis"/>
          <w:highlight w:val="cyan"/>
        </w:rPr>
        <w:t xml:space="preserve"> managing to have the greatest impact on the body; and second, by dissimulating itself as desire</w:t>
      </w:r>
      <w:r w:rsidRPr="005F769C">
        <w:rPr>
          <w:rStyle w:val="StyleUnderline"/>
        </w:rPr>
        <w:t>, that is as personal preference that ‘demands’ Kodak, Coke, Apple, or beer-scented darts.</w:t>
      </w:r>
      <w:r w:rsidRPr="00722D9B">
        <w:rPr>
          <w:sz w:val="12"/>
        </w:rPr>
        <w:t xml:space="preserve"> In some cases, the proffered hyperreality is superimposed on a more basic desire for, say, natural smells or tastes. This sensory desire, as Emily </w:t>
      </w:r>
      <w:proofErr w:type="spellStart"/>
      <w:r w:rsidRPr="00722D9B">
        <w:rPr>
          <w:sz w:val="12"/>
        </w:rPr>
        <w:t>Grabham</w:t>
      </w:r>
      <w:proofErr w:type="spellEnd"/>
      <w:r w:rsidRPr="00722D9B">
        <w:rPr>
          <w:sz w:val="12"/>
        </w:rPr>
        <w:t xml:space="preserve"> has convincingly demonstrated (in her case, touch), “embeds itself into the normative fabric of the law, creating and maintaining expectations around what is proper, decent and safe” (</w:t>
      </w:r>
      <w:proofErr w:type="spellStart"/>
      <w:r w:rsidRPr="00722D9B">
        <w:rPr>
          <w:sz w:val="12"/>
        </w:rPr>
        <w:t>Grabham</w:t>
      </w:r>
      <w:proofErr w:type="spellEnd"/>
      <w:r w:rsidRPr="00722D9B">
        <w:rPr>
          <w:sz w:val="12"/>
        </w:rPr>
        <w:t xml:space="preserve">, 2009: 350). </w:t>
      </w:r>
      <w:r w:rsidRPr="005F769C">
        <w:rPr>
          <w:rStyle w:val="StyleUnderline"/>
        </w:rPr>
        <w:t xml:space="preserve">This means that the legal sensorium becomes “detached from specific moments and </w:t>
      </w:r>
      <w:proofErr w:type="spellStart"/>
      <w:r w:rsidRPr="005F769C">
        <w:rPr>
          <w:rStyle w:val="StyleUnderline"/>
        </w:rPr>
        <w:t>mobilised</w:t>
      </w:r>
      <w:proofErr w:type="spellEnd"/>
      <w:r w:rsidRPr="005F769C">
        <w:rPr>
          <w:rStyle w:val="StyleUnderline"/>
        </w:rPr>
        <w:t xml:space="preserve"> within legal processes” (2009: 350), indeed becomes </w:t>
      </w:r>
      <w:proofErr w:type="spellStart"/>
      <w:r w:rsidRPr="005F769C">
        <w:rPr>
          <w:rStyle w:val="StyleUnderline"/>
        </w:rPr>
        <w:t>fetishised</w:t>
      </w:r>
      <w:proofErr w:type="spellEnd"/>
      <w:r w:rsidRPr="005F769C">
        <w:rPr>
          <w:rStyle w:val="StyleUnderline"/>
        </w:rPr>
        <w:t xml:space="preserve"> by the law only to be snuggly reattached, I would argue, to the materiality of the situation in hand, claiming echoes of universality.</w:t>
      </w:r>
      <w:r w:rsidRPr="00722D9B">
        <w:rPr>
          <w:sz w:val="12"/>
        </w:rPr>
        <w:t xml:space="preserve"> But this is the paradox: the more universal the law, the more diffused it is. The more diffused it is, the more anomic a space appears. </w:t>
      </w:r>
      <w:r w:rsidRPr="00A3419E">
        <w:rPr>
          <w:rStyle w:val="Emphasis"/>
        </w:rPr>
        <w:t xml:space="preserve">The room is just a room. </w:t>
      </w:r>
      <w:r w:rsidRPr="00A3419E">
        <w:rPr>
          <w:rStyle w:val="StyleUnderline"/>
        </w:rPr>
        <w:t>The legal affect is found in this excess of law, in</w:t>
      </w:r>
      <w:r w:rsidRPr="00A3419E">
        <w:rPr>
          <w:rStyle w:val="Emphasis"/>
        </w:rPr>
        <w:t xml:space="preserve"> law’s ubiquitous presence that tends to hide under rose-smelling rubber </w:t>
      </w:r>
      <w:r w:rsidRPr="00F33965">
        <w:rPr>
          <w:rStyle w:val="Emphasis"/>
        </w:rPr>
        <w:t xml:space="preserve">surfaces. The atmosphere of the </w:t>
      </w:r>
      <w:proofErr w:type="spellStart"/>
      <w:r w:rsidRPr="00F33965">
        <w:rPr>
          <w:rStyle w:val="Emphasis"/>
        </w:rPr>
        <w:t>lawscape</w:t>
      </w:r>
      <w:proofErr w:type="spellEnd"/>
      <w:r w:rsidRPr="00F33965">
        <w:rPr>
          <w:rStyle w:val="Emphasis"/>
        </w:rPr>
        <w:t xml:space="preserve"> is perfectly engineered to appear as a city that is guided by preference, choice, opportunity, freedom. Scratch the surface and you feel the law pushing all these preferences </w:t>
      </w:r>
      <w:r w:rsidRPr="00F33965">
        <w:rPr>
          <w:rStyle w:val="StyleUnderline"/>
        </w:rPr>
        <w:t>into corridors of affective movement, atmosp</w:t>
      </w:r>
      <w:r w:rsidRPr="00F33965">
        <w:rPr>
          <w:rStyle w:val="Emphasis"/>
        </w:rPr>
        <w:t>herics of legal passion that are material through and through yet appear reassuringly distant and abstract</w:t>
      </w:r>
      <w:r w:rsidRPr="004F03A7">
        <w:rPr>
          <w:rStyle w:val="Emphasis"/>
          <w:highlight w:val="cyan"/>
        </w:rPr>
        <w:t>.</w:t>
      </w:r>
    </w:p>
    <w:p w:rsidR="00CF1124" w:rsidRDefault="00CF1124" w:rsidP="00CF1124">
      <w:pPr>
        <w:pStyle w:val="Heading4"/>
      </w:pPr>
      <w:r>
        <w:t xml:space="preserve">2) Patents within the world of medicine and biotechnology take ownership of “the body.” Bits and pieces of peoples are being restricted by the law and personalized medicine works to create a hierarchy of bodies, both stifling our natural flow of affect and continuing the commodification of people. </w:t>
      </w:r>
    </w:p>
    <w:p w:rsidR="00CF1124" w:rsidRPr="000B0672" w:rsidRDefault="00CF1124" w:rsidP="00CF1124">
      <w:proofErr w:type="spellStart"/>
      <w:r w:rsidRPr="007D1D1C">
        <w:rPr>
          <w:rStyle w:val="Style13ptBold"/>
        </w:rPr>
        <w:t>Wolodzko</w:t>
      </w:r>
      <w:proofErr w:type="spellEnd"/>
      <w:r w:rsidRPr="007D1D1C">
        <w:rPr>
          <w:rStyle w:val="Style13ptBold"/>
        </w:rPr>
        <w:t xml:space="preserve"> 18</w:t>
      </w:r>
      <w:r w:rsidRPr="00FA0D5F">
        <w:rPr>
          <w:sz w:val="12"/>
          <w:szCs w:val="12"/>
        </w:rPr>
        <w:t xml:space="preserve"> [Agnieszka Anna, Bodies within affect</w:t>
      </w:r>
      <w:proofErr w:type="gramStart"/>
      <w:r w:rsidRPr="00FA0D5F">
        <w:rPr>
          <w:sz w:val="12"/>
          <w:szCs w:val="12"/>
        </w:rPr>
        <w:t>. :</w:t>
      </w:r>
      <w:proofErr w:type="gramEnd"/>
      <w:r w:rsidRPr="00FA0D5F">
        <w:rPr>
          <w:sz w:val="12"/>
          <w:szCs w:val="12"/>
        </w:rPr>
        <w:t xml:space="preserve"> on practicing contaminating matters through </w:t>
      </w:r>
      <w:proofErr w:type="spellStart"/>
      <w:r w:rsidRPr="00FA0D5F">
        <w:rPr>
          <w:sz w:val="12"/>
          <w:szCs w:val="12"/>
        </w:rPr>
        <w:t>bioart</w:t>
      </w:r>
      <w:proofErr w:type="spellEnd"/>
      <w:r w:rsidRPr="00FA0D5F">
        <w:rPr>
          <w:sz w:val="12"/>
          <w:szCs w:val="12"/>
        </w:rPr>
        <w:t xml:space="preserve">, 2018, </w:t>
      </w:r>
      <w:hyperlink r:id="rId38" w:history="1">
        <w:r w:rsidRPr="00FA0D5F">
          <w:rPr>
            <w:rStyle w:val="Hyperlink"/>
            <w:sz w:val="12"/>
            <w:szCs w:val="12"/>
          </w:rPr>
          <w:t>https://scholarlypublications.universiteitleiden.nl/handle/1887/66889</w:t>
        </w:r>
      </w:hyperlink>
      <w:r w:rsidRPr="00FA0D5F">
        <w:rPr>
          <w:sz w:val="12"/>
          <w:szCs w:val="12"/>
        </w:rPr>
        <w:t xml:space="preserve">] SHS KS </w:t>
      </w:r>
    </w:p>
    <w:p w:rsidR="00CF1124" w:rsidRPr="00F33965" w:rsidRDefault="00CF1124" w:rsidP="00CF1124">
      <w:pPr>
        <w:rPr>
          <w:sz w:val="14"/>
        </w:rPr>
      </w:pPr>
      <w:r w:rsidRPr="005679F5">
        <w:rPr>
          <w:rStyle w:val="Emphasis"/>
        </w:rPr>
        <w:t>The particular discrepancy between the practice of affect and its contro</w:t>
      </w:r>
      <w:r w:rsidRPr="005679F5">
        <w:rPr>
          <w:rStyle w:val="StyleUnderline"/>
        </w:rPr>
        <w:t>l, between discovering the relations of transformation and managing these relations in order to achieve particular formations, is present in the practices of biotechnology. Take, for instance,</w:t>
      </w:r>
      <w:r w:rsidRPr="00AA7D19">
        <w:rPr>
          <w:rStyle w:val="StyleUnderline"/>
        </w:rPr>
        <w:t xml:space="preserve"> </w:t>
      </w:r>
      <w:r w:rsidRPr="00792EBE">
        <w:rPr>
          <w:rStyle w:val="Emphasis"/>
          <w:highlight w:val="cyan"/>
        </w:rPr>
        <w:t>the patenting of the human genome,</w:t>
      </w:r>
      <w:r w:rsidRPr="00AA7D19">
        <w:rPr>
          <w:rStyle w:val="StyleUnderline"/>
        </w:rPr>
        <w:t xml:space="preserve"> which </w:t>
      </w:r>
      <w:r w:rsidRPr="00792EBE">
        <w:rPr>
          <w:rStyle w:val="Emphasis"/>
          <w:highlight w:val="cyan"/>
        </w:rPr>
        <w:t>touches the</w:t>
      </w:r>
      <w:r w:rsidRPr="00792EBE">
        <w:rPr>
          <w:rStyle w:val="Emphasis"/>
        </w:rPr>
        <w:t xml:space="preserve"> </w:t>
      </w:r>
      <w:r w:rsidRPr="00AA7D19">
        <w:rPr>
          <w:rStyle w:val="StyleUnderline"/>
        </w:rPr>
        <w:t xml:space="preserve">very intimate and existential </w:t>
      </w:r>
      <w:r w:rsidRPr="00792EBE">
        <w:rPr>
          <w:rStyle w:val="Emphasis"/>
          <w:highlight w:val="cyan"/>
        </w:rPr>
        <w:t>realm of what it means to have and be a body.</w:t>
      </w:r>
      <w:r w:rsidRPr="00AA7D19">
        <w:rPr>
          <w:rStyle w:val="StyleUnderline"/>
        </w:rPr>
        <w:t xml:space="preserve"> Donna Dickenson reports that, according to common law, </w:t>
      </w:r>
      <w:r w:rsidRPr="00FA794A">
        <w:rPr>
          <w:rStyle w:val="Emphasis"/>
        </w:rPr>
        <w:t>once a part of your body is separated from you, it is legally treated as waste and as not belonging to anybody</w:t>
      </w:r>
      <w:r w:rsidRPr="00A50657">
        <w:rPr>
          <w:sz w:val="14"/>
        </w:rPr>
        <w:t xml:space="preserve"> [lat. res nullius].22 Dickenson believes that this disposable attitude to body parts that have been detached from the body is due to the traditional distinction between a person and raw matter. </w:t>
      </w:r>
      <w:r w:rsidRPr="00AA7D19">
        <w:rPr>
          <w:rStyle w:val="StyleUnderline"/>
        </w:rPr>
        <w:t>Unlike a body part, persons cannot be owned as this would undermine the notion of human dignity</w:t>
      </w:r>
      <w:r w:rsidRPr="00A50657">
        <w:rPr>
          <w:sz w:val="14"/>
        </w:rPr>
        <w:t xml:space="preserve">.23 However, as Dickenson states, recent biotechnological practices undermine the boundaries between what can be considered as a person and what is just a raw body part, which results making the body a much more fluid and hybrid phenomenon. </w:t>
      </w:r>
      <w:r w:rsidRPr="00AA7D19">
        <w:rPr>
          <w:rStyle w:val="StyleUnderline"/>
        </w:rPr>
        <w:t xml:space="preserve">The scale and implications of the hybridity and relationality of the body as a result of biotechnological practices can be seen, for instance, within </w:t>
      </w:r>
      <w:r w:rsidRPr="005C3FEF">
        <w:rPr>
          <w:rStyle w:val="Emphasis"/>
        </w:rPr>
        <w:t>the</w:t>
      </w:r>
      <w:r w:rsidRPr="00AA7D19">
        <w:rPr>
          <w:rStyle w:val="StyleUnderline"/>
        </w:rPr>
        <w:t xml:space="preserve"> phenomenon of human genome patenting and genetic testing, the most lucrative applications of biotechnological innovations.</w:t>
      </w:r>
      <w:r w:rsidRPr="00A50657">
        <w:rPr>
          <w:sz w:val="14"/>
        </w:rPr>
        <w:t xml:space="preserve">24 Till 2013, it was common practice to patent the human genome once it had been isolated from the </w:t>
      </w:r>
      <w:r w:rsidRPr="005679F5">
        <w:rPr>
          <w:sz w:val="14"/>
        </w:rPr>
        <w:t xml:space="preserve">body. </w:t>
      </w:r>
      <w:r w:rsidRPr="005679F5">
        <w:rPr>
          <w:rStyle w:val="Emphasis"/>
        </w:rPr>
        <w:t xml:space="preserve">Even </w:t>
      </w:r>
      <w:r w:rsidRPr="005679F5">
        <w:rPr>
          <w:rStyle w:val="Emphasis"/>
          <w:highlight w:val="cyan"/>
        </w:rPr>
        <w:t xml:space="preserve">though genes are not an invention </w:t>
      </w:r>
      <w:r w:rsidRPr="00CD3930">
        <w:rPr>
          <w:rStyle w:val="Emphasis"/>
        </w:rPr>
        <w:t>as such</w:t>
      </w:r>
      <w:r w:rsidRPr="005679F5">
        <w:rPr>
          <w:rStyle w:val="Emphasis"/>
          <w:highlight w:val="cyan"/>
        </w:rPr>
        <w:t xml:space="preserve">, their </w:t>
      </w:r>
      <w:r w:rsidRPr="00792EBE">
        <w:rPr>
          <w:rStyle w:val="Emphasis"/>
          <w:highlight w:val="cyan"/>
        </w:rPr>
        <w:t xml:space="preserve">isolation from a body was considered </w:t>
      </w:r>
      <w:r w:rsidRPr="00CD3930">
        <w:rPr>
          <w:rStyle w:val="Emphasis"/>
        </w:rPr>
        <w:t xml:space="preserve">an </w:t>
      </w:r>
      <w:r w:rsidRPr="00792EBE">
        <w:rPr>
          <w:rStyle w:val="Emphasis"/>
          <w:highlight w:val="cyan"/>
        </w:rPr>
        <w:t xml:space="preserve">innovative </w:t>
      </w:r>
      <w:r w:rsidRPr="00CD3930">
        <w:rPr>
          <w:rStyle w:val="Emphasis"/>
        </w:rPr>
        <w:t xml:space="preserve">practice </w:t>
      </w:r>
      <w:r w:rsidRPr="00792EBE">
        <w:rPr>
          <w:rStyle w:val="Emphasis"/>
          <w:highlight w:val="cyan"/>
        </w:rPr>
        <w:t>and thus subject to patenting laws.</w:t>
      </w:r>
      <w:r w:rsidRPr="00AA7D19">
        <w:rPr>
          <w:rStyle w:val="StyleUnderline"/>
        </w:rPr>
        <w:t xml:space="preserve">25 This resulted in an enormous </w:t>
      </w:r>
      <w:proofErr w:type="spellStart"/>
      <w:r w:rsidRPr="00AA7D19">
        <w:rPr>
          <w:rStyle w:val="StyleUnderline"/>
        </w:rPr>
        <w:t>biomarket</w:t>
      </w:r>
      <w:proofErr w:type="spellEnd"/>
      <w:r w:rsidRPr="00AA7D19">
        <w:rPr>
          <w:rStyle w:val="StyleUnderline"/>
        </w:rPr>
        <w:t>, where, in the 1980s-1990s, till 2005, over twenty per cent of the human genome was patented in the US.</w:t>
      </w:r>
      <w:r w:rsidRPr="005C2444">
        <w:rPr>
          <w:rStyle w:val="StyleUnderline"/>
        </w:rPr>
        <w:t xml:space="preserve">26 </w:t>
      </w:r>
      <w:r w:rsidRPr="00792EBE">
        <w:rPr>
          <w:rStyle w:val="Emphasis"/>
          <w:highlight w:val="cyan"/>
        </w:rPr>
        <w:t>A patent</w:t>
      </w:r>
      <w:r w:rsidRPr="005C2444">
        <w:rPr>
          <w:rStyle w:val="StyleUnderline"/>
        </w:rPr>
        <w:t xml:space="preserve"> </w:t>
      </w:r>
      <w:r w:rsidRPr="00A50657">
        <w:rPr>
          <w:sz w:val="14"/>
        </w:rPr>
        <w:t xml:space="preserve">is “a legal right granted to inventors by national governments to exclude others from making, using or selling their invention in a given country,”27 and so, in this context, </w:t>
      </w:r>
      <w:r w:rsidRPr="00792EBE">
        <w:rPr>
          <w:rStyle w:val="Emphasis"/>
        </w:rPr>
        <w:t>it</w:t>
      </w:r>
      <w:r w:rsidRPr="00792EBE">
        <w:rPr>
          <w:rStyle w:val="Emphasis"/>
          <w:highlight w:val="cyan"/>
        </w:rPr>
        <w:t>s</w:t>
      </w:r>
      <w:r w:rsidRPr="00792EBE">
        <w:rPr>
          <w:rStyle w:val="Emphasis"/>
        </w:rPr>
        <w:t xml:space="preserve"> </w:t>
      </w:r>
      <w:r w:rsidRPr="00792EBE">
        <w:rPr>
          <w:rStyle w:val="Emphasis"/>
          <w:highlight w:val="cyan"/>
        </w:rPr>
        <w:t>function presupposes that parts of our own body are legally owned by companies and institutions.</w:t>
      </w:r>
      <w:r w:rsidRPr="00A50657">
        <w:rPr>
          <w:sz w:val="14"/>
        </w:rPr>
        <w:t xml:space="preserve">28 </w:t>
      </w:r>
      <w:r w:rsidRPr="005C2444">
        <w:rPr>
          <w:rStyle w:val="StyleUnderline"/>
        </w:rPr>
        <w:t xml:space="preserve">Most importantly, gene patents are usually applied to all methods of their detection. This means that every test and tool involved in the management of a particular sequence are covered by </w:t>
      </w:r>
      <w:r w:rsidRPr="00AE3C9A">
        <w:rPr>
          <w:rStyle w:val="StyleUnderline"/>
        </w:rPr>
        <w:t xml:space="preserve">patent laws. The patent thus reaches a very broad research area, and this may have consequences for future innovation and medical care. Since </w:t>
      </w:r>
      <w:r w:rsidRPr="00AE3C9A">
        <w:rPr>
          <w:rStyle w:val="Emphasis"/>
        </w:rPr>
        <w:t>the main role of patents in the biotechnology that has induced genetic testing was to allow for private investment in research and development, biotechnology has transformed from a common good into a commodification and exploitation of the body.</w:t>
      </w:r>
      <w:r w:rsidRPr="00AE3C9A">
        <w:rPr>
          <w:sz w:val="14"/>
        </w:rPr>
        <w:t xml:space="preserve"> Arguably, things have changed once the US Supreme Court banned the patenting of “natural” genes in the case of the Myriad Genetics Inc., the company that discovered the sequence and location of BRCA1 and BRCA1 – a gene mutation that increases the risk of ovarian and breast cancer: “</w:t>
      </w:r>
      <w:r w:rsidRPr="00AE3C9A">
        <w:rPr>
          <w:rStyle w:val="Emphasis"/>
        </w:rPr>
        <w:t>A naturally occurring DNA segment</w:t>
      </w:r>
      <w:r w:rsidRPr="00AE3C9A">
        <w:rPr>
          <w:rStyle w:val="StyleUnderline"/>
        </w:rPr>
        <w:t xml:space="preserve"> is a product of nature and </w:t>
      </w:r>
      <w:r w:rsidRPr="00AE3C9A">
        <w:rPr>
          <w:rStyle w:val="Emphasis"/>
        </w:rPr>
        <w:t>not patent eligible</w:t>
      </w:r>
      <w:r w:rsidRPr="00AE3C9A">
        <w:rPr>
          <w:rStyle w:val="StyleUnderline"/>
        </w:rPr>
        <w:t xml:space="preserve"> merely because it has been isolated, </w:t>
      </w:r>
      <w:r w:rsidRPr="00AE3C9A">
        <w:rPr>
          <w:rStyle w:val="Emphasis"/>
        </w:rPr>
        <w:t>but</w:t>
      </w:r>
      <w:r w:rsidRPr="00AE3C9A">
        <w:rPr>
          <w:rStyle w:val="StyleUnderline"/>
        </w:rPr>
        <w:t xml:space="preserve"> cDNA is patent eligible because it is not naturally occurring.”</w:t>
      </w:r>
      <w:r w:rsidRPr="00AE3C9A">
        <w:rPr>
          <w:sz w:val="14"/>
        </w:rPr>
        <w:t xml:space="preserve">29 However, things become more ambiguous when we look not only at the differences, but also at the similarities between DNA and </w:t>
      </w:r>
      <w:r w:rsidRPr="00AE3C9A">
        <w:rPr>
          <w:rStyle w:val="Emphasis"/>
        </w:rPr>
        <w:t>its copy, cDNA (complementary DNA)</w:t>
      </w:r>
      <w:r w:rsidRPr="00AE3C9A">
        <w:rPr>
          <w:sz w:val="14"/>
        </w:rPr>
        <w:t>. cDNA is “a type of a man-made DNA composition, which is made in a lab with an enzyme</w:t>
      </w:r>
      <w:r w:rsidRPr="00A50657">
        <w:rPr>
          <w:sz w:val="14"/>
        </w:rPr>
        <w:t xml:space="preserve"> that creates DNA from RNA template.”30 </w:t>
      </w:r>
      <w:r w:rsidRPr="00A50657">
        <w:rPr>
          <w:rStyle w:val="StyleUnderline"/>
        </w:rPr>
        <w:t xml:space="preserve">Not naturally occurring, and structurally and functionally different from DNA, </w:t>
      </w:r>
      <w:r w:rsidRPr="00A50657">
        <w:rPr>
          <w:rStyle w:val="Emphasis"/>
        </w:rPr>
        <w:t>cDNA</w:t>
      </w:r>
      <w:r w:rsidRPr="00A50657">
        <w:rPr>
          <w:rStyle w:val="StyleUnderline"/>
        </w:rPr>
        <w:t xml:space="preserve"> thus </w:t>
      </w:r>
      <w:r w:rsidRPr="00A50657">
        <w:rPr>
          <w:rStyle w:val="Emphasis"/>
        </w:rPr>
        <w:t>complies with the patent law.</w:t>
      </w:r>
      <w:r w:rsidRPr="00A50657">
        <w:rPr>
          <w:rStyle w:val="StyleUnderline"/>
        </w:rPr>
        <w:t xml:space="preserve"> Nevertheless,</w:t>
      </w:r>
      <w:r w:rsidRPr="00A50657">
        <w:rPr>
          <w:sz w:val="14"/>
        </w:rPr>
        <w:t xml:space="preserve"> some critics argue that, despite its structural </w:t>
      </w:r>
      <w:r w:rsidRPr="007D1D1C">
        <w:rPr>
          <w:sz w:val="14"/>
        </w:rPr>
        <w:t>and functional difference, which allows for the further research</w:t>
      </w:r>
      <w:r w:rsidRPr="007D1D1C">
        <w:rPr>
          <w:rStyle w:val="StyleUnderline"/>
        </w:rPr>
        <w:t>, the copy (cDNA) still holds exactly the same information as the original (DNA)</w:t>
      </w:r>
      <w:r w:rsidRPr="007D1D1C">
        <w:rPr>
          <w:sz w:val="14"/>
        </w:rPr>
        <w:t xml:space="preserve">.31 </w:t>
      </w:r>
      <w:r w:rsidRPr="007D1D1C">
        <w:rPr>
          <w:rStyle w:val="StyleUnderline"/>
        </w:rPr>
        <w:t xml:space="preserve">Moreover, </w:t>
      </w:r>
      <w:r w:rsidRPr="007D1D1C">
        <w:rPr>
          <w:rStyle w:val="Emphasis"/>
        </w:rPr>
        <w:t>because cDNA is not distinct from the methods it is extracted with, there is no specification of how much intervention is actually needed in order for the gene to be legally patented</w:t>
      </w:r>
      <w:r w:rsidRPr="007D1D1C">
        <w:rPr>
          <w:rStyle w:val="StyleUnderline"/>
        </w:rPr>
        <w:t>, since mere simple separation from the body is no longer a boundary.</w:t>
      </w:r>
      <w:r w:rsidRPr="007D1D1C">
        <w:rPr>
          <w:sz w:val="14"/>
        </w:rPr>
        <w:t>32 Despite the lack of boundaries and clear definitions of what a body’s natural state is and what its manipulated</w:t>
      </w:r>
      <w:r w:rsidRPr="00A50657">
        <w:rPr>
          <w:sz w:val="14"/>
        </w:rPr>
        <w:t xml:space="preserve"> state is, Myriad, (like other companies involved in human gene patenting</w:t>
      </w:r>
      <w:r w:rsidRPr="00792EBE">
        <w:rPr>
          <w:rStyle w:val="StyleUnderline"/>
        </w:rPr>
        <w:t>), practices what is now called personalized medicine. Bodies are practiced as autonomous and fixed identities, independent from collective relations.</w:t>
      </w:r>
      <w:r w:rsidRPr="00A50657">
        <w:rPr>
          <w:sz w:val="14"/>
        </w:rPr>
        <w:t xml:space="preserve">33 As Dickenson argues, </w:t>
      </w:r>
      <w:r w:rsidRPr="00792EBE">
        <w:rPr>
          <w:rStyle w:val="Emphasis"/>
          <w:highlight w:val="cyan"/>
        </w:rPr>
        <w:t xml:space="preserve">personalized medicine deliberately </w:t>
      </w:r>
      <w:r w:rsidRPr="007E5138">
        <w:rPr>
          <w:rStyle w:val="Emphasis"/>
        </w:rPr>
        <w:t xml:space="preserve">positions itself against we medicine, </w:t>
      </w:r>
      <w:proofErr w:type="spellStart"/>
      <w:r w:rsidRPr="007E5138">
        <w:rPr>
          <w:rStyle w:val="Emphasis"/>
        </w:rPr>
        <w:t>emphasising</w:t>
      </w:r>
      <w:proofErr w:type="spellEnd"/>
      <w:r w:rsidRPr="007E5138">
        <w:rPr>
          <w:rStyle w:val="Emphasis"/>
        </w:rPr>
        <w:t xml:space="preserve"> individual responsibility and care, rather than a collective and relational understanding of the way our bodies are.</w:t>
      </w:r>
      <w:r w:rsidRPr="007E5138">
        <w:rPr>
          <w:sz w:val="14"/>
        </w:rPr>
        <w:t xml:space="preserve"> We witnessed the power of individual choice when the American actress A</w:t>
      </w:r>
      <w:r w:rsidRPr="00A50657">
        <w:rPr>
          <w:sz w:val="14"/>
        </w:rPr>
        <w:t xml:space="preserve">ngelina Jolie announced that she had undergone a double mastectomy due to the presence of the BRCA gene in her body. This was in 2013, just before the Supreme Court decision in the Myriad case and the actress’s experience provoked a public debate about the necessity of testing for the cancer gene. However, the media conveniently failed to mention the patent that applied to the BRCA gene, and just how expensive the test to detect it was (in 2013, the test cost between US$3,000 and US$4,000).34 Moreover, the decision to undergo the mastectomy – which for the average woman does not end with a full breast reconstruction as it did in Jolie’s case – was portrayed as being a woman’s – a mother’s – individual choice. </w:t>
      </w:r>
      <w:r w:rsidRPr="00B55C57">
        <w:rPr>
          <w:rStyle w:val="StyleUnderline"/>
        </w:rPr>
        <w:t xml:space="preserve">The discussion of the elective surgery </w:t>
      </w:r>
      <w:r w:rsidRPr="00FA325F">
        <w:rPr>
          <w:rStyle w:val="StyleUnderline"/>
        </w:rPr>
        <w:t xml:space="preserve">largely </w:t>
      </w:r>
      <w:r w:rsidRPr="00FA325F">
        <w:rPr>
          <w:rStyle w:val="Emphasis"/>
        </w:rPr>
        <w:t>ignored any discussion of the financial, political or social situation</w:t>
      </w:r>
      <w:r w:rsidRPr="00FA325F">
        <w:rPr>
          <w:rStyle w:val="StyleUnderline"/>
        </w:rPr>
        <w:t xml:space="preserve"> of women, or of the industry involved in performing these tests.</w:t>
      </w:r>
      <w:r w:rsidRPr="00FA325F">
        <w:rPr>
          <w:sz w:val="14"/>
        </w:rPr>
        <w:t xml:space="preserve"> </w:t>
      </w:r>
      <w:r w:rsidRPr="00FA325F">
        <w:rPr>
          <w:rStyle w:val="StyleUnderline"/>
        </w:rPr>
        <w:t>Importantly, in order for the testing to be accurate and certain, a large database of the variation of this mutation is needed.</w:t>
      </w:r>
      <w:r w:rsidRPr="00FA325F">
        <w:rPr>
          <w:sz w:val="14"/>
        </w:rPr>
        <w:t xml:space="preserve"> </w:t>
      </w:r>
      <w:r w:rsidRPr="00FA325F">
        <w:rPr>
          <w:rStyle w:val="Emphasis"/>
        </w:rPr>
        <w:t>You need “we medicine in order to perform a successful me medicine.”</w:t>
      </w:r>
      <w:r w:rsidRPr="00FA325F">
        <w:rPr>
          <w:sz w:val="14"/>
        </w:rPr>
        <w:t xml:space="preserve">35 </w:t>
      </w:r>
      <w:r w:rsidRPr="00FA325F">
        <w:rPr>
          <w:rStyle w:val="StyleUnderline"/>
        </w:rPr>
        <w:t xml:space="preserve">In other words, to be accurate, </w:t>
      </w:r>
      <w:r w:rsidRPr="00FA325F">
        <w:rPr>
          <w:rStyle w:val="Emphasis"/>
        </w:rPr>
        <w:t xml:space="preserve">any medicine depends on a range of relational practices and multiple bodies from various social, political and biological states. Any distinction, therefore, between “me” and “we” medicine is an artificial one. </w:t>
      </w:r>
      <w:r w:rsidRPr="00FA325F">
        <w:rPr>
          <w:rStyle w:val="StyleUnderline"/>
        </w:rPr>
        <w:t xml:space="preserve">Medical practice has exposed how “me” medicine has already been “we” medicine. </w:t>
      </w:r>
      <w:r w:rsidRPr="00FA325F">
        <w:rPr>
          <w:rStyle w:val="Emphasis"/>
        </w:rPr>
        <w:t>The tangible danger, however, is that these relational practices become veiled by the abstract categories of individuality and autonomy. In other words, while we are already living within affect, and are already practicing affect’s contaminations and its multiple relations and implications for various spheres of living bodies, we have never really changed our logic with regard to affect.</w:t>
      </w:r>
      <w:r w:rsidRPr="00FA325F">
        <w:rPr>
          <w:sz w:val="14"/>
        </w:rPr>
        <w:t xml:space="preserve"> In the case of Myriad, </w:t>
      </w:r>
      <w:r w:rsidRPr="00FA325F">
        <w:rPr>
          <w:rStyle w:val="Emphasis"/>
        </w:rPr>
        <w:t>while, in principle, researchers, share their genome database in order to provide an exchange of information for the common good and to promote innovation and accurate medical care, fear of competition led the company to stop contributing to the data</w:t>
      </w:r>
      <w:r w:rsidRPr="00FA325F">
        <w:rPr>
          <w:rStyle w:val="StyleUnderline"/>
        </w:rPr>
        <w:t xml:space="preserve"> already in 2004. It has also stopped </w:t>
      </w:r>
      <w:proofErr w:type="spellStart"/>
      <w:r w:rsidRPr="00FA325F">
        <w:rPr>
          <w:rStyle w:val="StyleUnderline"/>
        </w:rPr>
        <w:t>publicising</w:t>
      </w:r>
      <w:proofErr w:type="spellEnd"/>
      <w:r w:rsidRPr="00FA325F">
        <w:rPr>
          <w:rStyle w:val="StyleUnderline"/>
        </w:rPr>
        <w:t xml:space="preserve"> new information about variations. As a major performer of tests for the BRCA gene, Myriad has thus significantly restricted research on breast cancer. </w:t>
      </w:r>
      <w:r w:rsidRPr="00FA325F">
        <w:rPr>
          <w:rStyle w:val="Emphasis"/>
        </w:rPr>
        <w:t>The company’s self-interest, clothed in a policy of personalized medicine has stopped the flow of data and, therefore, causing less accurate medical care.</w:t>
      </w:r>
      <w:r w:rsidRPr="00FA325F">
        <w:rPr>
          <w:sz w:val="14"/>
        </w:rPr>
        <w:t xml:space="preserve">36 What is worse, after the US Supreme Court decision of 15 April 2013, Myriad filed a number of lawsuits against laboratories that had started to offer the BRCA test more cheaply.37 What we learn from the BRCA case, is that </w:t>
      </w:r>
      <w:r w:rsidRPr="00FA325F">
        <w:rPr>
          <w:rStyle w:val="Emphasis"/>
        </w:rPr>
        <w:t>by failing to change the logic of thinking about the bodies and as a result of its perpetuation of the belief in the autonomy of bodies, despite their obvious dependence on bodies’ relationality, the gene patenting industry has created even stronger hierarchies among bodies.</w:t>
      </w:r>
      <w:r w:rsidRPr="00FA325F">
        <w:rPr>
          <w:sz w:val="14"/>
        </w:rPr>
        <w:t xml:space="preserve"> The industry’s policies have enacted a strong belief in determinism, ascribed to DNA within the practices of biotechnological, economic and political application. </w:t>
      </w:r>
      <w:r w:rsidRPr="00FA325F">
        <w:rPr>
          <w:rStyle w:val="StyleUnderline"/>
        </w:rPr>
        <w:t>The idea of the autonomous body is stronger than the actual matters of practice and relations that</w:t>
      </w:r>
      <w:r w:rsidRPr="00B55C57">
        <w:rPr>
          <w:rStyle w:val="StyleUnderline"/>
        </w:rPr>
        <w:t xml:space="preserve"> construct the body.</w:t>
      </w:r>
      <w:r w:rsidRPr="00A50657">
        <w:rPr>
          <w:sz w:val="14"/>
        </w:rPr>
        <w:t xml:space="preserve"> Such practice of the body has preserved the nature/culture divide in a bizarrely paradoxical way. The US Supreme Court’s decision </w:t>
      </w:r>
      <w:r w:rsidRPr="00B55C57">
        <w:rPr>
          <w:rStyle w:val="StyleUnderline"/>
        </w:rPr>
        <w:t xml:space="preserve">perpetuates a belief in the exclusion of nature from any economic-political spheres. As long as something does not occur in “nature”, it can be patented. However, as shown in the case of </w:t>
      </w:r>
      <w:r w:rsidRPr="00A50657">
        <w:rPr>
          <w:rStyle w:val="StyleUnderline"/>
        </w:rPr>
        <w:t xml:space="preserve">Myriad, the copy (cDNA) of DNA that is to be patented holds exactly the same information as the original (DNA). </w:t>
      </w:r>
      <w:r w:rsidRPr="00A50657">
        <w:rPr>
          <w:rStyle w:val="Emphasis"/>
        </w:rPr>
        <w:t>The border between what occurs naturally and culturally, what is original and what is a copy, is thus blurred.</w:t>
      </w:r>
      <w:r w:rsidRPr="00A50657">
        <w:rPr>
          <w:rStyle w:val="StyleUnderline"/>
        </w:rPr>
        <w:t xml:space="preserve"> Without the “original” DNA there would be no cDNA in the first place. Moreover, what is considered as artificial</w:t>
      </w:r>
      <w:r w:rsidRPr="00B55C57">
        <w:rPr>
          <w:rStyle w:val="StyleUnderline"/>
        </w:rPr>
        <w:t xml:space="preserve"> and therefore ready for manipulation and commodification, materially influences and transforms what we consider to be “natural</w:t>
      </w:r>
      <w:r w:rsidRPr="00AE3C9A">
        <w:rPr>
          <w:rStyle w:val="StyleUnderline"/>
        </w:rPr>
        <w:t xml:space="preserve">”. </w:t>
      </w:r>
      <w:r w:rsidRPr="00AE3C9A">
        <w:rPr>
          <w:rStyle w:val="Emphasis"/>
        </w:rPr>
        <w:t>The promise of cure and treatment that has justified the privatization and monopolization of research, ultimately</w:t>
      </w:r>
      <w:r w:rsidRPr="00A50657">
        <w:rPr>
          <w:rStyle w:val="Emphasis"/>
        </w:rPr>
        <w:t xml:space="preserve"> influences our own bodies and lives. Patented genes sequences do not regard a particular body, but “the body”. </w:t>
      </w:r>
      <w:r w:rsidRPr="00792EBE">
        <w:rPr>
          <w:rStyle w:val="Emphasis"/>
          <w:highlight w:val="cyan"/>
        </w:rPr>
        <w:t>Patents have a universal function, which</w:t>
      </w:r>
      <w:r w:rsidRPr="005679F5">
        <w:rPr>
          <w:rStyle w:val="Emphasis"/>
        </w:rPr>
        <w:t xml:space="preserve">, in turn, </w:t>
      </w:r>
      <w:r w:rsidRPr="00792EBE">
        <w:rPr>
          <w:rStyle w:val="Emphasis"/>
          <w:highlight w:val="cyan"/>
        </w:rPr>
        <w:t xml:space="preserve">incorporates all </w:t>
      </w:r>
      <w:r w:rsidRPr="009770ED">
        <w:rPr>
          <w:rStyle w:val="Emphasis"/>
        </w:rPr>
        <w:t xml:space="preserve">our </w:t>
      </w:r>
      <w:r w:rsidRPr="00792EBE">
        <w:rPr>
          <w:rStyle w:val="Emphasis"/>
          <w:highlight w:val="cyan"/>
        </w:rPr>
        <w:t>bodies under its law.</w:t>
      </w:r>
      <w:r w:rsidRPr="00792EBE">
        <w:rPr>
          <w:rStyle w:val="Emphasis"/>
        </w:rPr>
        <w:t xml:space="preserve"> </w:t>
      </w:r>
      <w:r w:rsidRPr="00A50657">
        <w:rPr>
          <w:sz w:val="14"/>
        </w:rPr>
        <w:t>Once you have a breast cancer,</w:t>
      </w:r>
      <w:r w:rsidRPr="00B55C57">
        <w:rPr>
          <w:rStyle w:val="StyleUnderline"/>
        </w:rPr>
        <w:t xml:space="preserve"> </w:t>
      </w:r>
      <w:r w:rsidRPr="00EF655B">
        <w:rPr>
          <w:rStyle w:val="Emphasis"/>
          <w:highlight w:val="cyan"/>
        </w:rPr>
        <w:t>part of you</w:t>
      </w:r>
      <w:r w:rsidRPr="005679F5">
        <w:rPr>
          <w:rStyle w:val="Emphasis"/>
        </w:rPr>
        <w:t xml:space="preserve">, what you think of as the “natural” you, </w:t>
      </w:r>
      <w:r w:rsidRPr="00EF655B">
        <w:rPr>
          <w:rStyle w:val="Emphasis"/>
          <w:highlight w:val="cyan"/>
        </w:rPr>
        <w:t>belongs</w:t>
      </w:r>
      <w:r w:rsidRPr="005679F5">
        <w:rPr>
          <w:rStyle w:val="Emphasis"/>
        </w:rPr>
        <w:t xml:space="preserve">, in practice, </w:t>
      </w:r>
      <w:r w:rsidRPr="00EF655B">
        <w:rPr>
          <w:rStyle w:val="Emphasis"/>
          <w:highlight w:val="cyan"/>
        </w:rPr>
        <w:t xml:space="preserve">to the corporation. The artificial divide </w:t>
      </w:r>
      <w:r w:rsidRPr="00A50657">
        <w:rPr>
          <w:rStyle w:val="Emphasis"/>
        </w:rPr>
        <w:t xml:space="preserve">between the “state of nature” and man-made practice </w:t>
      </w:r>
      <w:r w:rsidRPr="00EF655B">
        <w:rPr>
          <w:rStyle w:val="Emphasis"/>
          <w:highlight w:val="cyan"/>
        </w:rPr>
        <w:t>does not respond to our bodies, which are an entanglement of living matter and practices.</w:t>
      </w:r>
      <w:r w:rsidRPr="00EF655B">
        <w:rPr>
          <w:rStyle w:val="Emphasis"/>
        </w:rPr>
        <w:t xml:space="preserve"> </w:t>
      </w:r>
      <w:r w:rsidRPr="00A50657">
        <w:rPr>
          <w:sz w:val="14"/>
        </w:rPr>
        <w:t xml:space="preserve">Furthermore, the Myriad case is also a striking example because it shows the consequences of </w:t>
      </w:r>
      <w:r w:rsidRPr="000B3482">
        <w:rPr>
          <w:rStyle w:val="Emphasis"/>
        </w:rPr>
        <w:t xml:space="preserve">our lack of understanding that biotechnology has a real material impact on our social and political life. </w:t>
      </w:r>
      <w:r w:rsidRPr="000B3482">
        <w:rPr>
          <w:sz w:val="14"/>
        </w:rPr>
        <w:t xml:space="preserve">Here, the idea of personhood and human dignity cannot do justice to the scale of novelty and unpredictability of the biotechnological world. Biobanks, which are the modern equivalent of surveillance and property, have resulted in: </w:t>
      </w:r>
      <w:r w:rsidRPr="000B3482">
        <w:rPr>
          <w:rStyle w:val="StyleUnderline"/>
        </w:rPr>
        <w:t>commodified cell lines, such as those in the Henrietta Lacks legal case</w:t>
      </w:r>
      <w:r w:rsidRPr="000B3482">
        <w:rPr>
          <w:sz w:val="14"/>
        </w:rPr>
        <w:t xml:space="preserve">,38 </w:t>
      </w:r>
      <w:r w:rsidRPr="000B3482">
        <w:rPr>
          <w:rStyle w:val="StyleUnderline"/>
        </w:rPr>
        <w:t>promises of regenerative medicine</w:t>
      </w:r>
      <w:r w:rsidRPr="000B3482">
        <w:rPr>
          <w:sz w:val="14"/>
        </w:rPr>
        <w:t xml:space="preserve"> via new methods that transform a cell</w:t>
      </w:r>
      <w:r w:rsidRPr="00A50657">
        <w:rPr>
          <w:sz w:val="14"/>
        </w:rPr>
        <w:t xml:space="preserve"> from an adult body into any other type of a cell, </w:t>
      </w:r>
      <w:r w:rsidRPr="00EE6AE6">
        <w:rPr>
          <w:rStyle w:val="StyleUnderline"/>
        </w:rPr>
        <w:t>and CRISPR genome editing</w:t>
      </w:r>
      <w:r w:rsidRPr="00A50657">
        <w:rPr>
          <w:sz w:val="14"/>
        </w:rPr>
        <w:t xml:space="preserve">, which makes the idea of designer babies not just futuristic speculation, but a scientific possibly.39 </w:t>
      </w:r>
      <w:r w:rsidRPr="00EE6AE6">
        <w:rPr>
          <w:rStyle w:val="StyleUnderline"/>
        </w:rPr>
        <w:t xml:space="preserve">Indeed, these new biotechnological inventions have undermined any doubt about the influence that biotechnology already has in shaping our lives. </w:t>
      </w:r>
      <w:r w:rsidRPr="00A50657">
        <w:rPr>
          <w:sz w:val="14"/>
        </w:rPr>
        <w:t xml:space="preserve">These phenomena are not just the concern of bioethical committees and economic policies, they directly touch the multiple political, social and cultural realms of our existence. Ingeborg </w:t>
      </w:r>
      <w:proofErr w:type="spellStart"/>
      <w:r w:rsidRPr="00A50657">
        <w:rPr>
          <w:sz w:val="14"/>
        </w:rPr>
        <w:t>Reichle</w:t>
      </w:r>
      <w:proofErr w:type="spellEnd"/>
      <w:r w:rsidRPr="00A50657">
        <w:rPr>
          <w:sz w:val="14"/>
        </w:rPr>
        <w:t xml:space="preserve"> called the unprecedented power inherent to the use of biotechnology “bottom-up eugenics”, which is not based directly on a socio-cultural idea and narration, but rather the market and profit.40 As Robert </w:t>
      </w:r>
      <w:proofErr w:type="spellStart"/>
      <w:r w:rsidRPr="00A50657">
        <w:rPr>
          <w:sz w:val="14"/>
        </w:rPr>
        <w:t>Zwijnenberg</w:t>
      </w:r>
      <w:proofErr w:type="spellEnd"/>
      <w:r w:rsidRPr="00A50657">
        <w:rPr>
          <w:sz w:val="14"/>
        </w:rPr>
        <w:t xml:space="preserve"> argues, </w:t>
      </w:r>
      <w:r w:rsidRPr="00EE6AE6">
        <w:rPr>
          <w:rStyle w:val="StyleUnderline"/>
        </w:rPr>
        <w:t>biotechnology inevitably correlates with such problems as, for instance, human enhancement, posing not only ethical and legal problems, but forcing more philosophically and culturally varied questions and attitudes, i.e. “</w:t>
      </w:r>
      <w:r w:rsidRPr="00EF655B">
        <w:rPr>
          <w:rStyle w:val="Emphasis"/>
          <w:highlight w:val="cyan"/>
        </w:rPr>
        <w:t xml:space="preserve">who and what do we want to be </w:t>
      </w:r>
      <w:r w:rsidRPr="00AE3C9A">
        <w:rPr>
          <w:rStyle w:val="Emphasis"/>
        </w:rPr>
        <w:t>as humans, and who</w:t>
      </w:r>
      <w:r w:rsidRPr="00EF655B">
        <w:rPr>
          <w:rStyle w:val="Emphasis"/>
          <w:highlight w:val="cyan"/>
        </w:rPr>
        <w:t xml:space="preserve"> and </w:t>
      </w:r>
      <w:r w:rsidRPr="00AE3C9A">
        <w:rPr>
          <w:rStyle w:val="Emphasis"/>
        </w:rPr>
        <w:t xml:space="preserve">what do we want to </w:t>
      </w:r>
      <w:r w:rsidRPr="00EF655B">
        <w:rPr>
          <w:rStyle w:val="Emphasis"/>
          <w:highlight w:val="cyan"/>
        </w:rPr>
        <w:t>become?”</w:t>
      </w:r>
      <w:r w:rsidRPr="00A50657">
        <w:rPr>
          <w:sz w:val="14"/>
        </w:rPr>
        <w:t xml:space="preserve">41 </w:t>
      </w:r>
      <w:r w:rsidRPr="000B3482">
        <w:rPr>
          <w:rStyle w:val="Emphasis"/>
          <w:highlight w:val="cyan"/>
        </w:rPr>
        <w:t>Biotechnological innovations that allow us to manipulate our bodies</w:t>
      </w:r>
      <w:r w:rsidRPr="000B3482">
        <w:rPr>
          <w:rStyle w:val="Emphasis"/>
        </w:rPr>
        <w:t xml:space="preserve"> construct </w:t>
      </w:r>
      <w:proofErr w:type="spellStart"/>
      <w:r w:rsidRPr="000B3482">
        <w:rPr>
          <w:rStyle w:val="Emphasis"/>
        </w:rPr>
        <w:t>economicsocial</w:t>
      </w:r>
      <w:proofErr w:type="spellEnd"/>
      <w:r w:rsidRPr="000B3482">
        <w:rPr>
          <w:rStyle w:val="Emphasis"/>
        </w:rPr>
        <w:t xml:space="preserve"> realities that do not respond to disciplinary divisions.</w:t>
      </w:r>
      <w:r w:rsidRPr="000B3482">
        <w:rPr>
          <w:rStyle w:val="StyleUnderline"/>
        </w:rPr>
        <w:t xml:space="preserve"> Eco</w:t>
      </w:r>
      <w:r w:rsidRPr="00EE6AE6">
        <w:rPr>
          <w:rStyle w:val="StyleUnderline"/>
        </w:rPr>
        <w:t xml:space="preserve">nomic and political demands are strongly entangled with scientific findings, technologies and their agencies, which, in turn, inevitably influence social and cultural, individual and the population’s practices, as well as our lives and bodies. </w:t>
      </w:r>
      <w:r w:rsidRPr="00A50657">
        <w:rPr>
          <w:sz w:val="14"/>
        </w:rPr>
        <w:t xml:space="preserve">However, as the Myriad case shows, </w:t>
      </w:r>
      <w:r w:rsidRPr="000B3482">
        <w:rPr>
          <w:rStyle w:val="Emphasis"/>
        </w:rPr>
        <w:t xml:space="preserve">once these multiple entanglements are applied </w:t>
      </w:r>
      <w:r w:rsidRPr="00FA325F">
        <w:rPr>
          <w:rStyle w:val="Emphasis"/>
        </w:rPr>
        <w:t xml:space="preserve">according to the traditional beliefs in autonomy, individuation and personalization, which do not respond to the relational nature of phenomena, we enter into the realm of utopian beliefs in purity and clear-cut boundaries </w:t>
      </w:r>
      <w:r w:rsidRPr="009770ED">
        <w:rPr>
          <w:rStyle w:val="Emphasis"/>
        </w:rPr>
        <w:t>between species and disciplines.</w:t>
      </w:r>
      <w:r w:rsidRPr="00A50657">
        <w:rPr>
          <w:sz w:val="14"/>
        </w:rPr>
        <w:t xml:space="preserve"> For instance, transhumanists’ desire for designer babies and perfect humans,42 </w:t>
      </w:r>
      <w:proofErr w:type="spellStart"/>
      <w:r w:rsidRPr="00A50657">
        <w:rPr>
          <w:sz w:val="14"/>
        </w:rPr>
        <w:t>fuelled</w:t>
      </w:r>
      <w:proofErr w:type="spellEnd"/>
      <w:r w:rsidRPr="00A50657">
        <w:rPr>
          <w:sz w:val="14"/>
        </w:rPr>
        <w:t xml:space="preserve"> by an unquestioning use of technology, is just one among </w:t>
      </w:r>
      <w:r w:rsidRPr="00A50657">
        <w:rPr>
          <w:rStyle w:val="Emphasis"/>
        </w:rPr>
        <w:t xml:space="preserve">many examples of </w:t>
      </w:r>
      <w:r w:rsidRPr="00EF655B">
        <w:rPr>
          <w:rStyle w:val="Emphasis"/>
          <w:highlight w:val="cyan"/>
        </w:rPr>
        <w:t>using relationality not as an ontological way of being, but as a means for strengthening the fixed ideas about our bodies. We already live and practice affect</w:t>
      </w:r>
      <w:r w:rsidRPr="00AE3C9A">
        <w:rPr>
          <w:rStyle w:val="Emphasis"/>
        </w:rPr>
        <w:t>, that is why</w:t>
      </w:r>
      <w:r w:rsidRPr="00EF655B">
        <w:rPr>
          <w:rStyle w:val="Emphasis"/>
          <w:highlight w:val="cyan"/>
        </w:rPr>
        <w:t>, if we do not think and act according to its dynamic nature, we create even sharper dualisms, polarizations and hierarchies.</w:t>
      </w:r>
      <w:r w:rsidRPr="00EE6AE6">
        <w:rPr>
          <w:rStyle w:val="StyleUnderline"/>
        </w:rPr>
        <w:t xml:space="preserve"> It is therefore time to map these material and relational ways of understanding. It is time to map bodies within affect, in order to meet the challenges of the biotechnological future. </w:t>
      </w:r>
      <w:r w:rsidRPr="00A50657">
        <w:rPr>
          <w:sz w:val="14"/>
        </w:rPr>
        <w:t>The question is, how to do that? How can we relationally practice the relational nature of our bodies? In other words, how do we make matters of affect matter?</w:t>
      </w:r>
    </w:p>
    <w:p w:rsidR="00CF1124" w:rsidRDefault="00CF1124" w:rsidP="00CF1124">
      <w:pPr>
        <w:pStyle w:val="Heading3"/>
      </w:pPr>
      <w:r>
        <w:t>UV</w:t>
      </w:r>
    </w:p>
    <w:p w:rsidR="00CF1124" w:rsidRDefault="00CF1124" w:rsidP="00CF1124">
      <w:pPr>
        <w:pStyle w:val="Heading4"/>
        <w:rPr>
          <w:rFonts w:cs="Calibri"/>
        </w:rPr>
      </w:pPr>
      <w:r w:rsidRPr="00D70D45">
        <w:rPr>
          <w:rFonts w:cs="Calibri"/>
        </w:rPr>
        <w:t xml:space="preserve">1] 1AR theory – </w:t>
      </w:r>
    </w:p>
    <w:p w:rsidR="00CF1124" w:rsidRDefault="00CF1124" w:rsidP="00CF1124">
      <w:pPr>
        <w:pStyle w:val="Heading4"/>
        <w:rPr>
          <w:rFonts w:cs="Calibri"/>
        </w:rPr>
      </w:pPr>
      <w:r w:rsidRPr="00D70D45">
        <w:rPr>
          <w:rFonts w:cs="Calibri"/>
        </w:rPr>
        <w:t xml:space="preserve">a) AFF gets it because otherwise the neg can engage in infinite abuse, making debate impossible, </w:t>
      </w:r>
    </w:p>
    <w:p w:rsidR="00CF1124" w:rsidRDefault="00CF1124" w:rsidP="00CF1124">
      <w:pPr>
        <w:pStyle w:val="Heading4"/>
        <w:rPr>
          <w:rFonts w:cs="Calibri"/>
        </w:rPr>
      </w:pPr>
      <w:r w:rsidRPr="00D70D45">
        <w:rPr>
          <w:rFonts w:cs="Calibri"/>
        </w:rPr>
        <w:t xml:space="preserve">b) drop the debater – the 1AR is too short for theory and substance so ballot implications are key to check abuse, </w:t>
      </w:r>
    </w:p>
    <w:p w:rsidR="00CF1124" w:rsidRDefault="00CF1124" w:rsidP="00CF1124">
      <w:pPr>
        <w:pStyle w:val="Heading4"/>
        <w:rPr>
          <w:rFonts w:cs="Calibri"/>
        </w:rPr>
      </w:pPr>
      <w:r w:rsidRPr="00D70D45">
        <w:rPr>
          <w:rFonts w:cs="Calibri"/>
        </w:rPr>
        <w:t xml:space="preserve">c) no RVIs – they can stick me with 6min of answers to a short </w:t>
      </w:r>
      <w:proofErr w:type="spellStart"/>
      <w:r w:rsidRPr="00D70D45">
        <w:rPr>
          <w:rFonts w:cs="Calibri"/>
        </w:rPr>
        <w:t>arg</w:t>
      </w:r>
      <w:proofErr w:type="spellEnd"/>
      <w:r w:rsidRPr="00D70D45">
        <w:rPr>
          <w:rFonts w:cs="Calibri"/>
        </w:rPr>
        <w:t xml:space="preserve"> and make the 2AR impossible, </w:t>
      </w:r>
    </w:p>
    <w:p w:rsidR="00CF1124" w:rsidRDefault="00CF1124" w:rsidP="00CF1124">
      <w:pPr>
        <w:pStyle w:val="Heading4"/>
        <w:rPr>
          <w:rFonts w:cs="Calibri"/>
        </w:rPr>
      </w:pPr>
      <w:r w:rsidRPr="00D70D45">
        <w:rPr>
          <w:rFonts w:cs="Calibri"/>
        </w:rPr>
        <w:t xml:space="preserve">d) competing </w:t>
      </w:r>
      <w:proofErr w:type="spellStart"/>
      <w:r w:rsidRPr="00D70D45">
        <w:rPr>
          <w:rFonts w:cs="Calibri"/>
        </w:rPr>
        <w:t>interps</w:t>
      </w:r>
      <w:proofErr w:type="spellEnd"/>
      <w:r w:rsidRPr="00D70D45">
        <w:rPr>
          <w:rFonts w:cs="Calibri"/>
        </w:rPr>
        <w:t xml:space="preserve"> – 1AR </w:t>
      </w:r>
      <w:proofErr w:type="spellStart"/>
      <w:r w:rsidRPr="00D70D45">
        <w:rPr>
          <w:rFonts w:cs="Calibri"/>
        </w:rPr>
        <w:t>interps</w:t>
      </w:r>
      <w:proofErr w:type="spellEnd"/>
      <w:r w:rsidRPr="00D70D45">
        <w:rPr>
          <w:rFonts w:cs="Calibri"/>
        </w:rPr>
        <w:t xml:space="preserve"> aren’t bidirectional and the neg should have to defend their norm since they have more time.</w:t>
      </w:r>
    </w:p>
    <w:p w:rsidR="00CF1124" w:rsidRDefault="00CF1124" w:rsidP="00CF1124">
      <w:pPr>
        <w:pStyle w:val="Heading4"/>
        <w:rPr>
          <w:rFonts w:cs="Calibri"/>
        </w:rPr>
      </w:pPr>
      <w:r w:rsidRPr="00D70D45">
        <w:rPr>
          <w:rFonts w:cs="Calibri"/>
        </w:rPr>
        <w:t xml:space="preserve"> E) </w:t>
      </w:r>
      <w:proofErr w:type="spellStart"/>
      <w:r w:rsidRPr="00D70D45">
        <w:rPr>
          <w:rFonts w:cs="Calibri"/>
        </w:rPr>
        <w:t>Aff</w:t>
      </w:r>
      <w:proofErr w:type="spellEnd"/>
      <w:r w:rsidRPr="00D70D45">
        <w:rPr>
          <w:rFonts w:cs="Calibri"/>
        </w:rPr>
        <w:t xml:space="preserve"> theory 1st - as the neg can win their shell and beat mine back in the long 2NR, whereas it’s impossible for me to win both layers in a 2AR that’s only half as long. </w:t>
      </w:r>
    </w:p>
    <w:p w:rsidR="00CF1124" w:rsidRPr="00CF1124" w:rsidRDefault="00CF1124" w:rsidP="00CF1124"/>
    <w:p w:rsidR="00CF1124" w:rsidRPr="008F1C90" w:rsidRDefault="00CF1124" w:rsidP="00CF1124">
      <w:pPr>
        <w:pStyle w:val="Heading4"/>
        <w:rPr>
          <w:rFonts w:cs="Calibri"/>
        </w:rPr>
      </w:pPr>
      <w:r>
        <w:rPr>
          <w:rFonts w:cs="Calibri"/>
        </w:rPr>
        <w:t xml:space="preserve">2) </w:t>
      </w:r>
      <w:r w:rsidRPr="008F1C90">
        <w:rPr>
          <w:rFonts w:cs="Calibri"/>
        </w:rPr>
        <w:t xml:space="preserve">Presumption </w:t>
      </w:r>
      <w:r>
        <w:rPr>
          <w:rFonts w:cs="Calibri"/>
        </w:rPr>
        <w:t xml:space="preserve">and permissibility </w:t>
      </w:r>
      <w:proofErr w:type="gramStart"/>
      <w:r w:rsidRPr="008F1C90">
        <w:rPr>
          <w:rFonts w:cs="Calibri"/>
        </w:rPr>
        <w:t>affir</w:t>
      </w:r>
      <w:r>
        <w:rPr>
          <w:rFonts w:cs="Calibri"/>
        </w:rPr>
        <w:t>m</w:t>
      </w:r>
      <w:r w:rsidRPr="008F1C90">
        <w:rPr>
          <w:rFonts w:cs="Calibri"/>
        </w:rPr>
        <w:t>s</w:t>
      </w:r>
      <w:proofErr w:type="gramEnd"/>
      <w:r w:rsidRPr="008F1C90">
        <w:rPr>
          <w:rFonts w:cs="Calibri"/>
        </w:rPr>
        <w:t>:</w:t>
      </w:r>
    </w:p>
    <w:p w:rsidR="00CF1124" w:rsidRPr="008F1C90" w:rsidRDefault="00CF1124" w:rsidP="00CF1124">
      <w:pPr>
        <w:pStyle w:val="Heading4"/>
        <w:rPr>
          <w:rFonts w:cs="Calibri"/>
        </w:rPr>
      </w:pPr>
      <w:r w:rsidRPr="008F1C90">
        <w:rPr>
          <w:rFonts w:cs="Calibri"/>
        </w:rPr>
        <w:t xml:space="preserve">1. We assume statements to be true until proven false, IE you would believe me that my name is </w:t>
      </w:r>
      <w:proofErr w:type="spellStart"/>
      <w:r>
        <w:rPr>
          <w:rFonts w:cs="Calibri"/>
        </w:rPr>
        <w:t>Vedansh</w:t>
      </w:r>
      <w:proofErr w:type="spellEnd"/>
    </w:p>
    <w:p w:rsidR="00CF1124" w:rsidRPr="008F1C90" w:rsidRDefault="00CF1124" w:rsidP="00CF1124">
      <w:pPr>
        <w:pStyle w:val="Heading4"/>
        <w:rPr>
          <w:rFonts w:cs="Calibri"/>
        </w:rPr>
      </w:pPr>
      <w:r w:rsidRPr="008F1C90">
        <w:rPr>
          <w:rFonts w:cs="Calibri"/>
        </w:rPr>
        <w:t>2. All statements of truth rest upon other assumptions, so if we presume everything false, then we can never prove anything true, including the statement presumption negates.</w:t>
      </w:r>
    </w:p>
    <w:p w:rsidR="00CF1124" w:rsidRDefault="00CF1124" w:rsidP="00CF1124"/>
    <w:p w:rsidR="00CF1124" w:rsidRDefault="00CF1124" w:rsidP="00CF1124"/>
    <w:p w:rsidR="00CF1124" w:rsidRPr="007930E8" w:rsidRDefault="00CF1124" w:rsidP="00CF1124">
      <w:pPr>
        <w:pStyle w:val="Heading4"/>
      </w:pPr>
      <w:r>
        <w:t xml:space="preserve">3) Allow new 2ar responses to NC arguments a) they can sit down on one argument that barely has a warrant and then blow it up in the 2nr, making it impossible for the 3 min 2ar to cover everything and ever win. </w:t>
      </w:r>
    </w:p>
    <w:p w:rsidR="00CF1124" w:rsidRPr="00D70D45" w:rsidRDefault="00CF1124" w:rsidP="00CF1124">
      <w:pPr>
        <w:rPr>
          <w:rFonts w:cs="Calibri"/>
        </w:rPr>
      </w:pPr>
    </w:p>
    <w:p w:rsidR="00CF1124" w:rsidRPr="00F601E6" w:rsidRDefault="00CF1124" w:rsidP="00CF1124"/>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altName w:val="﷽﷽﷽﷽﷽﷽﷽﷽"/>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2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F112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264B"/>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57E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1124"/>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A1DD15DF-DA0F-5142-A628-66AB091A6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CF112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F112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F112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F112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
    <w:unhideWhenUsed/>
    <w:qFormat/>
    <w:rsid w:val="00CF112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F112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F1124"/>
  </w:style>
  <w:style w:type="character" w:customStyle="1" w:styleId="Heading1Char">
    <w:name w:val="Heading 1 Char"/>
    <w:aliases w:val="Pocket Char"/>
    <w:basedOn w:val="DefaultParagraphFont"/>
    <w:link w:val="Heading1"/>
    <w:uiPriority w:val="9"/>
    <w:rsid w:val="00CF112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F112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F1124"/>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CF112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CF1124"/>
    <w:rPr>
      <w:b/>
      <w:sz w:val="26"/>
      <w:u w:val="none"/>
    </w:rPr>
  </w:style>
  <w:style w:type="character" w:customStyle="1" w:styleId="StyleUnderline">
    <w:name w:val="Style Underline"/>
    <w:aliases w:val="Underline,Style Bold Underline,Cards + Font: 12 pt Char,c,apple-style-span + 6 pt,Bold,Kern at 16 pt,Intense Emphasis1,Intense Emphasis2,HHeading 3 + 12 pt,ci,Intense Emphasis11,Intense Emphasis111,Heading 3 Char Char Char1,Bo,Style,cite"/>
    <w:basedOn w:val="DefaultParagraphFont"/>
    <w:uiPriority w:val="6"/>
    <w:qFormat/>
    <w:rsid w:val="00CF1124"/>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Box,Style1,B"/>
    <w:basedOn w:val="DefaultParagraphFont"/>
    <w:link w:val="textbold"/>
    <w:uiPriority w:val="7"/>
    <w:qFormat/>
    <w:rsid w:val="00CF112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F1124"/>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Read"/>
    <w:basedOn w:val="DefaultParagraphFont"/>
    <w:uiPriority w:val="99"/>
    <w:unhideWhenUsed/>
    <w:rsid w:val="00CF1124"/>
    <w:rPr>
      <w:color w:val="auto"/>
      <w:u w:val="none"/>
    </w:rPr>
  </w:style>
  <w:style w:type="paragraph" w:styleId="DocumentMap">
    <w:name w:val="Document Map"/>
    <w:basedOn w:val="Normal"/>
    <w:link w:val="DocumentMapChar"/>
    <w:uiPriority w:val="99"/>
    <w:semiHidden/>
    <w:unhideWhenUsed/>
    <w:rsid w:val="00CF112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F1124"/>
    <w:rPr>
      <w:rFonts w:ascii="Lucida Grande" w:hAnsi="Lucida Grande" w:cs="Lucida Grande"/>
    </w:rPr>
  </w:style>
  <w:style w:type="paragraph" w:customStyle="1" w:styleId="textbold">
    <w:name w:val="text bold"/>
    <w:basedOn w:val="Normal"/>
    <w:link w:val="Emphasis"/>
    <w:uiPriority w:val="7"/>
    <w:qFormat/>
    <w:rsid w:val="00CF1124"/>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111111,No Spacing31,No Spacing22,No Spacing3,tag,Dont use,No Spacing41,No Spacing111112"/>
    <w:uiPriority w:val="1"/>
    <w:qFormat/>
    <w:rsid w:val="00CF1124"/>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06480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use.jhu.edu/article/509908" TargetMode="External"/><Relationship Id="rId18" Type="http://schemas.openxmlformats.org/officeDocument/2006/relationships/hyperlink" Target="https://muse.jhu.edu/article/509908" TargetMode="External"/><Relationship Id="rId26" Type="http://schemas.openxmlformats.org/officeDocument/2006/relationships/hyperlink" Target="https://muse.jhu.edu/article/509908" TargetMode="External"/><Relationship Id="rId39" Type="http://schemas.openxmlformats.org/officeDocument/2006/relationships/fontTable" Target="fontTable.xml"/><Relationship Id="rId21" Type="http://schemas.openxmlformats.org/officeDocument/2006/relationships/hyperlink" Target="https://muse.jhu.edu/article/509908" TargetMode="External"/><Relationship Id="rId34" Type="http://schemas.openxmlformats.org/officeDocument/2006/relationships/hyperlink" Target="https://muse.jhu.edu/article/509908" TargetMode="External"/><Relationship Id="rId7" Type="http://schemas.openxmlformats.org/officeDocument/2006/relationships/settings" Target="settings.xml"/><Relationship Id="rId12" Type="http://schemas.openxmlformats.org/officeDocument/2006/relationships/hyperlink" Target="https://muse.jhu.edu/article/509908" TargetMode="External"/><Relationship Id="rId17" Type="http://schemas.openxmlformats.org/officeDocument/2006/relationships/hyperlink" Target="https://muse.jhu.edu/article/509908" TargetMode="External"/><Relationship Id="rId25" Type="http://schemas.openxmlformats.org/officeDocument/2006/relationships/hyperlink" Target="https://muse.jhu.edu/article/509908" TargetMode="External"/><Relationship Id="rId33" Type="http://schemas.openxmlformats.org/officeDocument/2006/relationships/hyperlink" Target="https://muse.jhu.edu/article/509908" TargetMode="External"/><Relationship Id="rId38" Type="http://schemas.openxmlformats.org/officeDocument/2006/relationships/hyperlink" Target="https://scholarlypublications.universiteitleiden.nl/handle/1887/66889" TargetMode="External"/><Relationship Id="rId2" Type="http://schemas.openxmlformats.org/officeDocument/2006/relationships/customXml" Target="../customXml/item2.xml"/><Relationship Id="rId16" Type="http://schemas.openxmlformats.org/officeDocument/2006/relationships/hyperlink" Target="https://muse.jhu.edu/article/509908" TargetMode="External"/><Relationship Id="rId20" Type="http://schemas.openxmlformats.org/officeDocument/2006/relationships/hyperlink" Target="https://muse.jhu.edu/article/509908" TargetMode="External"/><Relationship Id="rId29" Type="http://schemas.openxmlformats.org/officeDocument/2006/relationships/hyperlink" Target="https://muse.jhu.edu/article/50990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use.jhu.edu/article/509908" TargetMode="External"/><Relationship Id="rId24" Type="http://schemas.openxmlformats.org/officeDocument/2006/relationships/hyperlink" Target="https://muse.jhu.edu/article/509908" TargetMode="External"/><Relationship Id="rId32" Type="http://schemas.openxmlformats.org/officeDocument/2006/relationships/hyperlink" Target="https://muse.jhu.edu/article/509908" TargetMode="External"/><Relationship Id="rId37" Type="http://schemas.openxmlformats.org/officeDocument/2006/relationships/hyperlink" Target="https://www.sciencedirect.com/science/article/pii/S1755458612000266"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muse.jhu.edu/article/509908" TargetMode="External"/><Relationship Id="rId23" Type="http://schemas.openxmlformats.org/officeDocument/2006/relationships/hyperlink" Target="https://muse.jhu.edu/article/509908" TargetMode="External"/><Relationship Id="rId28" Type="http://schemas.openxmlformats.org/officeDocument/2006/relationships/hyperlink" Target="https://muse.jhu.edu/article/509908" TargetMode="External"/><Relationship Id="rId36" Type="http://schemas.openxmlformats.org/officeDocument/2006/relationships/hyperlink" Target="https://muse.jhu.edu/article/509908" TargetMode="External"/><Relationship Id="rId10" Type="http://schemas.openxmlformats.org/officeDocument/2006/relationships/hyperlink" Target="https://muse.jhu.edu/article/509908" TargetMode="External"/><Relationship Id="rId19" Type="http://schemas.openxmlformats.org/officeDocument/2006/relationships/hyperlink" Target="https://muse.jhu.edu/article/509908" TargetMode="External"/><Relationship Id="rId31" Type="http://schemas.openxmlformats.org/officeDocument/2006/relationships/hyperlink" Target="https://muse.jhu.edu/article/509908" TargetMode="External"/><Relationship Id="rId4" Type="http://schemas.openxmlformats.org/officeDocument/2006/relationships/customXml" Target="../customXml/item4.xml"/><Relationship Id="rId9" Type="http://schemas.openxmlformats.org/officeDocument/2006/relationships/hyperlink" Target="https://muse.jhu.edu/article/509908" TargetMode="External"/><Relationship Id="rId14" Type="http://schemas.openxmlformats.org/officeDocument/2006/relationships/hyperlink" Target="https://muse.jhu.edu/article/509908" TargetMode="External"/><Relationship Id="rId22" Type="http://schemas.openxmlformats.org/officeDocument/2006/relationships/hyperlink" Target="https://muse.jhu.edu/article/509908" TargetMode="External"/><Relationship Id="rId27" Type="http://schemas.openxmlformats.org/officeDocument/2006/relationships/hyperlink" Target="https://muse.jhu.edu/article/509908" TargetMode="External"/><Relationship Id="rId30" Type="http://schemas.openxmlformats.org/officeDocument/2006/relationships/hyperlink" Target="https://muse.jhu.edu/article/509908" TargetMode="External"/><Relationship Id="rId35" Type="http://schemas.openxmlformats.org/officeDocument/2006/relationships/hyperlink" Target="https://muse.jhu.edu/article/509908"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dan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2069F86-5F65-AA47-B200-3BCC6C890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Pages>
  <Words>11357</Words>
  <Characters>64735</Characters>
  <Application>Microsoft Office Word</Application>
  <DocSecurity>0</DocSecurity>
  <Lines>539</Lines>
  <Paragraphs>151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75941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2021-09-18T20:39:00Z</dcterms:created>
  <dcterms:modified xsi:type="dcterms:W3CDTF">2021-09-18T21:34:00Z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