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B41" w:rsidRPr="00496CF0" w:rsidRDefault="002D1B41" w:rsidP="002D1B41">
      <w:pPr>
        <w:pStyle w:val="Heading4"/>
        <w:rPr>
          <w:rStyle w:val="StyleUnderline"/>
          <w:rFonts w:cs="Calibri"/>
          <w:sz w:val="26"/>
          <w:u w:val="none"/>
        </w:rPr>
      </w:pPr>
      <w:r w:rsidRPr="00496CF0">
        <w:rPr>
          <w:rStyle w:val="StyleUnderline"/>
          <w:rFonts w:cs="Calibri"/>
          <w:sz w:val="26"/>
          <w:u w:val="none"/>
        </w:rPr>
        <w:t xml:space="preserve">The subject is unstable – there’s no set of irreducible categories that describe it </w:t>
      </w:r>
    </w:p>
    <w:p w:rsidR="002D1B41" w:rsidRPr="00496CF0" w:rsidRDefault="002D1B41" w:rsidP="002D1B41">
      <w:pPr>
        <w:pStyle w:val="Heading4"/>
        <w:rPr>
          <w:rFonts w:cs="Calibri"/>
        </w:rPr>
      </w:pPr>
      <w:r w:rsidRPr="00496CF0">
        <w:rPr>
          <w:rFonts w:cs="Calibri"/>
        </w:rPr>
        <w:t xml:space="preserve">Thinking only affects a subject as a being in time and so is not a transcendent feature.  Transcendent subject hood fails because differentiation through time causes instability. </w:t>
      </w:r>
    </w:p>
    <w:p w:rsidR="002D1B41" w:rsidRPr="00496CF0" w:rsidRDefault="002D1B41" w:rsidP="002D1B41">
      <w:pPr>
        <w:spacing w:line="240" w:lineRule="auto"/>
        <w:rPr>
          <w:rStyle w:val="Style13ptBold"/>
          <w:rFonts w:cs="Calibri"/>
        </w:rPr>
      </w:pPr>
      <w:r w:rsidRPr="00496CF0">
        <w:rPr>
          <w:rStyle w:val="Style13ptBold"/>
          <w:rFonts w:cs="Calibri"/>
        </w:rPr>
        <w:t xml:space="preserve">Deleuze 68 </w:t>
      </w:r>
    </w:p>
    <w:p w:rsidR="002D1B41" w:rsidRPr="00496CF0" w:rsidRDefault="002D1B41" w:rsidP="002D1B41">
      <w:pPr>
        <w:spacing w:line="240" w:lineRule="auto"/>
        <w:rPr>
          <w:rFonts w:cs="Calibri"/>
          <w:color w:val="000000" w:themeColor="text1"/>
          <w:sz w:val="16"/>
          <w:szCs w:val="16"/>
        </w:rPr>
      </w:pPr>
      <w:r w:rsidRPr="00496CF0">
        <w:rPr>
          <w:rFonts w:cs="Calibri"/>
          <w:color w:val="000000" w:themeColor="text1"/>
          <w:sz w:val="16"/>
          <w:szCs w:val="16"/>
        </w:rPr>
        <w:t xml:space="preserve">[Deleuze, Gilles. Difference and </w:t>
      </w:r>
      <w:proofErr w:type="spellStart"/>
      <w:r w:rsidRPr="00496CF0">
        <w:rPr>
          <w:rFonts w:cs="Calibri"/>
          <w:color w:val="000000" w:themeColor="text1"/>
          <w:sz w:val="16"/>
          <w:szCs w:val="16"/>
        </w:rPr>
        <w:t>Repitition</w:t>
      </w:r>
      <w:proofErr w:type="spellEnd"/>
      <w:r w:rsidRPr="00496CF0">
        <w:rPr>
          <w:rFonts w:cs="Calibri"/>
          <w:color w:val="000000" w:themeColor="text1"/>
          <w:sz w:val="16"/>
          <w:szCs w:val="16"/>
        </w:rPr>
        <w:t xml:space="preserve">. Translated by Paul Patton. 1968.] </w:t>
      </w:r>
    </w:p>
    <w:p w:rsidR="002D1B41" w:rsidRDefault="002D1B41" w:rsidP="002D1B41">
      <w:pPr>
        <w:spacing w:line="240" w:lineRule="auto"/>
        <w:rPr>
          <w:rFonts w:cs="Calibri"/>
          <w:color w:val="000000" w:themeColor="text1"/>
        </w:rPr>
      </w:pPr>
      <w:r w:rsidRPr="00496CF0">
        <w:rPr>
          <w:rFonts w:cs="Calibri"/>
          <w:color w:val="000000" w:themeColor="text1"/>
          <w:sz w:val="12"/>
          <w:szCs w:val="12"/>
        </w:rPr>
        <w:t>Temporally speaking - in other words, from the point of view of the theory of time - nothing is more instructive than the difference between the Kantian and the Cartesian Cogito. It is as though</w:t>
      </w:r>
      <w:r w:rsidRPr="00496CF0">
        <w:rPr>
          <w:rFonts w:cs="Calibri"/>
          <w:color w:val="000000" w:themeColor="text1"/>
        </w:rPr>
        <w:t xml:space="preserve"> </w:t>
      </w:r>
      <w:r w:rsidRPr="00496CF0">
        <w:rPr>
          <w:rFonts w:cs="Calibri"/>
          <w:b/>
          <w:color w:val="000000" w:themeColor="text1"/>
          <w:u w:val="single"/>
        </w:rPr>
        <w:t>Descartes's Cogito</w:t>
      </w:r>
      <w:r w:rsidRPr="00496CF0">
        <w:rPr>
          <w:rFonts w:cs="Calibri"/>
          <w:color w:val="000000" w:themeColor="text1"/>
        </w:rPr>
        <w:t xml:space="preserve"> </w:t>
      </w:r>
      <w:r w:rsidRPr="00496CF0">
        <w:rPr>
          <w:rFonts w:cs="Calibri"/>
          <w:b/>
          <w:color w:val="000000" w:themeColor="text1"/>
          <w:u w:val="single"/>
        </w:rPr>
        <w:t>operated</w:t>
      </w:r>
      <w:r w:rsidRPr="00496CF0">
        <w:rPr>
          <w:rFonts w:cs="Calibri"/>
          <w:color w:val="000000" w:themeColor="text1"/>
        </w:rPr>
        <w:t xml:space="preserve"> </w:t>
      </w:r>
      <w:r w:rsidRPr="00496CF0">
        <w:rPr>
          <w:rFonts w:cs="Calibri"/>
          <w:b/>
          <w:color w:val="000000" w:themeColor="text1"/>
          <w:u w:val="single"/>
        </w:rPr>
        <w:t>with</w:t>
      </w:r>
      <w:r w:rsidRPr="00496CF0">
        <w:rPr>
          <w:rFonts w:cs="Calibri"/>
          <w:color w:val="000000" w:themeColor="text1"/>
        </w:rPr>
        <w:t xml:space="preserve"> </w:t>
      </w:r>
      <w:r w:rsidRPr="00496CF0">
        <w:rPr>
          <w:rFonts w:cs="Calibri"/>
          <w:color w:val="000000" w:themeColor="text1"/>
          <w:sz w:val="12"/>
          <w:szCs w:val="12"/>
        </w:rPr>
        <w:t>two logical values: determination and undetermined existence.</w:t>
      </w:r>
      <w:r w:rsidRPr="00496CF0">
        <w:rPr>
          <w:rFonts w:cs="Calibri"/>
          <w:color w:val="000000" w:themeColor="text1"/>
        </w:rPr>
        <w:t xml:space="preserve"> </w:t>
      </w:r>
      <w:r w:rsidRPr="00496CF0">
        <w:rPr>
          <w:rFonts w:cs="Calibri"/>
          <w:b/>
          <w:color w:val="000000" w:themeColor="text1"/>
          <w:u w:val="single"/>
        </w:rPr>
        <w:t>The</w:t>
      </w:r>
      <w:r w:rsidRPr="00496CF0">
        <w:rPr>
          <w:rFonts w:cs="Calibri"/>
          <w:color w:val="000000" w:themeColor="text1"/>
        </w:rPr>
        <w:t xml:space="preserve"> </w:t>
      </w:r>
      <w:r w:rsidRPr="00496CF0">
        <w:rPr>
          <w:rFonts w:cs="Calibri"/>
          <w:b/>
          <w:color w:val="000000" w:themeColor="text1"/>
          <w:u w:val="single"/>
        </w:rPr>
        <w:t>determination (I think) implies an undetermined</w:t>
      </w:r>
      <w:r w:rsidRPr="00496CF0">
        <w:rPr>
          <w:rFonts w:cs="Calibri"/>
          <w:color w:val="000000" w:themeColor="text1"/>
        </w:rPr>
        <w:t xml:space="preserve"> </w:t>
      </w:r>
      <w:r w:rsidRPr="00496CF0">
        <w:rPr>
          <w:rFonts w:cs="Calibri"/>
          <w:b/>
          <w:color w:val="000000" w:themeColor="text1"/>
          <w:u w:val="single"/>
        </w:rPr>
        <w:t>existence</w:t>
      </w:r>
      <w:r w:rsidRPr="00496CF0">
        <w:rPr>
          <w:rFonts w:cs="Calibri"/>
          <w:color w:val="000000" w:themeColor="text1"/>
        </w:rPr>
        <w:t xml:space="preserve"> (</w:t>
      </w:r>
      <w:r w:rsidRPr="00496CF0">
        <w:rPr>
          <w:rFonts w:cs="Calibri"/>
          <w:b/>
          <w:color w:val="000000" w:themeColor="text1"/>
          <w:u w:val="single"/>
        </w:rPr>
        <w:t>I am,</w:t>
      </w:r>
      <w:r w:rsidRPr="00496CF0">
        <w:rPr>
          <w:rFonts w:cs="Calibri"/>
          <w:color w:val="000000" w:themeColor="text1"/>
        </w:rPr>
        <w:t xml:space="preserve"> </w:t>
      </w:r>
      <w:r w:rsidRPr="00496CF0">
        <w:rPr>
          <w:rFonts w:cs="Calibri"/>
          <w:color w:val="000000" w:themeColor="text1"/>
          <w:sz w:val="12"/>
          <w:szCs w:val="12"/>
        </w:rPr>
        <w:t>because 'in order to think one must exist') -</w:t>
      </w:r>
      <w:r w:rsidRPr="00496CF0">
        <w:rPr>
          <w:rFonts w:cs="Calibri"/>
          <w:color w:val="000000" w:themeColor="text1"/>
        </w:rPr>
        <w:t xml:space="preserve"> </w:t>
      </w:r>
      <w:r w:rsidRPr="00496CF0">
        <w:rPr>
          <w:rFonts w:cs="Calibri"/>
          <w:b/>
          <w:color w:val="000000" w:themeColor="text1"/>
          <w:u w:val="single"/>
        </w:rPr>
        <w:t>and</w:t>
      </w:r>
      <w:r w:rsidRPr="00496CF0">
        <w:rPr>
          <w:rFonts w:cs="Calibri"/>
          <w:color w:val="000000" w:themeColor="text1"/>
        </w:rPr>
        <w:t xml:space="preserve"> </w:t>
      </w:r>
      <w:r w:rsidRPr="00496CF0">
        <w:rPr>
          <w:rFonts w:cs="Calibri"/>
          <w:b/>
          <w:color w:val="000000" w:themeColor="text1"/>
          <w:u w:val="single"/>
        </w:rPr>
        <w:t>determines it precisely as the existence of a thinking subject</w:t>
      </w:r>
      <w:r w:rsidRPr="00496CF0">
        <w:rPr>
          <w:rFonts w:cs="Calibri"/>
          <w:color w:val="000000" w:themeColor="text1"/>
        </w:rPr>
        <w:t xml:space="preserve">: </w:t>
      </w:r>
      <w:r w:rsidRPr="00496CF0">
        <w:rPr>
          <w:rFonts w:cs="Calibri"/>
          <w:color w:val="000000" w:themeColor="text1"/>
          <w:sz w:val="12"/>
          <w:szCs w:val="12"/>
        </w:rPr>
        <w:t>I think therefore I</w:t>
      </w:r>
      <w:r w:rsidRPr="00496CF0">
        <w:rPr>
          <w:rFonts w:cs="Calibri"/>
          <w:color w:val="000000" w:themeColor="text1"/>
        </w:rPr>
        <w:t xml:space="preserve"> </w:t>
      </w:r>
      <w:r w:rsidRPr="00496CF0">
        <w:rPr>
          <w:rFonts w:cs="Calibri"/>
          <w:color w:val="000000" w:themeColor="text1"/>
          <w:sz w:val="12"/>
          <w:szCs w:val="12"/>
        </w:rPr>
        <w:t>am, I am a thing which thinks.</w:t>
      </w:r>
      <w:r w:rsidRPr="00496CF0">
        <w:rPr>
          <w:rFonts w:cs="Calibri"/>
          <w:color w:val="000000" w:themeColor="text1"/>
        </w:rPr>
        <w:t xml:space="preserve"> </w:t>
      </w:r>
      <w:r w:rsidRPr="00496CF0">
        <w:rPr>
          <w:rFonts w:cs="Calibri"/>
          <w:b/>
          <w:color w:val="000000" w:themeColor="text1"/>
          <w:u w:val="single"/>
        </w:rPr>
        <w:t>The</w:t>
      </w:r>
      <w:r w:rsidRPr="00496CF0">
        <w:rPr>
          <w:rFonts w:cs="Calibri"/>
          <w:color w:val="000000" w:themeColor="text1"/>
        </w:rPr>
        <w:t xml:space="preserve"> </w:t>
      </w:r>
      <w:r w:rsidRPr="00496CF0">
        <w:rPr>
          <w:rFonts w:cs="Calibri"/>
          <w:color w:val="000000" w:themeColor="text1"/>
          <w:sz w:val="12"/>
          <w:szCs w:val="12"/>
        </w:rPr>
        <w:t>entire</w:t>
      </w:r>
      <w:r w:rsidRPr="00496CF0">
        <w:rPr>
          <w:rFonts w:cs="Calibri"/>
          <w:color w:val="000000" w:themeColor="text1"/>
        </w:rPr>
        <w:t xml:space="preserve"> </w:t>
      </w:r>
      <w:r w:rsidRPr="00496CF0">
        <w:rPr>
          <w:rFonts w:cs="Calibri"/>
          <w:b/>
          <w:color w:val="000000" w:themeColor="text1"/>
          <w:u w:val="single"/>
        </w:rPr>
        <w:t>Kantian</w:t>
      </w:r>
      <w:r w:rsidRPr="00496CF0">
        <w:rPr>
          <w:rFonts w:cs="Calibri"/>
          <w:color w:val="000000" w:themeColor="text1"/>
        </w:rPr>
        <w:t xml:space="preserve"> </w:t>
      </w:r>
      <w:r w:rsidRPr="00496CF0">
        <w:rPr>
          <w:rFonts w:cs="Calibri"/>
          <w:b/>
          <w:color w:val="000000" w:themeColor="text1"/>
          <w:u w:val="single"/>
        </w:rPr>
        <w:t>critique [is]</w:t>
      </w:r>
      <w:r w:rsidRPr="00496CF0">
        <w:rPr>
          <w:rFonts w:cs="Calibri"/>
          <w:color w:val="000000" w:themeColor="text1"/>
        </w:rPr>
        <w:t xml:space="preserve"> </w:t>
      </w:r>
      <w:r w:rsidRPr="00496CF0">
        <w:rPr>
          <w:rFonts w:cs="Calibri"/>
          <w:color w:val="000000" w:themeColor="text1"/>
          <w:sz w:val="12"/>
          <w:szCs w:val="12"/>
        </w:rPr>
        <w:t>amounts to objecting against Descartes that it is impossible for determination to bear directly upon the undetermined.</w:t>
      </w:r>
      <w:r w:rsidRPr="00496CF0">
        <w:rPr>
          <w:rFonts w:cs="Calibri"/>
          <w:color w:val="000000" w:themeColor="text1"/>
        </w:rPr>
        <w:t xml:space="preserve"> </w:t>
      </w:r>
      <w:r w:rsidRPr="00496CF0">
        <w:rPr>
          <w:rFonts w:cs="Calibri"/>
          <w:b/>
          <w:color w:val="000000" w:themeColor="text1"/>
          <w:u w:val="single"/>
        </w:rPr>
        <w:t>The determination ('I think')</w:t>
      </w:r>
      <w:r w:rsidRPr="00496CF0">
        <w:rPr>
          <w:rFonts w:cs="Calibri"/>
          <w:color w:val="000000" w:themeColor="text1"/>
        </w:rPr>
        <w:t xml:space="preserve"> </w:t>
      </w:r>
      <w:r w:rsidRPr="00496CF0">
        <w:rPr>
          <w:rFonts w:cs="Calibri"/>
          <w:color w:val="000000" w:themeColor="text1"/>
          <w:sz w:val="12"/>
          <w:szCs w:val="12"/>
        </w:rPr>
        <w:t>obviously</w:t>
      </w:r>
      <w:r w:rsidRPr="00496CF0">
        <w:rPr>
          <w:rFonts w:cs="Calibri"/>
          <w:color w:val="000000" w:themeColor="text1"/>
        </w:rPr>
        <w:t xml:space="preserve"> </w:t>
      </w:r>
      <w:r w:rsidRPr="00496CF0">
        <w:rPr>
          <w:rFonts w:cs="Calibri"/>
          <w:b/>
          <w:color w:val="000000" w:themeColor="text1"/>
          <w:u w:val="single"/>
        </w:rPr>
        <w:t>implies</w:t>
      </w:r>
      <w:r w:rsidRPr="00496CF0">
        <w:rPr>
          <w:rFonts w:cs="Calibri"/>
          <w:color w:val="000000" w:themeColor="text1"/>
        </w:rPr>
        <w:t xml:space="preserve"> </w:t>
      </w:r>
      <w:r w:rsidRPr="00496CF0">
        <w:rPr>
          <w:rFonts w:cs="Calibri"/>
          <w:color w:val="000000" w:themeColor="text1"/>
          <w:sz w:val="12"/>
          <w:szCs w:val="12"/>
        </w:rPr>
        <w:t>something undetermined</w:t>
      </w:r>
      <w:r w:rsidRPr="00496CF0">
        <w:rPr>
          <w:rFonts w:cs="Calibri"/>
          <w:color w:val="000000" w:themeColor="text1"/>
        </w:rPr>
        <w:t xml:space="preserve"> </w:t>
      </w:r>
      <w:r w:rsidRPr="00496CF0">
        <w:rPr>
          <w:rFonts w:cs="Calibri"/>
          <w:b/>
          <w:color w:val="000000" w:themeColor="text1"/>
          <w:u w:val="single"/>
        </w:rPr>
        <w:t>('I am'), but</w:t>
      </w:r>
      <w:r w:rsidRPr="00496CF0">
        <w:rPr>
          <w:rFonts w:cs="Calibri"/>
          <w:color w:val="000000" w:themeColor="text1"/>
        </w:rPr>
        <w:t xml:space="preserve"> </w:t>
      </w:r>
      <w:r w:rsidRPr="00496CF0">
        <w:rPr>
          <w:rFonts w:cs="Calibri"/>
          <w:b/>
          <w:color w:val="000000" w:themeColor="text1"/>
          <w:u w:val="single"/>
        </w:rPr>
        <w:t>nothing so far tells us how it is that</w:t>
      </w:r>
      <w:r w:rsidRPr="00496CF0">
        <w:rPr>
          <w:rFonts w:cs="Calibri"/>
          <w:color w:val="000000" w:themeColor="text1"/>
        </w:rPr>
        <w:t xml:space="preserve"> </w:t>
      </w:r>
      <w:r w:rsidRPr="00496CF0">
        <w:rPr>
          <w:rFonts w:cs="Calibri"/>
          <w:b/>
          <w:color w:val="000000" w:themeColor="text1"/>
          <w:u w:val="single"/>
        </w:rPr>
        <w:t>this undetermined is determinable</w:t>
      </w:r>
      <w:r w:rsidRPr="00496CF0">
        <w:rPr>
          <w:rFonts w:cs="Calibri"/>
          <w:color w:val="000000" w:themeColor="text1"/>
        </w:rPr>
        <w:t xml:space="preserve"> </w:t>
      </w:r>
      <w:r w:rsidRPr="00496CF0">
        <w:rPr>
          <w:rFonts w:cs="Calibri"/>
          <w:b/>
          <w:color w:val="000000" w:themeColor="text1"/>
          <w:u w:val="single"/>
        </w:rPr>
        <w:t>by the 'I think'</w:t>
      </w:r>
      <w:r w:rsidRPr="00496CF0">
        <w:rPr>
          <w:rFonts w:cs="Calibri"/>
          <w:color w:val="000000" w:themeColor="text1"/>
          <w:sz w:val="12"/>
          <w:szCs w:val="12"/>
        </w:rPr>
        <w:t>: 'in the consciousness of myself in mere thought I am the being itself although nothing in myself is thereby given for thought.'8</w:t>
      </w:r>
      <w:r w:rsidRPr="00496CF0">
        <w:rPr>
          <w:rFonts w:cs="Calibri"/>
          <w:color w:val="000000" w:themeColor="text1"/>
        </w:rPr>
        <w:t xml:space="preserve"> </w:t>
      </w:r>
      <w:r w:rsidRPr="00496CF0">
        <w:rPr>
          <w:rFonts w:cs="Calibri"/>
          <w:b/>
          <w:color w:val="000000" w:themeColor="text1"/>
          <w:u w:val="single"/>
        </w:rPr>
        <w:t>Kant</w:t>
      </w:r>
      <w:r w:rsidRPr="00496CF0">
        <w:rPr>
          <w:rFonts w:cs="Calibri"/>
          <w:color w:val="000000" w:themeColor="text1"/>
        </w:rPr>
        <w:t xml:space="preserve"> </w:t>
      </w:r>
      <w:r w:rsidRPr="00496CF0">
        <w:rPr>
          <w:rFonts w:cs="Calibri"/>
          <w:color w:val="000000" w:themeColor="text1"/>
          <w:sz w:val="12"/>
          <w:szCs w:val="12"/>
        </w:rPr>
        <w:t xml:space="preserve">therefore </w:t>
      </w:r>
      <w:r w:rsidRPr="00496CF0">
        <w:rPr>
          <w:rFonts w:cs="Calibri"/>
          <w:b/>
          <w:color w:val="000000" w:themeColor="text1"/>
          <w:u w:val="single"/>
        </w:rPr>
        <w:t>adds</w:t>
      </w:r>
      <w:r w:rsidRPr="00496CF0">
        <w:rPr>
          <w:rFonts w:cs="Calibri"/>
          <w:color w:val="000000" w:themeColor="text1"/>
        </w:rPr>
        <w:t xml:space="preserve"> </w:t>
      </w:r>
      <w:r w:rsidRPr="00496CF0">
        <w:rPr>
          <w:rFonts w:cs="Calibri"/>
          <w:color w:val="000000" w:themeColor="text1"/>
          <w:sz w:val="12"/>
          <w:szCs w:val="12"/>
        </w:rPr>
        <w:t>a third logical value:</w:t>
      </w:r>
      <w:r w:rsidRPr="00496CF0">
        <w:rPr>
          <w:rFonts w:cs="Calibri"/>
          <w:color w:val="000000" w:themeColor="text1"/>
        </w:rPr>
        <w:t xml:space="preserve"> </w:t>
      </w:r>
      <w:r w:rsidRPr="00496CF0">
        <w:rPr>
          <w:rFonts w:cs="Calibri"/>
          <w:b/>
          <w:color w:val="000000" w:themeColor="text1"/>
          <w:u w:val="single"/>
        </w:rPr>
        <w:t>the determinable</w:t>
      </w:r>
      <w:r w:rsidRPr="00496CF0">
        <w:rPr>
          <w:rFonts w:cs="Calibri"/>
          <w:color w:val="000000" w:themeColor="text1"/>
          <w:sz w:val="12"/>
          <w:szCs w:val="12"/>
        </w:rPr>
        <w:t>, or rather the form in which the undetermined is determinable (by the deter</w:t>
      </w:r>
      <w:r w:rsidRPr="00496CF0">
        <w:rPr>
          <w:rFonts w:cs="Calibri"/>
          <w:color w:val="000000" w:themeColor="text1"/>
          <w:sz w:val="12"/>
          <w:szCs w:val="12"/>
        </w:rPr>
        <w:softHyphen/>
        <w:t xml:space="preserve"> </w:t>
      </w:r>
      <w:proofErr w:type="spellStart"/>
      <w:r w:rsidRPr="00496CF0">
        <w:rPr>
          <w:rFonts w:cs="Calibri"/>
          <w:color w:val="000000" w:themeColor="text1"/>
          <w:sz w:val="12"/>
          <w:szCs w:val="12"/>
        </w:rPr>
        <w:t>mination</w:t>
      </w:r>
      <w:proofErr w:type="spellEnd"/>
      <w:r w:rsidRPr="00496CF0">
        <w:rPr>
          <w:rFonts w:cs="Calibri"/>
          <w:color w:val="000000" w:themeColor="text1"/>
          <w:sz w:val="12"/>
          <w:szCs w:val="12"/>
        </w:rPr>
        <w:t>). This third value suffices to make logic a transcendental instance. It amounts to the discovery of Difference - no longer in the form of an empirical difference between two determinations, but</w:t>
      </w:r>
      <w:r w:rsidRPr="00496CF0">
        <w:rPr>
          <w:rFonts w:cs="Calibri"/>
          <w:color w:val="000000" w:themeColor="text1"/>
        </w:rPr>
        <w:t xml:space="preserve"> </w:t>
      </w:r>
      <w:r w:rsidRPr="00496CF0">
        <w:rPr>
          <w:rFonts w:cs="Calibri"/>
          <w:b/>
          <w:color w:val="000000" w:themeColor="text1"/>
          <w:u w:val="single"/>
        </w:rPr>
        <w:t>in the form of a transcendental</w:t>
      </w:r>
      <w:r w:rsidRPr="00496CF0">
        <w:rPr>
          <w:rFonts w:cs="Calibri"/>
          <w:color w:val="000000" w:themeColor="text1"/>
        </w:rPr>
        <w:t xml:space="preserve"> </w:t>
      </w:r>
      <w:r w:rsidRPr="00496CF0">
        <w:rPr>
          <w:rFonts w:cs="Calibri"/>
          <w:b/>
          <w:color w:val="000000" w:themeColor="text1"/>
          <w:u w:val="single"/>
        </w:rPr>
        <w:t>Difference</w:t>
      </w:r>
      <w:r w:rsidRPr="00496CF0">
        <w:rPr>
          <w:rFonts w:cs="Calibri"/>
          <w:color w:val="000000" w:themeColor="text1"/>
        </w:rPr>
        <w:t xml:space="preserve"> </w:t>
      </w:r>
      <w:r w:rsidRPr="00496CF0">
        <w:rPr>
          <w:rFonts w:cs="Calibri"/>
          <w:color w:val="000000" w:themeColor="text1"/>
          <w:sz w:val="12"/>
          <w:szCs w:val="12"/>
        </w:rPr>
        <w:t>between the</w:t>
      </w:r>
      <w:r w:rsidRPr="00496CF0">
        <w:rPr>
          <w:rFonts w:cs="Calibri"/>
          <w:color w:val="000000" w:themeColor="text1"/>
        </w:rPr>
        <w:t xml:space="preserve"> </w:t>
      </w:r>
      <w:r w:rsidRPr="00496CF0">
        <w:rPr>
          <w:rFonts w:cs="Calibri"/>
          <w:color w:val="000000" w:themeColor="text1"/>
          <w:sz w:val="12"/>
          <w:szCs w:val="12"/>
        </w:rPr>
        <w:t>Determination as such and what it determines;</w:t>
      </w:r>
      <w:r w:rsidRPr="00496CF0">
        <w:rPr>
          <w:rFonts w:cs="Calibri"/>
          <w:color w:val="000000" w:themeColor="text1"/>
        </w:rPr>
        <w:t xml:space="preserve"> </w:t>
      </w:r>
      <w:r w:rsidRPr="00496CF0">
        <w:rPr>
          <w:rFonts w:cs="Calibri"/>
          <w:b/>
          <w:color w:val="000000" w:themeColor="text1"/>
          <w:u w:val="single"/>
        </w:rPr>
        <w:t>no[t] longer in the form of an external difference which separates</w:t>
      </w:r>
      <w:r w:rsidRPr="00496CF0">
        <w:rPr>
          <w:rFonts w:cs="Calibri"/>
          <w:color w:val="000000" w:themeColor="text1"/>
        </w:rPr>
        <w:t xml:space="preserve">, </w:t>
      </w:r>
      <w:r w:rsidRPr="00496CF0">
        <w:rPr>
          <w:rFonts w:cs="Calibri"/>
          <w:b/>
          <w:color w:val="000000" w:themeColor="text1"/>
          <w:u w:val="single"/>
        </w:rPr>
        <w:t>but in the form of an</w:t>
      </w:r>
      <w:r w:rsidRPr="00496CF0">
        <w:rPr>
          <w:rFonts w:cs="Calibri"/>
          <w:color w:val="000000" w:themeColor="text1"/>
        </w:rPr>
        <w:t xml:space="preserve"> </w:t>
      </w:r>
      <w:r w:rsidRPr="00496CF0">
        <w:rPr>
          <w:rFonts w:cs="Calibri"/>
          <w:b/>
          <w:color w:val="000000" w:themeColor="text1"/>
          <w:u w:val="single"/>
        </w:rPr>
        <w:t>internal Difference which establishes an a priori relation</w:t>
      </w:r>
      <w:r w:rsidRPr="00496CF0">
        <w:rPr>
          <w:rFonts w:cs="Calibri"/>
          <w:color w:val="000000" w:themeColor="text1"/>
        </w:rPr>
        <w:t xml:space="preserve"> </w:t>
      </w:r>
      <w:r w:rsidRPr="00496CF0">
        <w:rPr>
          <w:rFonts w:cs="Calibri"/>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496CF0">
        <w:rPr>
          <w:rFonts w:cs="Calibri"/>
          <w:b/>
          <w:color w:val="000000" w:themeColor="text1"/>
          <w:u w:val="single"/>
        </w:rPr>
        <w:t xml:space="preserve">my </w:t>
      </w:r>
      <w:r w:rsidRPr="00496CF0">
        <w:rPr>
          <w:rFonts w:cs="Calibri"/>
          <w:b/>
          <w:color w:val="000000" w:themeColor="text1"/>
          <w:highlight w:val="green"/>
          <w:u w:val="single"/>
        </w:rPr>
        <w:t>undetermined existence can be determined only within time</w:t>
      </w:r>
      <w:r w:rsidRPr="00496CF0">
        <w:rPr>
          <w:rFonts w:cs="Calibri"/>
          <w:b/>
          <w:color w:val="000000" w:themeColor="text1"/>
          <w:u w:val="single"/>
        </w:rPr>
        <w:t xml:space="preserve"> as the existence of a</w:t>
      </w:r>
      <w:r w:rsidRPr="00496CF0">
        <w:rPr>
          <w:rFonts w:cs="Calibri"/>
          <w:color w:val="000000" w:themeColor="text1"/>
        </w:rPr>
        <w:t xml:space="preserve"> </w:t>
      </w:r>
      <w:r w:rsidRPr="00496CF0">
        <w:rPr>
          <w:rFonts w:cs="Calibri"/>
          <w:b/>
          <w:color w:val="000000" w:themeColor="text1"/>
          <w:u w:val="single"/>
        </w:rPr>
        <w:t>phenomenon</w:t>
      </w:r>
      <w:r w:rsidRPr="00496CF0">
        <w:rPr>
          <w:rFonts w:cs="Calibri"/>
          <w:color w:val="000000" w:themeColor="text1"/>
          <w:sz w:val="12"/>
          <w:szCs w:val="12"/>
        </w:rPr>
        <w:t>, of a passive, receptive phenomenal subject appearing within time. As a result</w:t>
      </w:r>
      <w:r w:rsidRPr="00496CF0">
        <w:rPr>
          <w:rFonts w:cs="Calibri"/>
          <w:color w:val="000000" w:themeColor="text1"/>
        </w:rPr>
        <w:t xml:space="preserve">, </w:t>
      </w:r>
      <w:r w:rsidRPr="00496CF0">
        <w:rPr>
          <w:rFonts w:cs="Calibri"/>
          <w:b/>
          <w:color w:val="000000" w:themeColor="text1"/>
          <w:highlight w:val="green"/>
          <w:u w:val="single"/>
        </w:rPr>
        <w:t>the spontaneity of which I am</w:t>
      </w:r>
      <w:r w:rsidRPr="00496CF0">
        <w:rPr>
          <w:rFonts w:cs="Calibri"/>
          <w:color w:val="000000" w:themeColor="text1"/>
          <w:highlight w:val="green"/>
        </w:rPr>
        <w:t xml:space="preserve"> </w:t>
      </w:r>
      <w:r w:rsidRPr="00496CF0">
        <w:rPr>
          <w:rFonts w:cs="Calibri"/>
          <w:b/>
          <w:color w:val="000000" w:themeColor="text1"/>
          <w:highlight w:val="green"/>
          <w:u w:val="single"/>
        </w:rPr>
        <w:t xml:space="preserve">conscious </w:t>
      </w:r>
      <w:r w:rsidRPr="00496CF0">
        <w:rPr>
          <w:rFonts w:cs="Calibri"/>
          <w:b/>
          <w:color w:val="000000" w:themeColor="text1"/>
          <w:u w:val="single"/>
        </w:rPr>
        <w:t xml:space="preserve">in the 'I think' </w:t>
      </w:r>
      <w:r w:rsidRPr="00496CF0">
        <w:rPr>
          <w:rFonts w:cs="Calibri"/>
          <w:b/>
          <w:color w:val="000000" w:themeColor="text1"/>
          <w:highlight w:val="green"/>
          <w:u w:val="single"/>
        </w:rPr>
        <w:t>cannot</w:t>
      </w:r>
      <w:r w:rsidRPr="00496CF0">
        <w:rPr>
          <w:rFonts w:cs="Calibri"/>
          <w:color w:val="000000" w:themeColor="text1"/>
          <w:highlight w:val="green"/>
        </w:rPr>
        <w:t xml:space="preserve"> </w:t>
      </w:r>
      <w:r w:rsidRPr="00496CF0">
        <w:rPr>
          <w:rFonts w:cs="Calibri"/>
          <w:b/>
          <w:color w:val="000000" w:themeColor="text1"/>
          <w:highlight w:val="green"/>
          <w:u w:val="single"/>
        </w:rPr>
        <w:t>be understood as the</w:t>
      </w:r>
      <w:r w:rsidRPr="00496CF0">
        <w:rPr>
          <w:rFonts w:cs="Calibri"/>
          <w:color w:val="000000" w:themeColor="text1"/>
        </w:rPr>
        <w:t xml:space="preserve"> </w:t>
      </w:r>
      <w:r w:rsidRPr="00496CF0">
        <w:rPr>
          <w:rFonts w:cs="Calibri"/>
          <w:b/>
          <w:color w:val="000000" w:themeColor="text1"/>
          <w:u w:val="single"/>
        </w:rPr>
        <w:t xml:space="preserve">attribute of a </w:t>
      </w:r>
      <w:r w:rsidRPr="00496CF0">
        <w:rPr>
          <w:rFonts w:cs="Calibri"/>
          <w:b/>
          <w:color w:val="000000" w:themeColor="text1"/>
          <w:highlight w:val="green"/>
          <w:u w:val="single"/>
        </w:rPr>
        <w:t>substantial</w:t>
      </w:r>
      <w:r w:rsidRPr="00496CF0">
        <w:rPr>
          <w:rFonts w:cs="Calibri"/>
          <w:color w:val="000000" w:themeColor="text1"/>
          <w:highlight w:val="green"/>
        </w:rPr>
        <w:t xml:space="preserve"> </w:t>
      </w:r>
      <w:r w:rsidRPr="00496CF0">
        <w:rPr>
          <w:rFonts w:cs="Calibri"/>
          <w:color w:val="000000" w:themeColor="text1"/>
          <w:sz w:val="12"/>
          <w:szCs w:val="12"/>
        </w:rPr>
        <w:t>and spontaneous</w:t>
      </w:r>
      <w:r w:rsidRPr="00496CF0">
        <w:rPr>
          <w:rFonts w:cs="Calibri"/>
          <w:color w:val="000000" w:themeColor="text1"/>
        </w:rPr>
        <w:t xml:space="preserve"> </w:t>
      </w:r>
      <w:r w:rsidRPr="00496CF0">
        <w:rPr>
          <w:rFonts w:cs="Calibri"/>
          <w:b/>
          <w:color w:val="000000" w:themeColor="text1"/>
          <w:highlight w:val="green"/>
          <w:u w:val="single"/>
        </w:rPr>
        <w:t>being</w:t>
      </w:r>
      <w:r w:rsidRPr="00496CF0">
        <w:rPr>
          <w:rFonts w:cs="Calibri"/>
          <w:color w:val="000000" w:themeColor="text1"/>
        </w:rPr>
        <w:t xml:space="preserve">, </w:t>
      </w:r>
      <w:r w:rsidRPr="00496CF0">
        <w:rPr>
          <w:rFonts w:cs="Calibri"/>
          <w:b/>
          <w:color w:val="000000" w:themeColor="text1"/>
          <w:highlight w:val="green"/>
          <w:u w:val="single"/>
        </w:rPr>
        <w:t xml:space="preserve">but </w:t>
      </w:r>
      <w:r w:rsidRPr="00496CF0">
        <w:rPr>
          <w:rFonts w:cs="Calibri"/>
          <w:b/>
          <w:color w:val="000000" w:themeColor="text1"/>
          <w:u w:val="single"/>
        </w:rPr>
        <w:t xml:space="preserve">only </w:t>
      </w:r>
      <w:r w:rsidRPr="00496CF0">
        <w:rPr>
          <w:rFonts w:cs="Calibri"/>
          <w:b/>
          <w:color w:val="000000" w:themeColor="text1"/>
          <w:highlight w:val="green"/>
          <w:u w:val="single"/>
        </w:rPr>
        <w:t>as the affection</w:t>
      </w:r>
      <w:r w:rsidRPr="00496CF0">
        <w:rPr>
          <w:rFonts w:cs="Calibri"/>
          <w:color w:val="000000" w:themeColor="text1"/>
          <w:highlight w:val="green"/>
        </w:rPr>
        <w:t xml:space="preserve"> </w:t>
      </w:r>
      <w:r w:rsidRPr="00496CF0">
        <w:rPr>
          <w:rFonts w:cs="Calibri"/>
          <w:b/>
          <w:color w:val="000000" w:themeColor="text1"/>
          <w:highlight w:val="green"/>
          <w:u w:val="single"/>
        </w:rPr>
        <w:t xml:space="preserve">of a passive </w:t>
      </w:r>
      <w:r w:rsidRPr="00496CF0">
        <w:rPr>
          <w:rFonts w:cs="Calibri"/>
          <w:b/>
          <w:color w:val="000000" w:themeColor="text1"/>
          <w:u w:val="single"/>
        </w:rPr>
        <w:t>self</w:t>
      </w:r>
      <w:r w:rsidRPr="00496CF0">
        <w:rPr>
          <w:rFonts w:cs="Calibri"/>
          <w:color w:val="000000" w:themeColor="text1"/>
        </w:rPr>
        <w:t xml:space="preserve"> </w:t>
      </w:r>
      <w:r w:rsidRPr="00496CF0">
        <w:rPr>
          <w:rFonts w:cs="Calibri"/>
          <w:b/>
          <w:color w:val="000000" w:themeColor="text1"/>
          <w:u w:val="single"/>
        </w:rPr>
        <w:t>which experiences its own thought</w:t>
      </w:r>
      <w:r w:rsidRPr="00496CF0">
        <w:rPr>
          <w:rFonts w:cs="Calibri"/>
          <w:color w:val="000000" w:themeColor="text1"/>
        </w:rPr>
        <w:t xml:space="preserve"> </w:t>
      </w:r>
      <w:r w:rsidRPr="00496CF0">
        <w:rPr>
          <w:rFonts w:cs="Calibri"/>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496CF0">
        <w:rPr>
          <w:rFonts w:cs="Calibri"/>
          <w:color w:val="000000" w:themeColor="text1"/>
          <w:sz w:val="12"/>
          <w:szCs w:val="12"/>
        </w:rPr>
        <w:t>is</w:t>
      </w:r>
      <w:proofErr w:type="gramEnd"/>
      <w:r w:rsidRPr="00496CF0">
        <w:rPr>
          <w:rFonts w:cs="Calibri"/>
          <w:color w:val="000000" w:themeColor="text1"/>
          <w:sz w:val="12"/>
          <w:szCs w:val="12"/>
        </w:rPr>
        <w:t xml:space="preserve"> </w:t>
      </w:r>
      <w:proofErr w:type="spellStart"/>
      <w:r w:rsidRPr="00496CF0">
        <w:rPr>
          <w:rFonts w:cs="Calibri"/>
          <w:color w:val="000000" w:themeColor="text1"/>
          <w:sz w:val="12"/>
          <w:szCs w:val="12"/>
        </w:rPr>
        <w:t>an other</w:t>
      </w:r>
      <w:proofErr w:type="spellEnd"/>
      <w:r w:rsidRPr="00496CF0">
        <w:rPr>
          <w:rFonts w:cs="Calibri"/>
          <w:color w:val="000000" w:themeColor="text1"/>
          <w:sz w:val="12"/>
          <w:szCs w:val="12"/>
        </w:rPr>
        <w:t>, or the paradox of inner sense.</w:t>
      </w:r>
      <w:r w:rsidRPr="00496CF0">
        <w:rPr>
          <w:rFonts w:cs="Calibri"/>
          <w:color w:val="000000" w:themeColor="text1"/>
        </w:rPr>
        <w:t xml:space="preserve"> </w:t>
      </w:r>
      <w:r w:rsidRPr="00496CF0">
        <w:rPr>
          <w:rFonts w:cs="Calibri"/>
          <w:b/>
          <w:color w:val="000000" w:themeColor="text1"/>
          <w:u w:val="single"/>
        </w:rPr>
        <w:t xml:space="preserve">The activity of thought applies </w:t>
      </w:r>
      <w:r w:rsidRPr="00496CF0">
        <w:rPr>
          <w:rFonts w:cs="Calibri"/>
          <w:color w:val="000000" w:themeColor="text1"/>
          <w:sz w:val="12"/>
          <w:szCs w:val="12"/>
        </w:rPr>
        <w:t>to a receptive being</w:t>
      </w:r>
      <w:r w:rsidRPr="00496CF0">
        <w:rPr>
          <w:rFonts w:cs="Calibri"/>
          <w:color w:val="000000" w:themeColor="text1"/>
        </w:rPr>
        <w:t xml:space="preserve">, </w:t>
      </w:r>
      <w:r w:rsidRPr="00496CF0">
        <w:rPr>
          <w:rFonts w:cs="Calibri"/>
          <w:b/>
          <w:color w:val="000000" w:themeColor="text1"/>
          <w:u w:val="single"/>
        </w:rPr>
        <w:t>to a passive subject which represents that activity to itself rather than enacts it</w:t>
      </w:r>
      <w:r w:rsidRPr="00496CF0">
        <w:rPr>
          <w:rFonts w:cs="Calibri"/>
          <w:color w:val="000000" w:themeColor="text1"/>
        </w:rPr>
        <w:t xml:space="preserve">, </w:t>
      </w:r>
      <w:r w:rsidRPr="00496CF0">
        <w:rPr>
          <w:rFonts w:cs="Calibri"/>
          <w:color w:val="000000" w:themeColor="text1"/>
          <w:sz w:val="12"/>
          <w:szCs w:val="12"/>
        </w:rPr>
        <w:t xml:space="preserve">which experiences its effect rather than initiates it, and which lives it like </w:t>
      </w:r>
      <w:proofErr w:type="gramStart"/>
      <w:r w:rsidRPr="00496CF0">
        <w:rPr>
          <w:rFonts w:cs="Calibri"/>
          <w:color w:val="000000" w:themeColor="text1"/>
          <w:sz w:val="12"/>
          <w:szCs w:val="12"/>
        </w:rPr>
        <w:t>an Other</w:t>
      </w:r>
      <w:proofErr w:type="gramEnd"/>
      <w:r w:rsidRPr="00496CF0">
        <w:rPr>
          <w:rFonts w:cs="Calibri"/>
          <w:color w:val="000000" w:themeColor="text1"/>
          <w:sz w:val="12"/>
          <w:szCs w:val="12"/>
        </w:rPr>
        <w:t xml:space="preserve"> within itself.</w:t>
      </w:r>
      <w:r w:rsidRPr="00496CF0">
        <w:rPr>
          <w:rFonts w:cs="Calibri"/>
          <w:color w:val="000000" w:themeColor="text1"/>
        </w:rPr>
        <w:t xml:space="preserve"> </w:t>
      </w:r>
      <w:r w:rsidRPr="00496CF0">
        <w:rPr>
          <w:rFonts w:cs="Calibri"/>
          <w:b/>
          <w:color w:val="000000" w:themeColor="text1"/>
          <w:highlight w:val="green"/>
          <w:u w:val="single"/>
        </w:rPr>
        <w:t>To 'I think' and 'I am' must be added</w:t>
      </w:r>
      <w:r w:rsidRPr="00496CF0">
        <w:rPr>
          <w:rFonts w:cs="Calibri"/>
          <w:b/>
          <w:color w:val="000000" w:themeColor="text1"/>
          <w:u w:val="single"/>
        </w:rPr>
        <w:t xml:space="preserve"> the</w:t>
      </w:r>
      <w:r w:rsidRPr="00496CF0">
        <w:rPr>
          <w:rFonts w:cs="Calibri"/>
          <w:color w:val="000000" w:themeColor="text1"/>
        </w:rPr>
        <w:t xml:space="preserve"> </w:t>
      </w:r>
      <w:r w:rsidRPr="00496CF0">
        <w:rPr>
          <w:rFonts w:cs="Calibri"/>
          <w:b/>
          <w:color w:val="000000" w:themeColor="text1"/>
          <w:u w:val="single"/>
        </w:rPr>
        <w:t>self</w:t>
      </w:r>
      <w:r w:rsidRPr="00496CF0">
        <w:rPr>
          <w:rFonts w:cs="Calibri"/>
          <w:color w:val="000000" w:themeColor="text1"/>
        </w:rPr>
        <w:t xml:space="preserve"> - </w:t>
      </w:r>
      <w:r w:rsidRPr="00496CF0">
        <w:rPr>
          <w:rFonts w:cs="Calibri"/>
          <w:b/>
          <w:color w:val="000000" w:themeColor="text1"/>
          <w:u w:val="single"/>
        </w:rPr>
        <w:t xml:space="preserve">that is, </w:t>
      </w:r>
      <w:r w:rsidRPr="00496CF0">
        <w:rPr>
          <w:rFonts w:cs="Calibri"/>
          <w:b/>
          <w:color w:val="000000" w:themeColor="text1"/>
          <w:highlight w:val="green"/>
          <w:u w:val="single"/>
        </w:rPr>
        <w:t>the passive position</w:t>
      </w:r>
      <w:r w:rsidRPr="00496CF0">
        <w:rPr>
          <w:rFonts w:cs="Calibri"/>
          <w:color w:val="000000" w:themeColor="text1"/>
        </w:rPr>
        <w:t xml:space="preserve"> </w:t>
      </w:r>
      <w:r w:rsidRPr="00496CF0">
        <w:rPr>
          <w:rFonts w:cs="Calibri"/>
          <w:color w:val="000000" w:themeColor="text1"/>
          <w:sz w:val="12"/>
          <w:szCs w:val="12"/>
        </w:rPr>
        <w:t>(what Kant calls the receptivity of intuition); to the determination and the undetermined must be added the form of the determinable,</w:t>
      </w:r>
      <w:r w:rsidRPr="00496CF0">
        <w:rPr>
          <w:rFonts w:cs="Calibri"/>
          <w:color w:val="000000" w:themeColor="text1"/>
        </w:rPr>
        <w:t xml:space="preserve"> </w:t>
      </w:r>
      <w:r w:rsidRPr="00496CF0">
        <w:rPr>
          <w:rFonts w:cs="Calibri"/>
          <w:b/>
          <w:color w:val="000000" w:themeColor="text1"/>
          <w:highlight w:val="green"/>
          <w:u w:val="single"/>
        </w:rPr>
        <w:t>namely</w:t>
      </w:r>
      <w:r w:rsidRPr="00496CF0">
        <w:rPr>
          <w:rFonts w:cs="Calibri"/>
          <w:color w:val="000000" w:themeColor="text1"/>
          <w:highlight w:val="green"/>
        </w:rPr>
        <w:t xml:space="preserve"> </w:t>
      </w:r>
      <w:r w:rsidRPr="00496CF0">
        <w:rPr>
          <w:rFonts w:cs="Calibri"/>
          <w:b/>
          <w:color w:val="000000" w:themeColor="text1"/>
          <w:highlight w:val="green"/>
          <w:u w:val="single"/>
        </w:rPr>
        <w:t>time</w:t>
      </w:r>
      <w:r w:rsidRPr="00496CF0">
        <w:rPr>
          <w:rFonts w:cs="Calibri"/>
          <w:color w:val="000000" w:themeColor="text1"/>
        </w:rPr>
        <w:t xml:space="preserve">. </w:t>
      </w:r>
      <w:r w:rsidRPr="00496CF0">
        <w:rPr>
          <w:rFonts w:cs="Calibri"/>
          <w:color w:val="000000" w:themeColor="text1"/>
          <w:sz w:val="12"/>
          <w:szCs w:val="12"/>
        </w:rPr>
        <w:t xml:space="preserve">Nor is 'add' entirely the right word here, since it is rather a matter of establishing the difference and </w:t>
      </w:r>
      <w:proofErr w:type="spellStart"/>
      <w:r w:rsidRPr="00496CF0">
        <w:rPr>
          <w:rFonts w:cs="Calibri"/>
          <w:color w:val="000000" w:themeColor="text1"/>
          <w:sz w:val="12"/>
          <w:szCs w:val="12"/>
        </w:rPr>
        <w:t>interiorising</w:t>
      </w:r>
      <w:proofErr w:type="spellEnd"/>
      <w:r w:rsidRPr="00496CF0">
        <w:rPr>
          <w:rFonts w:cs="Calibri"/>
          <w:color w:val="000000" w:themeColor="text1"/>
          <w:sz w:val="12"/>
          <w:szCs w:val="12"/>
        </w:rPr>
        <w:t xml:space="preserve"> it within being and thought. It is as though the</w:t>
      </w:r>
      <w:r w:rsidRPr="00496CF0">
        <w:rPr>
          <w:rFonts w:cs="Calibri"/>
          <w:color w:val="000000" w:themeColor="text1"/>
        </w:rPr>
        <w:t xml:space="preserve"> </w:t>
      </w:r>
      <w:r w:rsidRPr="00496CF0">
        <w:rPr>
          <w:rFonts w:cs="Calibri"/>
          <w:b/>
          <w:color w:val="000000" w:themeColor="text1"/>
          <w:u w:val="single"/>
        </w:rPr>
        <w:t xml:space="preserve">I </w:t>
      </w:r>
      <w:proofErr w:type="gramStart"/>
      <w:r w:rsidRPr="00496CF0">
        <w:rPr>
          <w:rFonts w:cs="Calibri"/>
          <w:b/>
          <w:color w:val="000000" w:themeColor="text1"/>
          <w:u w:val="single"/>
        </w:rPr>
        <w:t>were</w:t>
      </w:r>
      <w:proofErr w:type="gramEnd"/>
      <w:r w:rsidRPr="00496CF0">
        <w:rPr>
          <w:rFonts w:cs="Calibri"/>
          <w:b/>
          <w:color w:val="000000" w:themeColor="text1"/>
          <w:u w:val="single"/>
        </w:rPr>
        <w:t xml:space="preserve"> fractured</w:t>
      </w:r>
      <w:r w:rsidRPr="00496CF0">
        <w:rPr>
          <w:rFonts w:cs="Calibri"/>
          <w:color w:val="000000" w:themeColor="text1"/>
        </w:rPr>
        <w:t xml:space="preserve"> </w:t>
      </w:r>
      <w:r w:rsidRPr="00496CF0">
        <w:rPr>
          <w:rFonts w:cs="Calibri"/>
          <w:color w:val="000000" w:themeColor="text1"/>
          <w:sz w:val="12"/>
          <w:szCs w:val="12"/>
        </w:rPr>
        <w:t>from one end to the other: fractured</w:t>
      </w:r>
      <w:r w:rsidRPr="00496CF0">
        <w:rPr>
          <w:rFonts w:cs="Calibri"/>
          <w:color w:val="000000" w:themeColor="text1"/>
        </w:rPr>
        <w:t xml:space="preserve"> </w:t>
      </w:r>
      <w:r w:rsidRPr="00496CF0">
        <w:rPr>
          <w:rFonts w:cs="Calibri"/>
          <w:b/>
          <w:color w:val="000000" w:themeColor="text1"/>
          <w:u w:val="single"/>
        </w:rPr>
        <w:t>by</w:t>
      </w:r>
      <w:r w:rsidRPr="00496CF0">
        <w:rPr>
          <w:rFonts w:cs="Calibri"/>
          <w:color w:val="000000" w:themeColor="text1"/>
        </w:rPr>
        <w:t xml:space="preserve"> </w:t>
      </w:r>
      <w:r w:rsidRPr="00496CF0">
        <w:rPr>
          <w:rFonts w:cs="Calibri"/>
          <w:color w:val="000000" w:themeColor="text1"/>
          <w:sz w:val="12"/>
          <w:szCs w:val="12"/>
        </w:rPr>
        <w:t>the pure and empty form of</w:t>
      </w:r>
      <w:r w:rsidRPr="00496CF0">
        <w:rPr>
          <w:rFonts w:cs="Calibri"/>
          <w:color w:val="000000" w:themeColor="text1"/>
        </w:rPr>
        <w:t xml:space="preserve"> </w:t>
      </w:r>
      <w:r w:rsidRPr="00496CF0">
        <w:rPr>
          <w:rFonts w:cs="Calibri"/>
          <w:b/>
          <w:color w:val="000000" w:themeColor="text1"/>
          <w:u w:val="single"/>
        </w:rPr>
        <w:t>time</w:t>
      </w:r>
      <w:r w:rsidRPr="00496CF0">
        <w:rPr>
          <w:rFonts w:cs="Calibri"/>
          <w:color w:val="000000" w:themeColor="text1"/>
        </w:rPr>
        <w:t xml:space="preserve">. </w:t>
      </w:r>
      <w:r w:rsidRPr="00496CF0">
        <w:rPr>
          <w:rFonts w:cs="Calibri"/>
          <w:b/>
          <w:bCs/>
          <w:color w:val="000000" w:themeColor="text1"/>
          <w:highlight w:val="green"/>
          <w:u w:val="single"/>
        </w:rPr>
        <w:t>In this form it is the correlate of the passive self which appears in time.</w:t>
      </w:r>
      <w:r w:rsidRPr="00496CF0">
        <w:rPr>
          <w:rFonts w:cs="Calibri"/>
          <w:color w:val="000000" w:themeColor="text1"/>
        </w:rPr>
        <w:t xml:space="preserve"> </w:t>
      </w:r>
      <w:r w:rsidRPr="00496CF0">
        <w:rPr>
          <w:rFonts w:cs="Calibri"/>
          <w:b/>
          <w:color w:val="000000" w:themeColor="text1"/>
          <w:highlight w:val="green"/>
          <w:u w:val="single"/>
        </w:rPr>
        <w:t>Time signifies a</w:t>
      </w:r>
      <w:r w:rsidRPr="00496CF0">
        <w:rPr>
          <w:rFonts w:cs="Calibri"/>
          <w:color w:val="000000" w:themeColor="text1"/>
          <w:highlight w:val="green"/>
        </w:rPr>
        <w:t xml:space="preserve"> </w:t>
      </w:r>
      <w:r w:rsidRPr="00496CF0">
        <w:rPr>
          <w:rFonts w:cs="Calibri"/>
          <w:color w:val="000000" w:themeColor="text1"/>
          <w:sz w:val="12"/>
          <w:szCs w:val="12"/>
        </w:rPr>
        <w:t>fault</w:t>
      </w:r>
      <w:r w:rsidRPr="00496CF0">
        <w:rPr>
          <w:rFonts w:cs="Calibri"/>
          <w:color w:val="000000" w:themeColor="text1"/>
        </w:rPr>
        <w:t xml:space="preserve"> </w:t>
      </w:r>
      <w:r w:rsidRPr="00496CF0">
        <w:rPr>
          <w:rFonts w:cs="Calibri"/>
          <w:color w:val="000000" w:themeColor="text1"/>
          <w:sz w:val="12"/>
          <w:szCs w:val="12"/>
        </w:rPr>
        <w:t>or a</w:t>
      </w:r>
      <w:r w:rsidRPr="00496CF0">
        <w:rPr>
          <w:rFonts w:cs="Calibri"/>
          <w:color w:val="000000" w:themeColor="text1"/>
        </w:rPr>
        <w:t xml:space="preserve"> </w:t>
      </w:r>
      <w:r w:rsidRPr="00496CF0">
        <w:rPr>
          <w:rFonts w:cs="Calibri"/>
          <w:b/>
          <w:color w:val="000000" w:themeColor="text1"/>
          <w:highlight w:val="green"/>
          <w:u w:val="single"/>
        </w:rPr>
        <w:t>fracture in the I and a passivity in the self</w:t>
      </w:r>
      <w:r w:rsidRPr="00496CF0">
        <w:rPr>
          <w:rFonts w:cs="Calibri"/>
          <w:color w:val="000000" w:themeColor="text1"/>
          <w:sz w:val="12"/>
          <w:szCs w:val="12"/>
          <w:highlight w:val="green"/>
        </w:rPr>
        <w:t xml:space="preserve">, and </w:t>
      </w:r>
      <w:r w:rsidRPr="00496CF0">
        <w:rPr>
          <w:rFonts w:cs="Calibri"/>
          <w:color w:val="000000" w:themeColor="text1"/>
          <w:sz w:val="12"/>
          <w:szCs w:val="12"/>
        </w:rPr>
        <w:t xml:space="preserve">the correlation between the passive self and the fractured I constitutes the discovery of the transcendental, the element of the Copernican Revolution. </w:t>
      </w:r>
      <w:r w:rsidRPr="00496CF0">
        <w:rPr>
          <w:rFonts w:cs="Calibri"/>
          <w:b/>
          <w:color w:val="000000" w:themeColor="text1"/>
          <w:u w:val="single"/>
        </w:rPr>
        <w:t>Descartes could draw his conclusion only by expelling time, by reducing the Cogito to an instant</w:t>
      </w:r>
      <w:r w:rsidRPr="00496CF0">
        <w:rPr>
          <w:rFonts w:cs="Calibri"/>
          <w:color w:val="000000" w:themeColor="text1"/>
          <w:sz w:val="12"/>
          <w:szCs w:val="12"/>
        </w:rPr>
        <w:t xml:space="preserve"> and entrusting time to the operation of continuous creation carried out by God. More generally, the supposed identity of the I </w:t>
      </w:r>
      <w:proofErr w:type="gramStart"/>
      <w:r w:rsidRPr="00496CF0">
        <w:rPr>
          <w:rFonts w:cs="Calibri"/>
          <w:color w:val="000000" w:themeColor="text1"/>
          <w:sz w:val="12"/>
          <w:szCs w:val="12"/>
        </w:rPr>
        <w:t>has</w:t>
      </w:r>
      <w:proofErr w:type="gramEnd"/>
      <w:r w:rsidRPr="00496CF0">
        <w:rPr>
          <w:rFonts w:cs="Calibri"/>
          <w:color w:val="000000" w:themeColor="text1"/>
          <w:sz w:val="12"/>
          <w:szCs w:val="12"/>
        </w:rPr>
        <w:t xml:space="preserve"> no other guarantee than the unity of God himself. For this reason, the substitution of the point of view of the 'I' for the point of view of 'God' = than is commonly supposed, so long as the former retains an identity that it owes precisely </w:t>
      </w:r>
      <w:proofErr w:type="spellStart"/>
      <w:r w:rsidRPr="00496CF0">
        <w:rPr>
          <w:rFonts w:cs="Calibri"/>
          <w:color w:val="000000" w:themeColor="text1"/>
          <w:sz w:val="12"/>
          <w:szCs w:val="12"/>
        </w:rPr>
        <w:t>tt</w:t>
      </w:r>
      <w:proofErr w:type="spellEnd"/>
      <w:r w:rsidRPr="00496CF0">
        <w:rPr>
          <w:rFonts w:cs="Calibri"/>
          <w:color w:val="000000" w:themeColor="text1"/>
          <w:sz w:val="12"/>
          <w:szCs w:val="12"/>
        </w:rPr>
        <w:t xml:space="preserve">. If the greatest </w:t>
      </w:r>
      <w:proofErr w:type="spellStart"/>
      <w:r w:rsidRPr="00496CF0">
        <w:rPr>
          <w:rFonts w:cs="Calibri"/>
          <w:color w:val="000000" w:themeColor="text1"/>
          <w:sz w:val="12"/>
          <w:szCs w:val="12"/>
        </w:rPr>
        <w:t>tmttattve</w:t>
      </w:r>
      <w:proofErr w:type="spellEnd"/>
      <w:r w:rsidRPr="00496CF0">
        <w:rPr>
          <w:rFonts w:cs="Calibri"/>
          <w:color w:val="000000" w:themeColor="text1"/>
          <w:sz w:val="12"/>
          <w:szCs w:val="12"/>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w:t>
      </w:r>
      <w:proofErr w:type="spellStart"/>
      <w:r w:rsidRPr="00496CF0">
        <w:rPr>
          <w:rFonts w:cs="Calibri"/>
          <w:color w:val="000000" w:themeColor="text1"/>
          <w:sz w:val="12"/>
          <w:szCs w:val="12"/>
        </w:rPr>
        <w:t>ontraction</w:t>
      </w:r>
      <w:proofErr w:type="spellEnd"/>
      <w:r w:rsidRPr="00496CF0">
        <w:rPr>
          <w:rFonts w:cs="Calibri"/>
          <w:color w:val="000000" w:themeColor="text1"/>
          <w:sz w:val="12"/>
          <w:szCs w:val="12"/>
        </w:rPr>
        <w:t xml:space="preserve">).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496CF0">
        <w:rPr>
          <w:rFonts w:cs="Calibri"/>
          <w:color w:val="000000" w:themeColor="text1"/>
          <w:sz w:val="12"/>
          <w:szCs w:val="12"/>
        </w:rPr>
        <w:t>Holderlin</w:t>
      </w:r>
      <w:proofErr w:type="spellEnd"/>
      <w:r w:rsidRPr="00496CF0">
        <w:rPr>
          <w:rFonts w:cs="Calibri"/>
          <w:color w:val="000000" w:themeColor="text1"/>
          <w:sz w:val="12"/>
          <w:szCs w:val="12"/>
        </w:rPr>
        <w:t xml:space="preserve">, who discovers the emptiness of pure time and, in this emptiness, simultaneously the continued diversion of the divine, the prolonged fracture of the I and the constitutive passion of the self.10 </w:t>
      </w:r>
      <w:proofErr w:type="spellStart"/>
      <w:r w:rsidRPr="00496CF0">
        <w:rPr>
          <w:rFonts w:cs="Calibri"/>
          <w:color w:val="000000" w:themeColor="text1"/>
          <w:sz w:val="12"/>
          <w:szCs w:val="12"/>
        </w:rPr>
        <w:t>Holderlin</w:t>
      </w:r>
      <w:proofErr w:type="spellEnd"/>
      <w:r w:rsidRPr="00496CF0">
        <w:rPr>
          <w:rFonts w:cs="Calibri"/>
          <w:color w:val="000000" w:themeColor="text1"/>
          <w:sz w:val="12"/>
          <w:szCs w:val="12"/>
        </w:rPr>
        <w:t xml:space="preserve"> saw in this form of time both the essence of tragedy and the adventure of Oedipus, as though these were complementary figures of the same death instinct. Is it possible that Kantian philosophy should thus be the heir of Oedipus?</w:t>
      </w:r>
      <w:r w:rsidRPr="00496CF0">
        <w:rPr>
          <w:rFonts w:cs="Calibri"/>
          <w:color w:val="000000" w:themeColor="text1"/>
        </w:rPr>
        <w:t xml:space="preserve"> </w:t>
      </w:r>
    </w:p>
    <w:p w:rsidR="002D1B41" w:rsidRPr="00D70D45" w:rsidRDefault="002D1B41" w:rsidP="002D1B41">
      <w:pPr>
        <w:pStyle w:val="Heading4"/>
        <w:rPr>
          <w:rFonts w:cs="Calibri"/>
          <w:sz w:val="16"/>
        </w:rPr>
      </w:pPr>
      <w:r w:rsidRPr="00D70D45">
        <w:rPr>
          <w:rFonts w:cs="Calibri"/>
        </w:rPr>
        <w:t>Impacts: a) Static theories of morality fail to account for the instability that constitutes us b) Every negation is just a reconfiguration of a set of affective relationships. It doesn’t in truth deny those relations, it just affirms them in a different way which means only affirmation is true.</w:t>
      </w:r>
    </w:p>
    <w:p w:rsidR="002D1B41" w:rsidRPr="00496CF0" w:rsidRDefault="002D1B41" w:rsidP="002D1B41">
      <w:pPr>
        <w:spacing w:line="240" w:lineRule="auto"/>
        <w:rPr>
          <w:rFonts w:cs="Calibri"/>
          <w:color w:val="000000" w:themeColor="text1"/>
        </w:rPr>
      </w:pPr>
    </w:p>
    <w:p w:rsidR="002D1B41" w:rsidRPr="00496CF0" w:rsidRDefault="002D1B41" w:rsidP="002D1B41">
      <w:pPr>
        <w:pStyle w:val="Heading4"/>
        <w:rPr>
          <w:rFonts w:cs="Calibri"/>
        </w:rPr>
      </w:pPr>
      <w:r w:rsidRPr="00496CF0">
        <w:rPr>
          <w:rFonts w:cs="Calibri"/>
        </w:rPr>
        <w:t xml:space="preserve">Affect is divided into two groups – Active and reactive. Active affect embraces the constitution of difference and fluidity, while reactive affect operates in accordance to majoritarianism </w:t>
      </w:r>
    </w:p>
    <w:p w:rsidR="002D1B41" w:rsidRPr="00496CF0" w:rsidRDefault="002D1B41" w:rsidP="002D1B41">
      <w:pPr>
        <w:rPr>
          <w:rFonts w:cs="Calibri"/>
        </w:rPr>
      </w:pPr>
    </w:p>
    <w:p w:rsidR="002D1B41" w:rsidRPr="00496CF0" w:rsidRDefault="002D1B41" w:rsidP="002D1B41">
      <w:pPr>
        <w:pStyle w:val="Heading4"/>
        <w:rPr>
          <w:rFonts w:cs="Calibri"/>
        </w:rPr>
      </w:pPr>
      <w:r w:rsidRPr="00496CF0">
        <w:rPr>
          <w:rFonts w:cs="Calibri"/>
        </w:rPr>
        <w:t xml:space="preserve">Embracing a politics of active desire – one that is immanent and based in the present rather than the future – is key to break free of reactive desire. </w:t>
      </w:r>
      <w:proofErr w:type="gramStart"/>
      <w:r w:rsidRPr="00496CF0">
        <w:rPr>
          <w:rFonts w:cs="Calibri"/>
        </w:rPr>
        <w:t>This resists logics of majoritarian control</w:t>
      </w:r>
      <w:proofErr w:type="gramEnd"/>
      <w:r w:rsidRPr="00496CF0">
        <w:rPr>
          <w:rFonts w:cs="Calibri"/>
        </w:rPr>
        <w:t xml:space="preserve"> and becomes the space for potential resistance. </w:t>
      </w:r>
    </w:p>
    <w:p w:rsidR="002D1B41" w:rsidRPr="00496CF0" w:rsidRDefault="002D1B41" w:rsidP="002D1B41">
      <w:pPr>
        <w:pStyle w:val="Heading4"/>
        <w:rPr>
          <w:rFonts w:cs="Calibri"/>
        </w:rPr>
      </w:pPr>
      <w:r w:rsidRPr="00496CF0">
        <w:rPr>
          <w:rFonts w:cs="Calibri"/>
        </w:rPr>
        <w:t>K&amp;R 16</w:t>
      </w:r>
    </w:p>
    <w:p w:rsidR="002D1B41" w:rsidRPr="00496CF0" w:rsidRDefault="002D1B41" w:rsidP="002D1B41">
      <w:pPr>
        <w:rPr>
          <w:rFonts w:cs="Calibri"/>
          <w:sz w:val="12"/>
          <w:szCs w:val="12"/>
        </w:rPr>
      </w:pPr>
      <w:proofErr w:type="spellStart"/>
      <w:r w:rsidRPr="00496CF0">
        <w:rPr>
          <w:rFonts w:cs="Calibri"/>
          <w:sz w:val="12"/>
          <w:szCs w:val="12"/>
        </w:rPr>
        <w:t>Karatzogianni</w:t>
      </w:r>
      <w:proofErr w:type="spellEnd"/>
      <w:r w:rsidRPr="00496CF0">
        <w:rPr>
          <w:rFonts w:cs="Calibri"/>
          <w:sz w:val="12"/>
          <w:szCs w:val="12"/>
        </w:rPr>
        <w:t xml:space="preserve">, </w:t>
      </w:r>
      <w:proofErr w:type="spellStart"/>
      <w:r w:rsidRPr="00496CF0">
        <w:rPr>
          <w:rFonts w:cs="Calibri"/>
          <w:sz w:val="12"/>
          <w:szCs w:val="12"/>
        </w:rPr>
        <w:t>Athina</w:t>
      </w:r>
      <w:proofErr w:type="spellEnd"/>
      <w:r w:rsidRPr="00496CF0">
        <w:rPr>
          <w:rFonts w:cs="Calibri"/>
          <w:sz w:val="12"/>
          <w:szCs w:val="12"/>
        </w:rPr>
        <w:t xml:space="preserve"> and Robinson, Andy. “</w:t>
      </w:r>
      <w:proofErr w:type="spellStart"/>
      <w:r w:rsidRPr="00496CF0">
        <w:rPr>
          <w:rFonts w:cs="Calibri"/>
          <w:sz w:val="12"/>
          <w:szCs w:val="12"/>
        </w:rPr>
        <w:t>Schizorevolutions</w:t>
      </w:r>
      <w:proofErr w:type="spellEnd"/>
      <w:r w:rsidRPr="00496CF0">
        <w:rPr>
          <w:rFonts w:cs="Calibri"/>
          <w:sz w:val="12"/>
          <w:szCs w:val="12"/>
        </w:rPr>
        <w:t xml:space="preserve"> vs. </w:t>
      </w:r>
      <w:proofErr w:type="spellStart"/>
      <w:r w:rsidRPr="00496CF0">
        <w:rPr>
          <w:rFonts w:cs="Calibri"/>
          <w:sz w:val="12"/>
          <w:szCs w:val="12"/>
        </w:rPr>
        <w:t>Microfascisms</w:t>
      </w:r>
      <w:proofErr w:type="spellEnd"/>
      <w:r w:rsidRPr="00496CF0">
        <w:rPr>
          <w:rFonts w:cs="Calibri"/>
          <w:sz w:val="12"/>
          <w:szCs w:val="12"/>
        </w:rPr>
        <w:t xml:space="preserve">: A </w:t>
      </w:r>
      <w:proofErr w:type="spellStart"/>
      <w:r w:rsidRPr="00496CF0">
        <w:rPr>
          <w:rFonts w:cs="Calibri"/>
          <w:sz w:val="12"/>
          <w:szCs w:val="12"/>
        </w:rPr>
        <w:t>Deleuzo-Nietzchean</w:t>
      </w:r>
      <w:proofErr w:type="spellEnd"/>
      <w:r w:rsidRPr="00496CF0">
        <w:rPr>
          <w:rFonts w:cs="Calibri"/>
          <w:sz w:val="12"/>
          <w:szCs w:val="12"/>
        </w:rPr>
        <w:t xml:space="preserve"> Perspective on State, Security, and Active/Reactive Networks.” University of Leicester</w:t>
      </w:r>
      <w:proofErr w:type="gramStart"/>
      <w:r w:rsidRPr="00496CF0">
        <w:rPr>
          <w:rFonts w:cs="Calibri"/>
          <w:sz w:val="12"/>
          <w:szCs w:val="12"/>
        </w:rPr>
        <w:t>, .</w:t>
      </w:r>
      <w:proofErr w:type="gramEnd"/>
      <w:r w:rsidRPr="00496CF0">
        <w:rPr>
          <w:rFonts w:cs="Calibri"/>
          <w:sz w:val="12"/>
          <w:szCs w:val="12"/>
        </w:rPr>
        <w:t xml:space="preserve"> 2013. Scarsdale CC</w:t>
      </w:r>
    </w:p>
    <w:p w:rsidR="002D1B41" w:rsidRPr="00496CF0" w:rsidRDefault="002D1B41" w:rsidP="002D1B41">
      <w:pPr>
        <w:rPr>
          <w:rFonts w:cs="Calibri"/>
          <w:sz w:val="12"/>
        </w:rPr>
      </w:pPr>
      <w:r w:rsidRPr="00496CF0">
        <w:rPr>
          <w:rFonts w:cs="Calibri"/>
          <w:sz w:val="12"/>
        </w:rPr>
        <w:t xml:space="preserve">The impulse to condemn deviance, resistance and insurrection is disturbingly strong in academia, and doubtless strengthened by revulsion against network terror. Yet this networked rebellion of the excluded is the key to hopes for a better world. </w:t>
      </w:r>
      <w:r w:rsidRPr="00496CF0">
        <w:rPr>
          <w:rFonts w:cs="Calibri"/>
          <w:sz w:val="12"/>
          <w:szCs w:val="12"/>
        </w:rPr>
        <w:t xml:space="preserve">In the spiral of terror between states and movements, it is important to </w:t>
      </w:r>
      <w:proofErr w:type="spellStart"/>
      <w:r w:rsidRPr="00496CF0">
        <w:rPr>
          <w:rFonts w:cs="Calibri"/>
          <w:sz w:val="12"/>
          <w:szCs w:val="12"/>
        </w:rPr>
        <w:t>recognise</w:t>
      </w:r>
      <w:proofErr w:type="spellEnd"/>
      <w:r w:rsidRPr="00496CF0">
        <w:rPr>
          <w:rFonts w:cs="Calibri"/>
          <w:sz w:val="12"/>
          <w:szCs w:val="12"/>
        </w:rPr>
        <w:t xml:space="preserve"> that the source is the state and the weak point is in the movements. In today’s social war, the Other is not even accorded the </w:t>
      </w:r>
      <w:proofErr w:type="spellStart"/>
      <w:r w:rsidRPr="00496CF0">
        <w:rPr>
          <w:rFonts w:cs="Calibri"/>
          <w:sz w:val="12"/>
          <w:szCs w:val="12"/>
        </w:rPr>
        <w:t>honour</w:t>
      </w:r>
      <w:proofErr w:type="spellEnd"/>
      <w:r w:rsidRPr="00496CF0">
        <w:rPr>
          <w:rFonts w:cs="Calibri"/>
          <w:sz w:val="12"/>
          <w:szCs w:val="12"/>
        </w:rPr>
        <w:t xml:space="preserve"> of being an enemy in a fair fight. As long as social conflicts are seen through a statist frame, social war is doomed to continue, because discursive exclusion produces social war as its underside, and renders resistance both necessary and justified. The cycle of terror starts with the state: its terror at an existential level of losing control and fixity. This terrified state produces state terror and thereby creates the conditions for movement terror. It is naive to look for a way out from this side of the equation. State terror can end only when the state, both accepts the proliferation of networks beyond its control, and adopts a </w:t>
      </w:r>
      <w:proofErr w:type="gramStart"/>
      <w:r w:rsidRPr="00496CF0">
        <w:rPr>
          <w:rFonts w:cs="Calibri"/>
          <w:sz w:val="12"/>
          <w:szCs w:val="12"/>
        </w:rPr>
        <w:t>more humble</w:t>
      </w:r>
      <w:proofErr w:type="gramEnd"/>
      <w:r w:rsidRPr="00496CF0">
        <w:rPr>
          <w:rFonts w:cs="Calibri"/>
          <w:sz w:val="12"/>
          <w:szCs w:val="12"/>
        </w:rPr>
        <w:t xml:space="preserve"> role for itself, or when it collapses or is destroyed. On the other side,</w:t>
      </w:r>
      <w:r w:rsidRPr="00496CF0">
        <w:rPr>
          <w:rFonts w:cs="Calibri"/>
          <w:b/>
          <w:u w:val="single"/>
        </w:rPr>
        <w:t xml:space="preserve"> </w:t>
      </w:r>
      <w:r w:rsidRPr="00496CF0">
        <w:rPr>
          <w:rFonts w:cs="Calibri"/>
          <w:b/>
          <w:highlight w:val="green"/>
          <w:u w:val="single"/>
        </w:rPr>
        <w:t>we</w:t>
      </w:r>
      <w:r w:rsidRPr="00496CF0">
        <w:rPr>
          <w:rFonts w:cs="Calibri"/>
          <w:b/>
          <w:u w:val="single"/>
        </w:rPr>
        <w:t xml:space="preserve"> should </w:t>
      </w:r>
      <w:r w:rsidRPr="00496CF0">
        <w:rPr>
          <w:rFonts w:cs="Calibri"/>
          <w:b/>
          <w:highlight w:val="green"/>
          <w:u w:val="single"/>
        </w:rPr>
        <w:t>find hope in the proliferation of resistance among</w:t>
      </w:r>
      <w:r w:rsidRPr="00496CF0">
        <w:rPr>
          <w:rFonts w:cs="Calibri"/>
          <w:b/>
          <w:u w:val="single"/>
        </w:rPr>
        <w:t xml:space="preserve"> the excluded. We need to see in movements of the excluded </w:t>
      </w:r>
      <w:r w:rsidRPr="00496CF0">
        <w:rPr>
          <w:rFonts w:cs="Calibri"/>
          <w:b/>
          <w:highlight w:val="green"/>
          <w:u w:val="single"/>
        </w:rPr>
        <w:t>the radical potential and not</w:t>
      </w:r>
      <w:r w:rsidRPr="00496CF0">
        <w:rPr>
          <w:rFonts w:cs="Calibri"/>
          <w:b/>
          <w:u w:val="single"/>
        </w:rPr>
        <w:t xml:space="preserve"> only the </w:t>
      </w:r>
      <w:r w:rsidRPr="00496CF0">
        <w:rPr>
          <w:rFonts w:cs="Calibri"/>
          <w:b/>
          <w:highlight w:val="green"/>
          <w:u w:val="single"/>
        </w:rPr>
        <w:t>reactive distortions</w:t>
      </w:r>
      <w:r w:rsidRPr="00496CF0">
        <w:rPr>
          <w:rFonts w:cs="Calibri"/>
          <w:sz w:val="12"/>
          <w:highlight w:val="green"/>
        </w:rPr>
        <w:t>.</w:t>
      </w:r>
      <w:r w:rsidRPr="00496CF0">
        <w:rPr>
          <w:rFonts w:cs="Calibri"/>
          <w:sz w:val="12"/>
        </w:rPr>
        <w:t xml:space="preserve"> To take Tupac Shakur’s metaphor, we need to see the rose that grows from concrete, not merely the thorns. The problem is, rather, that many of the movements on the network side of the equation are still thinking, seeing and feeling like states. </w:t>
      </w:r>
      <w:r w:rsidRPr="00496CF0">
        <w:rPr>
          <w:rFonts w:cs="Calibri"/>
          <w:b/>
          <w:u w:val="single"/>
        </w:rPr>
        <w:t xml:space="preserve">Such movements are potential bearers of the Other of the state-form, of networks as alternatives to states, affinity against hegemony, abundance against scarcity. </w:t>
      </w:r>
      <w:r w:rsidRPr="00496CF0">
        <w:rPr>
          <w:rFonts w:cs="Calibri"/>
          <w:b/>
          <w:highlight w:val="green"/>
          <w:u w:val="single"/>
        </w:rPr>
        <w:t>The question</w:t>
      </w:r>
      <w:r w:rsidRPr="00496CF0">
        <w:rPr>
          <w:rFonts w:cs="Calibri"/>
          <w:b/>
          <w:u w:val="single"/>
        </w:rPr>
        <w:t xml:space="preserve"> thus </w:t>
      </w:r>
      <w:r w:rsidRPr="00496CF0">
        <w:rPr>
          <w:rFonts w:cs="Calibri"/>
          <w:b/>
          <w:highlight w:val="green"/>
          <w:u w:val="single"/>
        </w:rPr>
        <w:t xml:space="preserve">becomes how they can learn to </w:t>
      </w:r>
      <w:proofErr w:type="spellStart"/>
      <w:r w:rsidRPr="00496CF0">
        <w:rPr>
          <w:rFonts w:cs="Calibri"/>
          <w:b/>
          <w:highlight w:val="green"/>
          <w:u w:val="single"/>
        </w:rPr>
        <w:t>valorise</w:t>
      </w:r>
      <w:proofErr w:type="spellEnd"/>
      <w:r w:rsidRPr="00496CF0">
        <w:rPr>
          <w:rFonts w:cs="Calibri"/>
          <w:b/>
          <w:highlight w:val="green"/>
          <w:u w:val="single"/>
        </w:rPr>
        <w:t xml:space="preserve"> what they are</w:t>
      </w:r>
      <w:r w:rsidRPr="00496CF0">
        <w:rPr>
          <w:rFonts w:cs="Calibri"/>
          <w:b/>
          <w:u w:val="single"/>
        </w:rPr>
        <w:t xml:space="preserve"> -- autonomous affinity-networks -- </w:t>
      </w:r>
      <w:r w:rsidRPr="00496CF0">
        <w:rPr>
          <w:rFonts w:cs="Calibri"/>
          <w:b/>
          <w:highlight w:val="green"/>
          <w:u w:val="single"/>
        </w:rPr>
        <w:t xml:space="preserve">rather than </w:t>
      </w:r>
      <w:proofErr w:type="spellStart"/>
      <w:r w:rsidRPr="00496CF0">
        <w:rPr>
          <w:rFonts w:cs="Calibri"/>
          <w:b/>
          <w:highlight w:val="green"/>
          <w:u w:val="single"/>
        </w:rPr>
        <w:t>internalising</w:t>
      </w:r>
      <w:proofErr w:type="spellEnd"/>
      <w:r w:rsidRPr="00496CF0">
        <w:rPr>
          <w:rFonts w:cs="Calibri"/>
          <w:b/>
          <w:highlight w:val="green"/>
          <w:u w:val="single"/>
        </w:rPr>
        <w:t xml:space="preserve"> majoritarian norms</w:t>
      </w:r>
      <w:r w:rsidRPr="00496CF0">
        <w:rPr>
          <w:rFonts w:cs="Calibri"/>
          <w:b/>
          <w:u w:val="single"/>
        </w:rPr>
        <w:t>.</w:t>
      </w:r>
      <w:r w:rsidRPr="00496CF0">
        <w:rPr>
          <w:rFonts w:cs="Calibri"/>
          <w:sz w:val="12"/>
        </w:rPr>
        <w:t xml:space="preserve"> For instance, in terms of the impact of </w:t>
      </w:r>
      <w:proofErr w:type="spellStart"/>
      <w:r w:rsidRPr="00496CF0">
        <w:rPr>
          <w:rFonts w:cs="Calibri"/>
          <w:sz w:val="12"/>
        </w:rPr>
        <w:t>technosocial</w:t>
      </w:r>
      <w:proofErr w:type="spellEnd"/>
      <w:r w:rsidRPr="00496CF0">
        <w:rPr>
          <w:rFonts w:cs="Calibri"/>
          <w:sz w:val="12"/>
        </w:rPr>
        <w:t xml:space="preserve"> transformations on agency, the negotiation of ideology, order of dissent in relation to capitalism as a social code, remains hostage to labor processes and to thick identities of local/regional or national interests, which fail to move contemporary movements to an active affinity to a common humanity and a pragmatic solution for an ethical, </w:t>
      </w:r>
      <w:proofErr w:type="spellStart"/>
      <w:proofErr w:type="gramStart"/>
      <w:r w:rsidRPr="00496CF0">
        <w:rPr>
          <w:rFonts w:cs="Calibri"/>
          <w:sz w:val="12"/>
        </w:rPr>
        <w:t>non exploitative</w:t>
      </w:r>
      <w:proofErr w:type="spellEnd"/>
      <w:proofErr w:type="gramEnd"/>
      <w:r w:rsidRPr="00496CF0">
        <w:rPr>
          <w:rFonts w:cs="Calibri"/>
          <w:sz w:val="12"/>
        </w:rPr>
        <w:t xml:space="preserve"> form of production (</w:t>
      </w:r>
      <w:proofErr w:type="spellStart"/>
      <w:r w:rsidRPr="00496CF0">
        <w:rPr>
          <w:rFonts w:cs="Calibri"/>
          <w:sz w:val="12"/>
        </w:rPr>
        <w:t>Karatzogianni</w:t>
      </w:r>
      <w:proofErr w:type="spellEnd"/>
      <w:r w:rsidRPr="00496CF0">
        <w:rPr>
          <w:rFonts w:cs="Calibri"/>
          <w:sz w:val="12"/>
        </w:rPr>
        <w:t xml:space="preserve"> and </w:t>
      </w:r>
      <w:proofErr w:type="spellStart"/>
      <w:r w:rsidRPr="00496CF0">
        <w:rPr>
          <w:rFonts w:cs="Calibri"/>
          <w:sz w:val="12"/>
        </w:rPr>
        <w:t>Schandorf</w:t>
      </w:r>
      <w:proofErr w:type="spellEnd"/>
      <w:r w:rsidRPr="00496CF0">
        <w:rPr>
          <w:rFonts w:cs="Calibri"/>
          <w:sz w:val="12"/>
        </w:rPr>
        <w:t xml:space="preserve">, 2012). Here the exception may like in the global justice movements and Occupy, although still here the discourse remains often in reactive mode, due to state crackdowns experienced by the movements. There is a great need to find ways to </w:t>
      </w:r>
      <w:proofErr w:type="spellStart"/>
      <w:r w:rsidRPr="00496CF0">
        <w:rPr>
          <w:rFonts w:cs="Calibri"/>
          <w:sz w:val="12"/>
        </w:rPr>
        <w:t>energise</w:t>
      </w:r>
      <w:proofErr w:type="spellEnd"/>
      <w:r w:rsidRPr="00496CF0">
        <w:rPr>
          <w:rFonts w:cs="Calibri"/>
          <w:sz w:val="12"/>
        </w:rPr>
        <w:t xml:space="preserve"> hope against fear</w:t>
      </w:r>
      <w:r w:rsidRPr="00496CF0">
        <w:rPr>
          <w:rFonts w:cs="Calibri"/>
          <w:sz w:val="12"/>
          <w:highlight w:val="green"/>
        </w:rPr>
        <w:t xml:space="preserve">. </w:t>
      </w:r>
      <w:r w:rsidRPr="00496CF0">
        <w:rPr>
          <w:rFonts w:cs="Calibri"/>
          <w:b/>
          <w:highlight w:val="green"/>
          <w:u w:val="single"/>
        </w:rPr>
        <w:t xml:space="preserve">Hope as an active force can be </w:t>
      </w:r>
      <w:proofErr w:type="spellStart"/>
      <w:r w:rsidRPr="00496CF0">
        <w:rPr>
          <w:rFonts w:cs="Calibri"/>
          <w:b/>
          <w:highlight w:val="green"/>
          <w:u w:val="single"/>
        </w:rPr>
        <w:t>counterposed</w:t>
      </w:r>
      <w:proofErr w:type="spellEnd"/>
      <w:r w:rsidRPr="00496CF0">
        <w:rPr>
          <w:rFonts w:cs="Calibri"/>
          <w:b/>
          <w:highlight w:val="green"/>
          <w:u w:val="single"/>
        </w:rPr>
        <w:t xml:space="preserve"> to the reactive power of fear. People</w:t>
      </w:r>
      <w:r w:rsidRPr="00496CF0">
        <w:rPr>
          <w:rFonts w:cs="Calibri"/>
          <w:b/>
          <w:u w:val="single"/>
        </w:rPr>
        <w:t xml:space="preserve"> are not in fact powerless, but are made to </w:t>
      </w:r>
      <w:r w:rsidRPr="00496CF0">
        <w:rPr>
          <w:rFonts w:cs="Calibri"/>
          <w:b/>
          <w:highlight w:val="green"/>
          <w:u w:val="single"/>
        </w:rPr>
        <w:t>feel powerless by the pervasiveness of the dominant social fantasy</w:t>
      </w:r>
      <w:r w:rsidRPr="00496CF0">
        <w:rPr>
          <w:rFonts w:cs="Calibri"/>
          <w:b/>
          <w:u w:val="single"/>
        </w:rPr>
        <w:t xml:space="preserve"> and of separation. </w:t>
      </w:r>
      <w:r w:rsidRPr="00496CF0">
        <w:rPr>
          <w:rFonts w:cs="Calibri"/>
          <w:b/>
          <w:highlight w:val="green"/>
          <w:u w:val="single"/>
        </w:rPr>
        <w:t>This yields a temptation to fall back on the</w:t>
      </w:r>
      <w:r w:rsidRPr="00496CF0">
        <w:rPr>
          <w:rFonts w:cs="Calibri"/>
          <w:b/>
          <w:u w:val="single"/>
        </w:rPr>
        <w:t xml:space="preserve"> power of ‘the </w:t>
      </w:r>
      <w:r w:rsidRPr="00496CF0">
        <w:rPr>
          <w:rFonts w:cs="Calibri"/>
          <w:b/>
          <w:highlight w:val="green"/>
          <w:u w:val="single"/>
        </w:rPr>
        <w:t>powerful’</w:t>
      </w:r>
      <w:r w:rsidRPr="00496CF0">
        <w:rPr>
          <w:rFonts w:cs="Calibri"/>
          <w:b/>
          <w:u w:val="single"/>
        </w:rPr>
        <w:t>, those who gain a kind of distorted agency through alienation.</w:t>
      </w:r>
      <w:r w:rsidRPr="00496CF0">
        <w:rPr>
          <w:rFonts w:cs="Calibri"/>
          <w:sz w:val="12"/>
        </w:rPr>
        <w:t xml:space="preserve"> But powerlessness and constituted power are both effects of alienation, which can be broken down by creating affinity-network forms of life. An emotional shift can thus be enough to </w:t>
      </w:r>
      <w:proofErr w:type="spellStart"/>
      <w:r w:rsidRPr="00496CF0">
        <w:rPr>
          <w:rFonts w:cs="Calibri"/>
          <w:sz w:val="12"/>
        </w:rPr>
        <w:t>revolutionise</w:t>
      </w:r>
      <w:proofErr w:type="spellEnd"/>
      <w:r w:rsidRPr="00496CF0">
        <w:rPr>
          <w:rFonts w:cs="Calibri"/>
          <w:sz w:val="12"/>
        </w:rPr>
        <w:t xml:space="preserve"> subjectivities. Hence, as </w:t>
      </w:r>
      <w:proofErr w:type="spellStart"/>
      <w:r w:rsidRPr="00496CF0">
        <w:rPr>
          <w:rFonts w:cs="Calibri"/>
          <w:sz w:val="12"/>
        </w:rPr>
        <w:t>Vaneigem</w:t>
      </w:r>
      <w:proofErr w:type="spellEnd"/>
      <w:r w:rsidRPr="00496CF0">
        <w:rPr>
          <w:rFonts w:cs="Calibri"/>
          <w:sz w:val="12"/>
        </w:rPr>
        <w:t xml:space="preserve"> argues, ‘[t]o work for delight and authentic festivity is barely distinguishable from preparing for a general insurrection’ (</w:t>
      </w:r>
      <w:proofErr w:type="spellStart"/>
      <w:r w:rsidRPr="00496CF0">
        <w:rPr>
          <w:rFonts w:cs="Calibri"/>
          <w:sz w:val="12"/>
        </w:rPr>
        <w:t>Vaneigem</w:t>
      </w:r>
      <w:proofErr w:type="spellEnd"/>
      <w:r w:rsidRPr="00496CF0">
        <w:rPr>
          <w:rFonts w:cs="Calibri"/>
          <w:sz w:val="12"/>
        </w:rPr>
        <w:t xml:space="preserve"> 1967: 50-1). It has been argued in utopian studies that fear and hope form part of a </w:t>
      </w:r>
      <w:proofErr w:type="spellStart"/>
      <w:r w:rsidRPr="00496CF0">
        <w:rPr>
          <w:rFonts w:cs="Calibri"/>
          <w:sz w:val="12"/>
        </w:rPr>
        <w:t>coxntinuum</w:t>
      </w:r>
      <w:proofErr w:type="spellEnd"/>
      <w:r w:rsidRPr="00496CF0">
        <w:rPr>
          <w:rFonts w:cs="Calibri"/>
          <w:sz w:val="12"/>
        </w:rPr>
        <w:t xml:space="preserve">, expressing ‘aspects of affective ambivalence’ connected to the indeterminacy of the future (McManus 2005). </w:t>
      </w:r>
      <w:r w:rsidRPr="00496CF0">
        <w:rPr>
          <w:rFonts w:cs="Calibri"/>
          <w:b/>
          <w:u w:val="single"/>
        </w:rPr>
        <w:t xml:space="preserve">The type of hope needed is active and immanent, brought into the present as a propulsive force rather than deferred to the future. Deleuze and </w:t>
      </w:r>
      <w:proofErr w:type="spellStart"/>
      <w:r w:rsidRPr="00496CF0">
        <w:rPr>
          <w:rFonts w:cs="Calibri"/>
          <w:b/>
          <w:u w:val="single"/>
        </w:rPr>
        <w:t>Guattari</w:t>
      </w:r>
      <w:proofErr w:type="spellEnd"/>
      <w:r w:rsidRPr="00496CF0">
        <w:rPr>
          <w:rFonts w:cs="Calibri"/>
          <w:b/>
          <w:u w:val="single"/>
        </w:rPr>
        <w:t xml:space="preserve"> use the term ‘absolute </w:t>
      </w:r>
      <w:proofErr w:type="spellStart"/>
      <w:r w:rsidRPr="00496CF0">
        <w:rPr>
          <w:rFonts w:cs="Calibri"/>
          <w:b/>
          <w:u w:val="single"/>
        </w:rPr>
        <w:t>deterritorialisation</w:t>
      </w:r>
      <w:proofErr w:type="spellEnd"/>
      <w:r w:rsidRPr="00496CF0">
        <w:rPr>
          <w:rFonts w:cs="Calibri"/>
          <w:b/>
          <w:u w:val="single"/>
        </w:rPr>
        <w:t>’ for this possibility.</w:t>
      </w:r>
      <w:r w:rsidRPr="00496CF0">
        <w:rPr>
          <w:rFonts w:cs="Calibri"/>
          <w:sz w:val="12"/>
        </w:rPr>
        <w:t xml:space="preserve"> In his work on conflict transformation, John Paul </w:t>
      </w:r>
      <w:proofErr w:type="spellStart"/>
      <w:r w:rsidRPr="00496CF0">
        <w:rPr>
          <w:rFonts w:cs="Calibri"/>
          <w:sz w:val="12"/>
        </w:rPr>
        <w:t>Lederach</w:t>
      </w:r>
      <w:proofErr w:type="spellEnd"/>
      <w:r w:rsidRPr="00496CF0">
        <w:rPr>
          <w:rFonts w:cs="Calibri"/>
          <w:sz w:val="12"/>
        </w:rPr>
        <w:t xml:space="preserve"> </w:t>
      </w:r>
      <w:proofErr w:type="spellStart"/>
      <w:r w:rsidRPr="00496CF0">
        <w:rPr>
          <w:rFonts w:cs="Calibri"/>
          <w:sz w:val="12"/>
        </w:rPr>
        <w:t>emphasises</w:t>
      </w:r>
      <w:proofErr w:type="spellEnd"/>
      <w:r w:rsidRPr="00496CF0">
        <w:rPr>
          <w:rFonts w:cs="Calibri"/>
          <w:sz w:val="12"/>
        </w:rPr>
        <w:t xml:space="preserve"> the need to turn negative energies into creative energies and </w:t>
      </w:r>
      <w:proofErr w:type="spellStart"/>
      <w:r w:rsidRPr="00496CF0">
        <w:rPr>
          <w:rFonts w:cs="Calibri"/>
          <w:sz w:val="12"/>
        </w:rPr>
        <w:t>mobilising</w:t>
      </w:r>
      <w:proofErr w:type="spellEnd"/>
      <w:r w:rsidRPr="00496CF0">
        <w:rPr>
          <w:rFonts w:cs="Calibri"/>
          <w:sz w:val="12"/>
        </w:rPr>
        <w:t xml:space="preserve"> hope against fear (</w:t>
      </w:r>
      <w:proofErr w:type="spellStart"/>
      <w:r w:rsidRPr="00496CF0">
        <w:rPr>
          <w:rFonts w:cs="Calibri"/>
          <w:sz w:val="12"/>
        </w:rPr>
        <w:t>Lederach</w:t>
      </w:r>
      <w:proofErr w:type="spellEnd"/>
      <w:r w:rsidRPr="00496CF0">
        <w:rPr>
          <w:rFonts w:cs="Calibri"/>
          <w:sz w:val="12"/>
        </w:rPr>
        <w:t xml:space="preserve"> and </w:t>
      </w:r>
      <w:proofErr w:type="spellStart"/>
      <w:r w:rsidRPr="00496CF0">
        <w:rPr>
          <w:rFonts w:cs="Calibri"/>
          <w:sz w:val="12"/>
        </w:rPr>
        <w:t>Maiese</w:t>
      </w:r>
      <w:proofErr w:type="spellEnd"/>
      <w:r w:rsidRPr="00496CF0">
        <w:rPr>
          <w:rFonts w:cs="Calibri"/>
          <w:sz w:val="12"/>
        </w:rPr>
        <w:t xml:space="preserve">, n.d.: 2-3; </w:t>
      </w:r>
      <w:proofErr w:type="spellStart"/>
      <w:r w:rsidRPr="00496CF0">
        <w:rPr>
          <w:rFonts w:cs="Calibri"/>
          <w:sz w:val="12"/>
        </w:rPr>
        <w:t>Lederach</w:t>
      </w:r>
      <w:proofErr w:type="spellEnd"/>
      <w:r w:rsidRPr="00496CF0">
        <w:rPr>
          <w:rFonts w:cs="Calibri"/>
          <w:sz w:val="12"/>
        </w:rPr>
        <w:t xml:space="preserve">, 2005). </w:t>
      </w:r>
      <w:r w:rsidRPr="00496CF0">
        <w:rPr>
          <w:rFonts w:cs="Calibri"/>
          <w:b/>
          <w:u w:val="single"/>
        </w:rPr>
        <w:t xml:space="preserve">How is this change in vital energies to be accomplished? Deleuze and </w:t>
      </w:r>
      <w:proofErr w:type="spellStart"/>
      <w:r w:rsidRPr="00496CF0">
        <w:rPr>
          <w:rFonts w:cs="Calibri"/>
          <w:b/>
          <w:u w:val="single"/>
        </w:rPr>
        <w:t>Guattari</w:t>
      </w:r>
      <w:proofErr w:type="spellEnd"/>
      <w:r w:rsidRPr="00496CF0">
        <w:rPr>
          <w:rFonts w:cs="Calibri"/>
          <w:b/>
          <w:u w:val="single"/>
        </w:rPr>
        <w:t xml:space="preserve"> invoke a figure of the shaman as a way to overcome reactive energies</w:t>
      </w:r>
      <w:r w:rsidRPr="00496CF0">
        <w:rPr>
          <w:rFonts w:cs="Calibri"/>
          <w:sz w:val="12"/>
        </w:rPr>
        <w:t xml:space="preserve"> (1983: 167-8). </w:t>
      </w:r>
      <w:r w:rsidRPr="00496CF0">
        <w:rPr>
          <w:rFonts w:cs="Calibri"/>
          <w:b/>
          <w:u w:val="single"/>
        </w:rPr>
        <w:t xml:space="preserve">They call for </w:t>
      </w:r>
      <w:r w:rsidRPr="00496CF0">
        <w:rPr>
          <w:rFonts w:cs="Calibri"/>
          <w:b/>
          <w:highlight w:val="green"/>
          <w:u w:val="single"/>
        </w:rPr>
        <w:t>a</w:t>
      </w:r>
      <w:r w:rsidRPr="00496CF0">
        <w:rPr>
          <w:rFonts w:cs="Calibri"/>
          <w:b/>
          <w:u w:val="single"/>
        </w:rPr>
        <w:t xml:space="preserve"> type of </w:t>
      </w:r>
      <w:r w:rsidRPr="00496CF0">
        <w:rPr>
          <w:rFonts w:cs="Calibri"/>
          <w:b/>
          <w:highlight w:val="green"/>
          <w:u w:val="single"/>
        </w:rPr>
        <w:t>revolutionary social movement</w:t>
      </w:r>
      <w:r w:rsidRPr="00496CF0">
        <w:rPr>
          <w:rFonts w:cs="Calibri"/>
          <w:b/>
          <w:u w:val="single"/>
        </w:rPr>
        <w:t xml:space="preserve"> ‘that </w:t>
      </w:r>
      <w:r w:rsidRPr="00496CF0">
        <w:rPr>
          <w:rFonts w:cs="Calibri"/>
          <w:b/>
          <w:highlight w:val="green"/>
          <w:u w:val="single"/>
        </w:rPr>
        <w:t>follows the lines of escape of desire</w:t>
      </w:r>
      <w:r w:rsidRPr="00496CF0">
        <w:rPr>
          <w:rFonts w:cs="Calibri"/>
          <w:b/>
          <w:u w:val="single"/>
        </w:rPr>
        <w:t xml:space="preserve">; breaches the wall </w:t>
      </w:r>
      <w:r w:rsidRPr="00496CF0">
        <w:rPr>
          <w:rFonts w:cs="Calibri"/>
          <w:b/>
          <w:highlight w:val="green"/>
          <w:u w:val="single"/>
        </w:rPr>
        <w:t>and causes flows to move</w:t>
      </w:r>
      <w:r w:rsidRPr="00496CF0">
        <w:rPr>
          <w:rFonts w:cs="Calibri"/>
          <w:b/>
          <w:u w:val="single"/>
        </w:rPr>
        <w:t xml:space="preserve">; assembles its machines and its groups-in-fusion in the enclaves or at the periphery’, </w:t>
      </w:r>
      <w:r w:rsidRPr="00496CF0">
        <w:rPr>
          <w:rFonts w:cs="Calibri"/>
          <w:b/>
          <w:highlight w:val="green"/>
          <w:u w:val="single"/>
        </w:rPr>
        <w:t>countering reactive energies</w:t>
      </w:r>
      <w:r w:rsidRPr="00496CF0">
        <w:rPr>
          <w:rFonts w:cs="Calibri"/>
          <w:sz w:val="12"/>
        </w:rPr>
        <w:t xml:space="preserve"> (ibid. 277). </w:t>
      </w:r>
      <w:r w:rsidRPr="00496CF0">
        <w:rPr>
          <w:rFonts w:cs="Calibri"/>
          <w:sz w:val="12"/>
          <w:szCs w:val="12"/>
        </w:rPr>
        <w:t xml:space="preserve">In looking at how this might operate in practice, let us examine briefly the Colombian feminist anti-militarist group La </w:t>
      </w:r>
      <w:proofErr w:type="spellStart"/>
      <w:r w:rsidRPr="00496CF0">
        <w:rPr>
          <w:rFonts w:cs="Calibri"/>
          <w:sz w:val="12"/>
          <w:szCs w:val="12"/>
        </w:rPr>
        <w:t>Ruta</w:t>
      </w:r>
      <w:proofErr w:type="spellEnd"/>
      <w:r w:rsidRPr="00496CF0">
        <w:rPr>
          <w:rFonts w:cs="Calibri"/>
          <w:sz w:val="12"/>
          <w:szCs w:val="12"/>
        </w:rPr>
        <w:t xml:space="preserve"> Pacifica de las </w:t>
      </w:r>
      <w:proofErr w:type="spellStart"/>
      <w:r w:rsidRPr="00496CF0">
        <w:rPr>
          <w:rFonts w:cs="Calibri"/>
          <w:sz w:val="12"/>
          <w:szCs w:val="12"/>
        </w:rPr>
        <w:t>Mujeres</w:t>
      </w:r>
      <w:proofErr w:type="spellEnd"/>
      <w:r w:rsidRPr="00496CF0">
        <w:rPr>
          <w:rFonts w:cs="Calibri"/>
          <w:sz w:val="12"/>
          <w:szCs w:val="12"/>
        </w:rPr>
        <w:t xml:space="preserve">. In particular, the aspects of social weaving and collective mourning prominent in their methodology are crucial forms of creative shamanism, which turns fear into hope. Their approach involves ‘the deconstruction of the pervasive symbolism of violence and war and the substitution of a new visual and textual language and creative rituals’ (Cockburn, 2005: 14; Brouwer, 2008: 62). Weaving as a metaphor refers to social </w:t>
      </w:r>
      <w:proofErr w:type="spellStart"/>
      <w:r w:rsidRPr="00496CF0">
        <w:rPr>
          <w:rFonts w:cs="Calibri"/>
          <w:sz w:val="12"/>
          <w:szCs w:val="12"/>
        </w:rPr>
        <w:t>recomposition</w:t>
      </w:r>
      <w:proofErr w:type="spellEnd"/>
      <w:r w:rsidRPr="00496CF0">
        <w:rPr>
          <w:rFonts w:cs="Calibri"/>
          <w:sz w:val="12"/>
          <w:szCs w:val="12"/>
        </w:rPr>
        <w:t>,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w:t>
      </w:r>
      <w:r w:rsidRPr="00496CF0">
        <w:rPr>
          <w:rFonts w:cs="Calibri"/>
          <w:sz w:val="12"/>
        </w:rPr>
        <w:t xml:space="preserve"> (Colorado, 2003). La </w:t>
      </w:r>
      <w:proofErr w:type="spellStart"/>
      <w:r w:rsidRPr="00496CF0">
        <w:rPr>
          <w:rFonts w:cs="Calibri"/>
          <w:sz w:val="12"/>
        </w:rPr>
        <w:t>Ruta</w:t>
      </w:r>
      <w:proofErr w:type="spellEnd"/>
      <w:r w:rsidRPr="00496CF0">
        <w:rPr>
          <w:rFonts w:cs="Calibri"/>
          <w:sz w:val="12"/>
        </w:rPr>
        <w:t xml:space="preserve"> seek to create new combinations of cognitive and emotional elements strong enough to disrupt dominant monologues (Cockburn, 2005: 14). Weaving reconstructs social connections and life-cycles, and thereby enhances wellbeing (ibid. 15). Participants recount inner strength and physical recovery as effects of such rituals (Brouwer, 2008: 85). </w:t>
      </w:r>
      <w:r w:rsidRPr="00496CF0">
        <w:rPr>
          <w:rFonts w:cs="Calibri"/>
          <w:b/>
          <w:u w:val="single"/>
        </w:rPr>
        <w:t xml:space="preserve">Hence, it is in open spaces, safe spaces, and spaces of dialogue that hope can be found to counter the spiral of terror. This opening of space, </w:t>
      </w:r>
      <w:r w:rsidRPr="00496CF0">
        <w:rPr>
          <w:rFonts w:cs="Calibri"/>
          <w:b/>
          <w:highlight w:val="green"/>
          <w:u w:val="single"/>
        </w:rPr>
        <w:t xml:space="preserve">this </w:t>
      </w:r>
      <w:r w:rsidRPr="00496CF0">
        <w:rPr>
          <w:rFonts w:cs="Calibri"/>
          <w:b/>
          <w:u w:val="single"/>
        </w:rPr>
        <w:t xml:space="preserve">creation of autonomous zones, should be viewed as a </w:t>
      </w:r>
      <w:r w:rsidRPr="00496CF0">
        <w:rPr>
          <w:rFonts w:cs="Calibri"/>
          <w:b/>
          <w:highlight w:val="green"/>
          <w:u w:val="single"/>
        </w:rPr>
        <w:t>break with the majoritarian logics of social control</w:t>
      </w:r>
      <w:r w:rsidRPr="00496CF0">
        <w:rPr>
          <w:rFonts w:cs="Calibri"/>
          <w:b/>
          <w:u w:val="single"/>
        </w:rPr>
        <w:t xml:space="preserve">. The coming ‘other worlds’ </w:t>
      </w:r>
      <w:proofErr w:type="spellStart"/>
      <w:r w:rsidRPr="00496CF0">
        <w:rPr>
          <w:rFonts w:cs="Calibri"/>
          <w:b/>
          <w:u w:val="single"/>
        </w:rPr>
        <w:t>counterposed</w:t>
      </w:r>
      <w:proofErr w:type="spellEnd"/>
      <w:r w:rsidRPr="00496CF0">
        <w:rPr>
          <w:rFonts w:cs="Calibri"/>
          <w:b/>
          <w:u w:val="single"/>
        </w:rPr>
        <w:t xml:space="preserve"> to the spaces of terror are not an integrated ‘new order’, but rather, a proliferation of smooth spaces in a horizontality without borders. These ‘other worlds’ are being built unconsciously, wherever networks, affinity and hope </w:t>
      </w:r>
      <w:proofErr w:type="spellStart"/>
      <w:r w:rsidRPr="00496CF0">
        <w:rPr>
          <w:rFonts w:cs="Calibri"/>
          <w:b/>
          <w:u w:val="single"/>
        </w:rPr>
        <w:t>counterpose</w:t>
      </w:r>
      <w:proofErr w:type="spellEnd"/>
      <w:r w:rsidRPr="00496CF0">
        <w:rPr>
          <w:rFonts w:cs="Calibri"/>
          <w:b/>
          <w:u w:val="single"/>
        </w:rPr>
        <w:t xml:space="preserve"> themselves to state terror and the desire for fixed identity be it national, ethnic, religious or cultural.</w:t>
      </w:r>
      <w:r w:rsidRPr="00496CF0">
        <w:rPr>
          <w:rFonts w:cs="Calibri"/>
          <w:sz w:val="12"/>
        </w:rPr>
        <w:t xml:space="preserve"> It is in the incommensurable antagonism between the autonomous zones of these ‘other worlds’ and the terror state’s demands for controlled spaces to serve capital, that the nexus of the conflicts of the present and near-future lies. And interestingly, there is also a certain active/reactive difference between state responses in the Turkey and Brazil protests of June 2013.</w:t>
      </w:r>
    </w:p>
    <w:p w:rsidR="002D1B41" w:rsidRPr="00496CF0" w:rsidRDefault="002D1B41" w:rsidP="002D1B41">
      <w:pPr>
        <w:rPr>
          <w:rFonts w:cs="Calibri"/>
        </w:rPr>
      </w:pPr>
    </w:p>
    <w:p w:rsidR="002D1B41" w:rsidRPr="00496CF0" w:rsidRDefault="002D1B41" w:rsidP="002D1B41">
      <w:pPr>
        <w:pStyle w:val="Heading4"/>
        <w:rPr>
          <w:rFonts w:cs="Calibri"/>
        </w:rPr>
      </w:pPr>
      <w:r w:rsidRPr="00496CF0">
        <w:rPr>
          <w:rFonts w:cs="Calibri"/>
        </w:rPr>
        <w:t>Thus, the standard</w:t>
      </w:r>
      <w:r>
        <w:rPr>
          <w:rFonts w:cs="Calibri"/>
        </w:rPr>
        <w:t xml:space="preserve"> and </w:t>
      </w:r>
      <w:r w:rsidRPr="00496CF0">
        <w:rPr>
          <w:rFonts w:cs="Calibri"/>
        </w:rPr>
        <w:t xml:space="preserve">role of the ballot is to embrace active desire. Modern education is structured by majoritarian thought that reproduces dominant hierarchies – the school is made to capture difference and make it measurable, killing possibilities for resistance. </w:t>
      </w:r>
    </w:p>
    <w:p w:rsidR="002D1B41" w:rsidRPr="00496CF0" w:rsidRDefault="002D1B41" w:rsidP="002D1B41">
      <w:pPr>
        <w:pStyle w:val="Heading4"/>
        <w:rPr>
          <w:rFonts w:cs="Calibri"/>
        </w:rPr>
      </w:pPr>
      <w:r w:rsidRPr="00496CF0">
        <w:rPr>
          <w:rFonts w:cs="Calibri"/>
        </w:rPr>
        <w:t xml:space="preserve">Carlin and </w:t>
      </w:r>
      <w:proofErr w:type="spellStart"/>
      <w:r w:rsidRPr="00496CF0">
        <w:rPr>
          <w:rFonts w:cs="Calibri"/>
        </w:rPr>
        <w:t>Wallin</w:t>
      </w:r>
      <w:proofErr w:type="spellEnd"/>
      <w:r w:rsidRPr="00496CF0">
        <w:rPr>
          <w:rFonts w:cs="Calibri"/>
        </w:rPr>
        <w:t xml:space="preserve"> 14</w:t>
      </w:r>
    </w:p>
    <w:p w:rsidR="002D1B41" w:rsidRPr="00496CF0" w:rsidRDefault="002D1B41" w:rsidP="002D1B41">
      <w:pPr>
        <w:pStyle w:val="NoSpacing"/>
        <w:rPr>
          <w:rFonts w:cs="Calibri"/>
        </w:rPr>
      </w:pPr>
      <w:r w:rsidRPr="00496CF0">
        <w:rPr>
          <w:rFonts w:cs="Calibri"/>
          <w:sz w:val="16"/>
          <w:szCs w:val="16"/>
        </w:rPr>
        <w:t xml:space="preserve">[Carlin, Matthew. </w:t>
      </w:r>
      <w:proofErr w:type="spellStart"/>
      <w:r w:rsidRPr="00496CF0">
        <w:rPr>
          <w:rFonts w:cs="Calibri"/>
          <w:sz w:val="16"/>
          <w:szCs w:val="16"/>
        </w:rPr>
        <w:t>Wallin</w:t>
      </w:r>
      <w:proofErr w:type="spellEnd"/>
      <w:r w:rsidRPr="00496CF0">
        <w:rPr>
          <w:rFonts w:cs="Calibri"/>
          <w:sz w:val="16"/>
          <w:szCs w:val="16"/>
        </w:rPr>
        <w:t xml:space="preserve">, Jason. “Deleuze &amp; </w:t>
      </w:r>
      <w:proofErr w:type="spellStart"/>
      <w:r w:rsidRPr="00496CF0">
        <w:rPr>
          <w:rFonts w:cs="Calibri"/>
          <w:sz w:val="16"/>
          <w:szCs w:val="16"/>
        </w:rPr>
        <w:t>Guattari</w:t>
      </w:r>
      <w:proofErr w:type="spellEnd"/>
      <w:r w:rsidRPr="00496CF0">
        <w:rPr>
          <w:rFonts w:cs="Calibri"/>
          <w:sz w:val="16"/>
          <w:szCs w:val="16"/>
        </w:rPr>
        <w:t>, Politics and Education.” Bloomsbury. 2014. Pg. 119-121] MK</w:t>
      </w:r>
    </w:p>
    <w:p w:rsidR="002D1B41" w:rsidRDefault="002D1B41" w:rsidP="002D1B41">
      <w:pPr>
        <w:spacing w:line="240" w:lineRule="auto"/>
        <w:rPr>
          <w:rFonts w:eastAsia="Georgia" w:cs="Calibri"/>
          <w:color w:val="000000" w:themeColor="text1"/>
          <w:sz w:val="12"/>
          <w:szCs w:val="12"/>
        </w:rPr>
      </w:pPr>
      <w:r w:rsidRPr="00496CF0">
        <w:rPr>
          <w:rFonts w:eastAsia="Georgia" w:cs="Calibri"/>
          <w:color w:val="000000" w:themeColor="text1"/>
          <w:sz w:val="12"/>
          <w:szCs w:val="12"/>
        </w:rPr>
        <w:t>As a social machine through which ‘</w:t>
      </w:r>
      <w:proofErr w:type="spellStart"/>
      <w:r w:rsidRPr="00496CF0">
        <w:rPr>
          <w:rFonts w:eastAsia="Georgia" w:cs="Calibri"/>
          <w:color w:val="000000" w:themeColor="text1"/>
          <w:sz w:val="12"/>
          <w:szCs w:val="12"/>
        </w:rPr>
        <w:t>labour</w:t>
      </w:r>
      <w:proofErr w:type="spellEnd"/>
      <w:r w:rsidRPr="00496CF0">
        <w:rPr>
          <w:rFonts w:eastAsia="Georgia" w:cs="Calibri"/>
          <w:color w:val="000000" w:themeColor="text1"/>
          <w:sz w:val="12"/>
          <w:szCs w:val="12"/>
        </w:rPr>
        <w:t xml:space="preserve"> power and the </w:t>
      </w:r>
      <w:proofErr w:type="spellStart"/>
      <w:r w:rsidRPr="00496CF0">
        <w:rPr>
          <w:rFonts w:eastAsia="Georgia" w:cs="Calibri"/>
          <w:color w:val="000000" w:themeColor="text1"/>
          <w:sz w:val="12"/>
          <w:szCs w:val="12"/>
        </w:rPr>
        <w:t>socius</w:t>
      </w:r>
      <w:proofErr w:type="spellEnd"/>
      <w:r w:rsidRPr="00496CF0">
        <w:rPr>
          <w:rFonts w:eastAsia="Georgia" w:cs="Calibri"/>
          <w:color w:val="000000" w:themeColor="text1"/>
          <w:sz w:val="12"/>
          <w:szCs w:val="12"/>
        </w:rPr>
        <w:t xml:space="preserve"> as a whole is manufactured’, schooling figures in the production of social territories that already anticipate a certain kind of people (</w:t>
      </w:r>
      <w:proofErr w:type="spellStart"/>
      <w:r w:rsidRPr="00496CF0">
        <w:rPr>
          <w:rFonts w:eastAsia="Georgia" w:cs="Calibri"/>
          <w:color w:val="000000" w:themeColor="text1"/>
          <w:sz w:val="12"/>
          <w:szCs w:val="12"/>
        </w:rPr>
        <w:t>Guattari</w:t>
      </w:r>
      <w:proofErr w:type="spellEnd"/>
      <w:r w:rsidRPr="00496CF0">
        <w:rPr>
          <w:rFonts w:eastAsia="Georgia" w:cs="Calibri"/>
          <w:color w:val="000000" w:themeColor="text1"/>
          <w:sz w:val="12"/>
          <w:szCs w:val="12"/>
        </w:rPr>
        <w:t xml:space="preserve">, 2009, p. 47). And what kind of people does orthodox schooling seek to produce but a ‘molar public’, or, rather, a public regulated in the abstract image of </w:t>
      </w:r>
      <w:proofErr w:type="spellStart"/>
      <w:r w:rsidRPr="00496CF0">
        <w:rPr>
          <w:rFonts w:eastAsia="Georgia" w:cs="Calibri"/>
          <w:color w:val="000000" w:themeColor="text1"/>
          <w:sz w:val="12"/>
          <w:szCs w:val="12"/>
        </w:rPr>
        <w:t>segmentary</w:t>
      </w:r>
      <w:proofErr w:type="spellEnd"/>
      <w:r w:rsidRPr="00496CF0">
        <w:rPr>
          <w:rFonts w:eastAsia="Georgia" w:cs="Calibri"/>
          <w:color w:val="000000" w:themeColor="text1"/>
          <w:sz w:val="12"/>
          <w:szCs w:val="12"/>
        </w:rPr>
        <w:t xml:space="preserve"> social categories (age, gender, ethnicity, class, rank, achievement) (Deleuze and </w:t>
      </w:r>
      <w:proofErr w:type="spellStart"/>
      <w:r w:rsidRPr="00496CF0">
        <w:rPr>
          <w:rFonts w:eastAsia="Georgia" w:cs="Calibri"/>
          <w:color w:val="000000" w:themeColor="text1"/>
          <w:sz w:val="12"/>
          <w:szCs w:val="12"/>
        </w:rPr>
        <w:t>Guattari</w:t>
      </w:r>
      <w:proofErr w:type="spellEnd"/>
      <w:r w:rsidRPr="00496CF0">
        <w:rPr>
          <w:rFonts w:eastAsia="Georgia" w:cs="Calibri"/>
          <w:color w:val="000000" w:themeColor="text1"/>
          <w:sz w:val="12"/>
          <w:szCs w:val="12"/>
        </w:rPr>
        <w:t xml:space="preserve">, 1987)? Such an aspiration is intimately wed to the territorializing powers of the State, for as Deleuze and </w:t>
      </w:r>
      <w:proofErr w:type="spellStart"/>
      <w:r w:rsidRPr="00496CF0">
        <w:rPr>
          <w:rFonts w:eastAsia="Georgia" w:cs="Calibri"/>
          <w:color w:val="000000" w:themeColor="text1"/>
          <w:sz w:val="12"/>
          <w:szCs w:val="12"/>
        </w:rPr>
        <w:t>Guattari</w:t>
      </w:r>
      <w:proofErr w:type="spellEnd"/>
      <w:r w:rsidRPr="00496CF0">
        <w:rPr>
          <w:rFonts w:eastAsia="Georgia" w:cs="Calibri"/>
          <w:color w:val="000000" w:themeColor="text1"/>
          <w:sz w:val="12"/>
          <w:szCs w:val="12"/>
        </w:rPr>
        <w:t xml:space="preserve"> argue (1983), State power first requires a ‘representational subject’ as both an abstract and unconscious model in relation to which one is taught to desire. As </w:t>
      </w:r>
      <w:proofErr w:type="spellStart"/>
      <w:r w:rsidRPr="00496CF0">
        <w:rPr>
          <w:rFonts w:eastAsia="Georgia" w:cs="Calibri"/>
          <w:color w:val="000000" w:themeColor="text1"/>
          <w:sz w:val="12"/>
          <w:szCs w:val="12"/>
        </w:rPr>
        <w:t>Massumi</w:t>
      </w:r>
      <w:proofErr w:type="spellEnd"/>
      <w:r w:rsidRPr="00496CF0">
        <w:rPr>
          <w:rFonts w:eastAsia="Georgia" w:cs="Calibri"/>
          <w:color w:val="000000" w:themeColor="text1"/>
          <w:sz w:val="12"/>
          <w:szCs w:val="12"/>
        </w:rPr>
        <w:t xml:space="preserve"> (2002) writes, </w:t>
      </w:r>
      <w:r w:rsidRPr="00496CF0">
        <w:rPr>
          <w:rFonts w:eastAsia="Georgia" w:cs="Calibri"/>
          <w:color w:val="000000" w:themeColor="text1"/>
        </w:rPr>
        <w:t>‘</w:t>
      </w:r>
      <w:r w:rsidRPr="00496CF0">
        <w:rPr>
          <w:rFonts w:eastAsia="Georgia" w:cs="Calibri"/>
          <w:b/>
          <w:bCs/>
          <w:color w:val="000000" w:themeColor="text1"/>
          <w:highlight w:val="green"/>
          <w:u w:val="single"/>
        </w:rPr>
        <w:t>the subject is made to</w:t>
      </w:r>
      <w:r w:rsidRPr="00496CF0">
        <w:rPr>
          <w:rFonts w:eastAsia="Georgia" w:cs="Calibri"/>
          <w:b/>
          <w:bCs/>
          <w:color w:val="000000" w:themeColor="text1"/>
          <w:u w:val="single"/>
        </w:rPr>
        <w:t xml:space="preserve"> be in </w:t>
      </w:r>
      <w:r w:rsidRPr="00496CF0">
        <w:rPr>
          <w:rFonts w:eastAsia="Georgia" w:cs="Calibri"/>
          <w:b/>
          <w:bCs/>
          <w:color w:val="000000" w:themeColor="text1"/>
          <w:highlight w:val="green"/>
          <w:u w:val="single"/>
        </w:rPr>
        <w:t>conform</w:t>
      </w:r>
      <w:r w:rsidRPr="00496CF0">
        <w:rPr>
          <w:rFonts w:eastAsia="Georgia" w:cs="Calibri"/>
          <w:b/>
          <w:bCs/>
          <w:color w:val="000000" w:themeColor="text1"/>
          <w:u w:val="single"/>
        </w:rPr>
        <w:t xml:space="preserve">ity </w:t>
      </w:r>
      <w:r w:rsidRPr="00496CF0">
        <w:rPr>
          <w:rFonts w:eastAsia="Georgia" w:cs="Calibri"/>
          <w:b/>
          <w:bCs/>
          <w:color w:val="000000" w:themeColor="text1"/>
          <w:highlight w:val="green"/>
          <w:u w:val="single"/>
        </w:rPr>
        <w:t xml:space="preserve">with </w:t>
      </w:r>
      <w:r w:rsidRPr="00496CF0">
        <w:rPr>
          <w:rFonts w:eastAsia="Georgia" w:cs="Calibri"/>
          <w:b/>
          <w:bCs/>
          <w:color w:val="000000" w:themeColor="text1"/>
          <w:u w:val="single"/>
        </w:rPr>
        <w:t xml:space="preserve">the </w:t>
      </w:r>
      <w:r w:rsidRPr="00496CF0">
        <w:rPr>
          <w:rFonts w:eastAsia="Georgia" w:cs="Calibri"/>
          <w:b/>
          <w:bCs/>
          <w:color w:val="000000" w:themeColor="text1"/>
          <w:highlight w:val="green"/>
          <w:u w:val="single"/>
        </w:rPr>
        <w:t>systems that produces it</w:t>
      </w:r>
      <w:r w:rsidRPr="00496CF0">
        <w:rPr>
          <w:rFonts w:eastAsia="Georgia" w:cs="Calibri"/>
          <w:b/>
          <w:bCs/>
          <w:color w:val="000000" w:themeColor="text1"/>
          <w:u w:val="single"/>
        </w:rPr>
        <w:t>, such that the subject reproduces the system’</w:t>
      </w:r>
      <w:r w:rsidRPr="00496CF0">
        <w:rPr>
          <w:rFonts w:eastAsia="Georgia" w:cs="Calibri"/>
          <w:color w:val="000000" w:themeColor="text1"/>
        </w:rPr>
        <w:t xml:space="preserve"> </w:t>
      </w:r>
      <w:r w:rsidRPr="00496CF0">
        <w:rPr>
          <w:rFonts w:eastAsia="Georgia" w:cs="Calibri"/>
          <w:color w:val="000000" w:themeColor="text1"/>
          <w:sz w:val="12"/>
          <w:szCs w:val="12"/>
        </w:rPr>
        <w:t>(p. 6). Where</w:t>
      </w:r>
      <w:r w:rsidRPr="00496CF0">
        <w:rPr>
          <w:rFonts w:eastAsia="Georgia" w:cs="Calibri"/>
          <w:color w:val="000000" w:themeColor="text1"/>
        </w:rPr>
        <w:t xml:space="preserve"> </w:t>
      </w:r>
      <w:r w:rsidRPr="00496CF0">
        <w:rPr>
          <w:rFonts w:eastAsia="Georgia" w:cs="Calibri"/>
          <w:b/>
          <w:bCs/>
          <w:color w:val="000000" w:themeColor="text1"/>
          <w:highlight w:val="green"/>
          <w:u w:val="single"/>
        </w:rPr>
        <w:t>education has</w:t>
      </w:r>
      <w:r w:rsidRPr="00496CF0">
        <w:rPr>
          <w:rFonts w:eastAsia="Georgia" w:cs="Calibri"/>
          <w:b/>
          <w:bCs/>
          <w:color w:val="000000" w:themeColor="text1"/>
          <w:u w:val="single"/>
        </w:rPr>
        <w:t xml:space="preserve"> historically </w:t>
      </w:r>
      <w:r w:rsidRPr="00496CF0">
        <w:rPr>
          <w:rFonts w:eastAsia="Georgia" w:cs="Calibri"/>
          <w:b/>
          <w:bCs/>
          <w:color w:val="000000" w:themeColor="text1"/>
          <w:highlight w:val="green"/>
          <w:u w:val="single"/>
        </w:rPr>
        <w:t>functioned to regulate</w:t>
      </w:r>
      <w:r w:rsidRPr="00496CF0">
        <w:rPr>
          <w:rFonts w:eastAsia="Georgia" w:cs="Calibri"/>
          <w:b/>
          <w:bCs/>
          <w:color w:val="000000" w:themeColor="text1"/>
          <w:u w:val="single"/>
        </w:rPr>
        <w:t xml:space="preserve"> institutional </w:t>
      </w:r>
      <w:r w:rsidRPr="00496CF0">
        <w:rPr>
          <w:rFonts w:eastAsia="Georgia" w:cs="Calibri"/>
          <w:b/>
          <w:bCs/>
          <w:color w:val="000000" w:themeColor="text1"/>
          <w:highlight w:val="green"/>
          <w:u w:val="single"/>
        </w:rPr>
        <w:t>life according to</w:t>
      </w:r>
      <w:r w:rsidRPr="00496CF0">
        <w:rPr>
          <w:rFonts w:eastAsia="Georgia" w:cs="Calibri"/>
          <w:b/>
          <w:bCs/>
          <w:color w:val="000000" w:themeColor="text1"/>
          <w:u w:val="single"/>
        </w:rPr>
        <w:t xml:space="preserve"> such </w:t>
      </w:r>
      <w:proofErr w:type="spellStart"/>
      <w:r w:rsidRPr="00496CF0">
        <w:rPr>
          <w:rFonts w:eastAsia="Georgia" w:cs="Calibri"/>
          <w:b/>
          <w:bCs/>
          <w:color w:val="000000" w:themeColor="text1"/>
          <w:u w:val="single"/>
        </w:rPr>
        <w:t>segmentary</w:t>
      </w:r>
      <w:proofErr w:type="spellEnd"/>
      <w:r w:rsidRPr="00496CF0">
        <w:rPr>
          <w:rFonts w:eastAsia="Georgia" w:cs="Calibri"/>
          <w:b/>
          <w:bCs/>
          <w:color w:val="000000" w:themeColor="text1"/>
          <w:u w:val="single"/>
        </w:rPr>
        <w:t xml:space="preserve"> molar codes, </w:t>
      </w:r>
      <w:r w:rsidRPr="00496CF0">
        <w:rPr>
          <w:rFonts w:eastAsia="Georgia" w:cs="Calibri"/>
          <w:b/>
          <w:bCs/>
          <w:color w:val="000000" w:themeColor="text1"/>
          <w:highlight w:val="green"/>
          <w:u w:val="single"/>
        </w:rPr>
        <w:t xml:space="preserve">its </w:t>
      </w:r>
      <w:r w:rsidRPr="00496CF0">
        <w:rPr>
          <w:rFonts w:eastAsia="Georgia" w:cs="Calibri"/>
          <w:color w:val="000000" w:themeColor="text1"/>
          <w:sz w:val="12"/>
          <w:szCs w:val="12"/>
        </w:rPr>
        <w:t>modes of production have taken as their teleological</w:t>
      </w:r>
      <w:r w:rsidRPr="00496CF0">
        <w:rPr>
          <w:rFonts w:eastAsia="Georgia" w:cs="Calibri"/>
          <w:color w:val="000000" w:themeColor="text1"/>
        </w:rPr>
        <w:t xml:space="preserve"> </w:t>
      </w:r>
      <w:r w:rsidRPr="00496CF0">
        <w:rPr>
          <w:rFonts w:eastAsia="Georgia" w:cs="Calibri"/>
          <w:b/>
          <w:bCs/>
          <w:color w:val="000000" w:themeColor="text1"/>
          <w:highlight w:val="green"/>
          <w:u w:val="single"/>
        </w:rPr>
        <w:t>goal</w:t>
      </w:r>
      <w:r w:rsidRPr="00496CF0">
        <w:rPr>
          <w:rFonts w:eastAsia="Georgia" w:cs="Calibri"/>
          <w:color w:val="000000" w:themeColor="text1"/>
          <w:highlight w:val="green"/>
        </w:rPr>
        <w:t xml:space="preserve"> </w:t>
      </w:r>
      <w:r w:rsidRPr="00496CF0">
        <w:rPr>
          <w:rFonts w:eastAsia="Georgia" w:cs="Calibri"/>
          <w:color w:val="000000" w:themeColor="text1"/>
          <w:sz w:val="12"/>
          <w:szCs w:val="12"/>
        </w:rPr>
        <w:t xml:space="preserve">the </w:t>
      </w:r>
      <w:r w:rsidRPr="00496CF0">
        <w:rPr>
          <w:rFonts w:eastAsia="Georgia" w:cs="Calibri"/>
          <w:b/>
          <w:bCs/>
          <w:color w:val="000000" w:themeColor="text1"/>
          <w:u w:val="single"/>
        </w:rPr>
        <w:t xml:space="preserve">production </w:t>
      </w:r>
      <w:r w:rsidRPr="00496CF0">
        <w:rPr>
          <w:rFonts w:eastAsia="Georgia" w:cs="Calibri"/>
          <w:b/>
          <w:bCs/>
          <w:color w:val="000000" w:themeColor="text1"/>
          <w:highlight w:val="green"/>
          <w:u w:val="single"/>
        </w:rPr>
        <w:t>of a ‘majoritarian people’</w:t>
      </w:r>
      <w:r w:rsidRPr="00496CF0">
        <w:rPr>
          <w:rFonts w:eastAsia="Georgia" w:cs="Calibri"/>
          <w:color w:val="000000" w:themeColor="text1"/>
        </w:rPr>
        <w:t>,</w:t>
      </w:r>
      <w:r w:rsidRPr="00496CF0">
        <w:rPr>
          <w:rFonts w:eastAsia="Georgia" w:cs="Calibri"/>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496CF0">
        <w:rPr>
          <w:rFonts w:eastAsia="Georgia" w:cs="Calibri"/>
          <w:color w:val="000000" w:themeColor="text1"/>
        </w:rPr>
        <w:t xml:space="preserve"> </w:t>
      </w:r>
      <w:r w:rsidRPr="00496CF0">
        <w:rPr>
          <w:rFonts w:eastAsia="Georgia" w:cs="Calibri"/>
          <w:b/>
          <w:bCs/>
          <w:color w:val="000000" w:themeColor="text1"/>
          <w:u w:val="single"/>
        </w:rPr>
        <w:t>education aspires to invest desire in the</w:t>
      </w:r>
      <w:r w:rsidRPr="00496CF0">
        <w:rPr>
          <w:rFonts w:eastAsia="Georgia" w:cs="Calibri"/>
          <w:color w:val="000000" w:themeColor="text1"/>
        </w:rPr>
        <w:t xml:space="preserve"> </w:t>
      </w:r>
      <w:r w:rsidRPr="00496CF0">
        <w:rPr>
          <w:rFonts w:eastAsia="Georgia" w:cs="Calibri"/>
          <w:color w:val="000000" w:themeColor="text1"/>
          <w:sz w:val="12"/>
          <w:szCs w:val="12"/>
        </w:rPr>
        <w:t>production of a ‘</w:t>
      </w:r>
      <w:r w:rsidRPr="00496CF0">
        <w:rPr>
          <w:rFonts w:eastAsia="Georgia" w:cs="Calibri"/>
          <w:b/>
          <w:bCs/>
          <w:color w:val="000000" w:themeColor="text1"/>
          <w:u w:val="single"/>
        </w:rPr>
        <w:t>majoritarian’</w:t>
      </w:r>
      <w:r w:rsidRPr="00496CF0">
        <w:rPr>
          <w:rFonts w:eastAsia="Georgia" w:cs="Calibri"/>
          <w:color w:val="000000" w:themeColor="text1"/>
          <w:sz w:val="12"/>
          <w:szCs w:val="12"/>
        </w:rPr>
        <w:t xml:space="preserve"> or ‘molar’</w:t>
      </w:r>
      <w:r w:rsidRPr="00496CF0">
        <w:rPr>
          <w:rFonts w:eastAsia="Georgia" w:cs="Calibri"/>
          <w:color w:val="000000" w:themeColor="text1"/>
        </w:rPr>
        <w:t xml:space="preserve"> </w:t>
      </w:r>
      <w:r w:rsidRPr="00496CF0">
        <w:rPr>
          <w:rFonts w:eastAsia="Georgia" w:cs="Calibri"/>
          <w:b/>
          <w:bCs/>
          <w:color w:val="000000" w:themeColor="text1"/>
          <w:u w:val="single"/>
        </w:rPr>
        <w:t>public, the prospect of thinking singularities are stayed</w:t>
      </w:r>
      <w:r w:rsidRPr="00496CF0">
        <w:rPr>
          <w:rFonts w:eastAsia="Georgia" w:cs="Calibri"/>
          <w:color w:val="000000" w:themeColor="text1"/>
        </w:rPr>
        <w:t xml:space="preserve">, </w:t>
      </w:r>
      <w:r w:rsidRPr="00496CF0">
        <w:rPr>
          <w:rFonts w:eastAsia="Georgia" w:cs="Calibri"/>
          <w:color w:val="000000" w:themeColor="text1"/>
          <w:sz w:val="12"/>
          <w:szCs w:val="12"/>
        </w:rPr>
        <w:t xml:space="preserve">not only through the paucity of </w:t>
      </w:r>
      <w:proofErr w:type="spellStart"/>
      <w:r w:rsidRPr="00496CF0">
        <w:rPr>
          <w:rFonts w:eastAsia="Georgia" w:cs="Calibri"/>
          <w:color w:val="000000" w:themeColor="text1"/>
          <w:sz w:val="12"/>
          <w:szCs w:val="12"/>
        </w:rPr>
        <w:t>enunciatory</w:t>
      </w:r>
      <w:proofErr w:type="spellEnd"/>
      <w:r w:rsidRPr="00496CF0">
        <w:rPr>
          <w:rFonts w:eastAsia="Georgia" w:cs="Calibri"/>
          <w:color w:val="000000" w:themeColor="text1"/>
        </w:rPr>
        <w:t xml:space="preserve"> </w:t>
      </w:r>
      <w:r w:rsidRPr="00496CF0">
        <w:rPr>
          <w:rFonts w:eastAsia="Georgia" w:cs="Calibri"/>
          <w:b/>
          <w:bCs/>
          <w:color w:val="000000" w:themeColor="text1"/>
          <w:u w:val="single"/>
        </w:rPr>
        <w:t>forms and images available for thinking education</w:t>
      </w:r>
      <w:r w:rsidRPr="00496CF0">
        <w:rPr>
          <w:rFonts w:eastAsia="Georgia" w:cs="Calibri"/>
          <w:color w:val="000000" w:themeColor="text1"/>
        </w:rPr>
        <w:t xml:space="preserve"> </w:t>
      </w:r>
      <w:r w:rsidRPr="00496CF0">
        <w:rPr>
          <w:rFonts w:eastAsia="Georgia" w:cs="Calibri"/>
          <w:color w:val="000000" w:themeColor="text1"/>
          <w:sz w:val="12"/>
          <w:szCs w:val="12"/>
        </w:rPr>
        <w:t>in the first place, but further,</w:t>
      </w:r>
      <w:r w:rsidRPr="00496CF0">
        <w:rPr>
          <w:rFonts w:eastAsia="Georgia" w:cs="Calibri"/>
          <w:color w:val="000000" w:themeColor="text1"/>
        </w:rPr>
        <w:t xml:space="preserve"> </w:t>
      </w:r>
      <w:r w:rsidRPr="00496CF0">
        <w:rPr>
          <w:rFonts w:eastAsia="Georgia" w:cs="Calibri"/>
          <w:b/>
          <w:bCs/>
          <w:color w:val="000000" w:themeColor="text1"/>
          <w:u w:val="single"/>
        </w:rPr>
        <w:t xml:space="preserve">through the organization of the school’s </w:t>
      </w:r>
      <w:proofErr w:type="spellStart"/>
      <w:r w:rsidRPr="00496CF0">
        <w:rPr>
          <w:rFonts w:eastAsia="Georgia" w:cs="Calibri"/>
          <w:b/>
          <w:bCs/>
          <w:color w:val="000000" w:themeColor="text1"/>
          <w:u w:val="single"/>
        </w:rPr>
        <w:t>enunciatory</w:t>
      </w:r>
      <w:proofErr w:type="spellEnd"/>
      <w:r w:rsidRPr="00496CF0">
        <w:rPr>
          <w:rFonts w:eastAsia="Georgia" w:cs="Calibri"/>
          <w:b/>
          <w:bCs/>
          <w:color w:val="000000" w:themeColor="text1"/>
          <w:u w:val="single"/>
        </w:rPr>
        <w:t xml:space="preserve"> machines into vehicles of representation that repeat in </w:t>
      </w:r>
      <w:proofErr w:type="spellStart"/>
      <w:r w:rsidRPr="00496CF0">
        <w:rPr>
          <w:rFonts w:eastAsia="Georgia" w:cs="Calibri"/>
          <w:b/>
          <w:bCs/>
          <w:color w:val="000000" w:themeColor="text1"/>
          <w:u w:val="single"/>
        </w:rPr>
        <w:t>molarizing</w:t>
      </w:r>
      <w:proofErr w:type="spellEnd"/>
      <w:r w:rsidRPr="00496CF0">
        <w:rPr>
          <w:rFonts w:eastAsia="Georgia" w:cs="Calibri"/>
          <w:b/>
          <w:bCs/>
          <w:color w:val="000000" w:themeColor="text1"/>
          <w:u w:val="single"/>
        </w:rPr>
        <w:t xml:space="preserve"> forms of self-reflection</w:t>
      </w:r>
      <w:r w:rsidRPr="00496CF0">
        <w:rPr>
          <w:rFonts w:eastAsia="Georgia" w:cs="Calibri"/>
          <w:color w:val="000000" w:themeColor="text1"/>
        </w:rPr>
        <w:t>, ‘</w:t>
      </w:r>
      <w:r w:rsidRPr="00496CF0">
        <w:rPr>
          <w:rFonts w:eastAsia="Georgia" w:cs="Calibri"/>
          <w:color w:val="000000" w:themeColor="text1"/>
          <w:sz w:val="12"/>
          <w:szCs w:val="12"/>
        </w:rPr>
        <w:t xml:space="preserve">majoritarian’ perspective, and dominant circuits of desiring-investment. Herein, </w:t>
      </w:r>
      <w:r w:rsidRPr="00496CF0">
        <w:rPr>
          <w:rFonts w:eastAsia="Georgia" w:cs="Calibri"/>
          <w:b/>
          <w:bCs/>
          <w:color w:val="000000" w:themeColor="text1"/>
          <w:u w:val="single"/>
        </w:rPr>
        <w:t>the impulse of standardization obliterates alternative subject formations and the modes of counter-signifying enunciation that might palpate them. Repelling the</w:t>
      </w:r>
      <w:r w:rsidRPr="00496CF0">
        <w:rPr>
          <w:rFonts w:eastAsia="Georgia" w:cs="Calibri"/>
          <w:color w:val="000000" w:themeColor="text1"/>
        </w:rPr>
        <w:t xml:space="preserve"> </w:t>
      </w:r>
      <w:r w:rsidRPr="00496CF0">
        <w:rPr>
          <w:rFonts w:eastAsia="Georgia" w:cs="Calibri"/>
          <w:color w:val="000000" w:themeColor="text1"/>
          <w:sz w:val="12"/>
          <w:szCs w:val="12"/>
        </w:rPr>
        <w:t xml:space="preserve">singular, the </w:t>
      </w:r>
      <w:r w:rsidRPr="00496CF0">
        <w:rPr>
          <w:rFonts w:eastAsia="Georgia" w:cs="Calibri"/>
          <w:color w:val="000000" w:themeColor="text1"/>
        </w:rPr>
        <w:t>‘</w:t>
      </w:r>
      <w:r w:rsidRPr="00496CF0">
        <w:rPr>
          <w:rFonts w:eastAsia="Georgia" w:cs="Calibri"/>
          <w:b/>
          <w:bCs/>
          <w:color w:val="000000" w:themeColor="text1"/>
          <w:highlight w:val="green"/>
          <w:u w:val="single"/>
        </w:rPr>
        <w:t>majoritarian’</w:t>
      </w:r>
      <w:r w:rsidRPr="00496CF0">
        <w:rPr>
          <w:rFonts w:eastAsia="Georgia" w:cs="Calibri"/>
          <w:color w:val="000000" w:themeColor="text1"/>
        </w:rPr>
        <w:t xml:space="preserve"> </w:t>
      </w:r>
      <w:r w:rsidRPr="00496CF0">
        <w:rPr>
          <w:rFonts w:eastAsia="Georgia" w:cs="Calibri"/>
          <w:b/>
          <w:bCs/>
          <w:color w:val="000000" w:themeColor="text1"/>
          <w:u w:val="single"/>
        </w:rPr>
        <w:t>and standardizing</w:t>
      </w:r>
      <w:r w:rsidRPr="00496CF0">
        <w:rPr>
          <w:rFonts w:eastAsia="Georgia" w:cs="Calibri"/>
          <w:color w:val="000000" w:themeColor="text1"/>
        </w:rPr>
        <w:t xml:space="preserve"> </w:t>
      </w:r>
      <w:r w:rsidRPr="00496CF0">
        <w:rPr>
          <w:rFonts w:eastAsia="Georgia" w:cs="Calibri"/>
          <w:b/>
          <w:bCs/>
          <w:color w:val="000000" w:themeColor="text1"/>
          <w:u w:val="single"/>
        </w:rPr>
        <w:t xml:space="preserve">impulse of </w:t>
      </w:r>
      <w:r w:rsidRPr="00496CF0">
        <w:rPr>
          <w:rFonts w:eastAsia="Georgia" w:cs="Calibri"/>
          <w:b/>
          <w:bCs/>
          <w:color w:val="000000" w:themeColor="text1"/>
          <w:highlight w:val="green"/>
          <w:u w:val="single"/>
        </w:rPr>
        <w:t>education takes</w:t>
      </w:r>
      <w:r w:rsidRPr="00496CF0">
        <w:rPr>
          <w:rFonts w:eastAsia="Georgia" w:cs="Calibri"/>
          <w:b/>
          <w:bCs/>
          <w:color w:val="000000" w:themeColor="text1"/>
          <w:u w:val="single"/>
        </w:rPr>
        <w:t xml:space="preserve"> as </w:t>
      </w:r>
      <w:r w:rsidRPr="00496CF0">
        <w:rPr>
          <w:rFonts w:eastAsia="Georgia" w:cs="Calibri"/>
          <w:b/>
          <w:bCs/>
          <w:color w:val="000000" w:themeColor="text1"/>
          <w:highlight w:val="green"/>
          <w:u w:val="single"/>
        </w:rPr>
        <w:t>its</w:t>
      </w:r>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fundamental’ mode of production</w:t>
      </w:r>
      <w:r w:rsidRPr="00496CF0">
        <w:rPr>
          <w:rFonts w:eastAsia="Georgia" w:cs="Calibri"/>
          <w:color w:val="000000" w:themeColor="text1"/>
          <w:highlight w:val="green"/>
        </w:rPr>
        <w:t xml:space="preserve"> </w:t>
      </w:r>
      <w:r w:rsidRPr="00496CF0">
        <w:rPr>
          <w:rFonts w:eastAsia="Georgia" w:cs="Calibri"/>
          <w:b/>
          <w:bCs/>
          <w:color w:val="000000" w:themeColor="text1"/>
          <w:highlight w:val="green"/>
          <w:u w:val="single"/>
        </w:rPr>
        <w:t>the reification of common sense</w:t>
      </w:r>
      <w:r w:rsidRPr="00496CF0">
        <w:rPr>
          <w:rFonts w:eastAsia="Georgia" w:cs="Calibri"/>
          <w:color w:val="000000" w:themeColor="text1"/>
        </w:rPr>
        <w:t>,</w:t>
      </w:r>
      <w:r w:rsidRPr="00496CF0">
        <w:rPr>
          <w:rFonts w:eastAsia="Georgia" w:cs="Calibri"/>
          <w:color w:val="000000" w:themeColor="text1"/>
          <w:sz w:val="12"/>
          <w:szCs w:val="12"/>
        </w:rPr>
        <w:t xml:space="preserve"> or, rather, the </w:t>
      </w:r>
      <w:proofErr w:type="spellStart"/>
      <w:r w:rsidRPr="00496CF0">
        <w:rPr>
          <w:rFonts w:eastAsia="Georgia" w:cs="Calibri"/>
          <w:color w:val="000000" w:themeColor="text1"/>
          <w:sz w:val="12"/>
          <w:szCs w:val="12"/>
        </w:rPr>
        <w:t>territorialization</w:t>
      </w:r>
      <w:proofErr w:type="spellEnd"/>
      <w:r w:rsidRPr="00496CF0">
        <w:rPr>
          <w:rFonts w:eastAsia="Georgia" w:cs="Calibri"/>
          <w:color w:val="000000" w:themeColor="text1"/>
          <w:sz w:val="12"/>
          <w:szCs w:val="12"/>
        </w:rPr>
        <w:t xml:space="preserve"> of thought according to that which is given (that which everyone already knows).</w:t>
      </w:r>
      <w:r w:rsidRPr="00496CF0">
        <w:rPr>
          <w:rFonts w:eastAsia="Georgia" w:cs="Calibri"/>
          <w:color w:val="000000" w:themeColor="text1"/>
        </w:rPr>
        <w:t xml:space="preserve"> </w:t>
      </w:r>
      <w:r w:rsidRPr="00496CF0">
        <w:rPr>
          <w:rFonts w:eastAsia="Georgia" w:cs="Calibri"/>
          <w:b/>
          <w:bCs/>
          <w:color w:val="000000" w:themeColor="text1"/>
          <w:u w:val="single"/>
        </w:rPr>
        <w:t xml:space="preserve">Figuring </w:t>
      </w:r>
      <w:r w:rsidRPr="00496CF0">
        <w:rPr>
          <w:rFonts w:eastAsia="Georgia" w:cs="Calibri"/>
          <w:b/>
          <w:bCs/>
          <w:color w:val="000000" w:themeColor="text1"/>
          <w:highlight w:val="green"/>
          <w:u w:val="single"/>
        </w:rPr>
        <w:t>in</w:t>
      </w:r>
      <w:r w:rsidRPr="00496CF0">
        <w:rPr>
          <w:rFonts w:eastAsia="Georgia" w:cs="Calibri"/>
          <w:b/>
          <w:bCs/>
          <w:color w:val="000000" w:themeColor="text1"/>
          <w:u w:val="single"/>
        </w:rPr>
        <w:t xml:space="preserve"> a mode ‘of </w:t>
      </w:r>
      <w:r w:rsidRPr="00496CF0">
        <w:rPr>
          <w:rFonts w:eastAsia="Georgia" w:cs="Calibri"/>
          <w:b/>
          <w:bCs/>
          <w:color w:val="000000" w:themeColor="text1"/>
          <w:highlight w:val="green"/>
          <w:u w:val="single"/>
        </w:rPr>
        <w:t>identification that</w:t>
      </w:r>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brings diversity in general to bear upon the form of the Same’</w:t>
      </w:r>
      <w:r w:rsidRPr="00496CF0">
        <w:rPr>
          <w:rFonts w:eastAsia="Georgia" w:cs="Calibri"/>
          <w:b/>
          <w:bCs/>
          <w:color w:val="000000" w:themeColor="text1"/>
          <w:u w:val="single"/>
        </w:rPr>
        <w:t>,</w:t>
      </w:r>
      <w:r w:rsidRPr="00496CF0">
        <w:rPr>
          <w:rFonts w:eastAsia="Georgia" w:cs="Calibri"/>
          <w:color w:val="000000" w:themeColor="text1"/>
        </w:rPr>
        <w:t xml:space="preserve"> </w:t>
      </w:r>
      <w:r w:rsidRPr="00496CF0">
        <w:rPr>
          <w:rFonts w:eastAsia="Georgia" w:cs="Calibri"/>
          <w:color w:val="000000" w:themeColor="text1"/>
          <w:sz w:val="12"/>
          <w:szCs w:val="12"/>
        </w:rPr>
        <w:t xml:space="preserve">common sense functions to stabilize patterns of social production by tethering them to molar orders of meaning and dominant regimes of social signification (Deleuze, 1990, p. 78). As </w:t>
      </w:r>
      <w:proofErr w:type="spellStart"/>
      <w:r w:rsidRPr="00496CF0">
        <w:rPr>
          <w:rFonts w:eastAsia="Georgia" w:cs="Calibri"/>
          <w:color w:val="000000" w:themeColor="text1"/>
          <w:sz w:val="12"/>
          <w:szCs w:val="12"/>
        </w:rPr>
        <w:t>Daignault</w:t>
      </w:r>
      <w:proofErr w:type="spellEnd"/>
      <w:r w:rsidRPr="00496CF0">
        <w:rPr>
          <w:rFonts w:eastAsia="Georgia" w:cs="Calibri"/>
          <w:color w:val="000000" w:themeColor="text1"/>
          <w:sz w:val="12"/>
          <w:szCs w:val="12"/>
        </w:rPr>
        <w:t xml:space="preserve"> argues, in so far as it repels the anomalous by reterritorializing it within prior systems of representation, common sense constitutes a significant and lingering problem in contemporary education (</w:t>
      </w:r>
      <w:proofErr w:type="spellStart"/>
      <w:r w:rsidRPr="00496CF0">
        <w:rPr>
          <w:rFonts w:eastAsia="Georgia" w:cs="Calibri"/>
          <w:color w:val="000000" w:themeColor="text1"/>
          <w:sz w:val="12"/>
          <w:szCs w:val="12"/>
        </w:rPr>
        <w:t>Hwu</w:t>
      </w:r>
      <w:proofErr w:type="spellEnd"/>
      <w:r w:rsidRPr="00496CF0">
        <w:rPr>
          <w:rFonts w:eastAsia="Georgia" w:cs="Calibri"/>
          <w:color w:val="000000" w:themeColor="text1"/>
          <w:sz w:val="12"/>
          <w:szCs w:val="12"/>
        </w:rPr>
        <w:t xml:space="preserve">, 2004). Its function, </w:t>
      </w:r>
      <w:proofErr w:type="spellStart"/>
      <w:r w:rsidRPr="00496CF0">
        <w:rPr>
          <w:rFonts w:eastAsia="Georgia" w:cs="Calibri"/>
          <w:color w:val="000000" w:themeColor="text1"/>
          <w:sz w:val="12"/>
          <w:szCs w:val="12"/>
        </w:rPr>
        <w:t>Daignault</w:t>
      </w:r>
      <w:proofErr w:type="spellEnd"/>
      <w:r w:rsidRPr="00496CF0">
        <w:rPr>
          <w:rFonts w:eastAsia="Georgia" w:cs="Calibri"/>
          <w:color w:val="000000" w:themeColor="text1"/>
          <w:sz w:val="12"/>
          <w:szCs w:val="12"/>
        </w:rPr>
        <w:t xml:space="preserve"> alludes apropos </w:t>
      </w:r>
      <w:proofErr w:type="spellStart"/>
      <w:r w:rsidRPr="00496CF0">
        <w:rPr>
          <w:rFonts w:eastAsia="Georgia" w:cs="Calibri"/>
          <w:color w:val="000000" w:themeColor="text1"/>
          <w:sz w:val="12"/>
          <w:szCs w:val="12"/>
        </w:rPr>
        <w:t>Serres</w:t>
      </w:r>
      <w:proofErr w:type="spellEnd"/>
      <w:r w:rsidRPr="00496CF0">
        <w:rPr>
          <w:rFonts w:eastAsia="Georgia" w:cs="Calibri"/>
          <w:color w:val="000000" w:themeColor="text1"/>
          <w:sz w:val="12"/>
          <w:szCs w:val="12"/>
        </w:rPr>
        <w:t>, is oriented to the annihilation of difference. Hence,</w:t>
      </w:r>
      <w:r w:rsidRPr="00496CF0">
        <w:rPr>
          <w:rFonts w:eastAsia="Georgia" w:cs="Calibri"/>
          <w:color w:val="000000" w:themeColor="text1"/>
        </w:rPr>
        <w:t xml:space="preserve"> </w:t>
      </w:r>
      <w:r w:rsidRPr="00496CF0">
        <w:rPr>
          <w:rFonts w:eastAsia="Georgia" w:cs="Calibri"/>
          <w:b/>
          <w:bCs/>
          <w:color w:val="000000" w:themeColor="text1"/>
          <w:highlight w:val="green"/>
          <w:u w:val="single"/>
        </w:rPr>
        <w:t>where</w:t>
      </w:r>
      <w:r w:rsidRPr="00496CF0">
        <w:rPr>
          <w:rFonts w:eastAsia="Georgia" w:cs="Calibri"/>
          <w:b/>
          <w:bCs/>
          <w:color w:val="000000" w:themeColor="text1"/>
          <w:u w:val="single"/>
        </w:rPr>
        <w:t xml:space="preserve"> the conceptualization of ‘public’ education is founded in common sense, </w:t>
      </w:r>
      <w:r w:rsidRPr="00496CF0">
        <w:rPr>
          <w:rFonts w:eastAsia="Georgia" w:cs="Calibri"/>
          <w:b/>
          <w:bCs/>
          <w:color w:val="000000" w:themeColor="text1"/>
          <w:highlight w:val="green"/>
          <w:u w:val="single"/>
        </w:rPr>
        <w:t>potentials for political action</w:t>
      </w:r>
      <w:r w:rsidRPr="00496CF0">
        <w:rPr>
          <w:rFonts w:eastAsia="Georgia" w:cs="Calibri"/>
          <w:b/>
          <w:bCs/>
          <w:color w:val="000000" w:themeColor="text1"/>
          <w:u w:val="single"/>
        </w:rPr>
        <w:t xml:space="preserve"> through tactics of proliferation, disjunction, and </w:t>
      </w:r>
      <w:proofErr w:type="spellStart"/>
      <w:r w:rsidRPr="00496CF0">
        <w:rPr>
          <w:rFonts w:eastAsia="Georgia" w:cs="Calibri"/>
          <w:b/>
          <w:bCs/>
          <w:color w:val="000000" w:themeColor="text1"/>
          <w:u w:val="single"/>
        </w:rPr>
        <w:t>singularization</w:t>
      </w:r>
      <w:proofErr w:type="spellEnd"/>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are</w:t>
      </w:r>
      <w:r w:rsidRPr="00496CF0">
        <w:rPr>
          <w:rFonts w:eastAsia="Georgia" w:cs="Calibri"/>
          <w:b/>
          <w:bCs/>
          <w:color w:val="000000" w:themeColor="text1"/>
          <w:u w:val="single"/>
        </w:rPr>
        <w:t xml:space="preserve"> radically </w:t>
      </w:r>
      <w:r w:rsidRPr="00496CF0">
        <w:rPr>
          <w:rFonts w:eastAsia="Georgia" w:cs="Calibri"/>
          <w:b/>
          <w:bCs/>
          <w:color w:val="000000" w:themeColor="text1"/>
          <w:highlight w:val="green"/>
          <w:u w:val="single"/>
        </w:rPr>
        <w:t>delimited</w:t>
      </w:r>
      <w:r w:rsidRPr="00496CF0">
        <w:rPr>
          <w:rFonts w:eastAsia="Georgia" w:cs="Calibri"/>
          <w:b/>
          <w:bCs/>
          <w:color w:val="000000" w:themeColor="text1"/>
          <w:u w:val="single"/>
        </w:rPr>
        <w:t xml:space="preserve"> </w:t>
      </w:r>
      <w:r w:rsidRPr="00496CF0">
        <w:rPr>
          <w:rFonts w:eastAsia="Georgia" w:cs="Calibri"/>
          <w:color w:val="000000" w:themeColor="text1"/>
          <w:sz w:val="12"/>
          <w:szCs w:val="12"/>
        </w:rPr>
        <w:t>and captured within prior territorialities of use (Foucault, 1983, p. xiii). The problem of this scenario is clear:</w:t>
      </w:r>
      <w:r w:rsidRPr="00496CF0">
        <w:rPr>
          <w:rFonts w:eastAsia="Georgia" w:cs="Calibri"/>
          <w:color w:val="000000" w:themeColor="text1"/>
        </w:rPr>
        <w:t xml:space="preserve"> </w:t>
      </w:r>
      <w:r w:rsidRPr="00496CF0">
        <w:rPr>
          <w:rFonts w:eastAsia="Georgia" w:cs="Calibri"/>
          <w:b/>
          <w:bCs/>
          <w:color w:val="000000" w:themeColor="text1"/>
          <w:u w:val="single"/>
        </w:rPr>
        <w:t>common sense has yet to force us to think in a manner capable of subtracting desire from majoritarian thought in lieu of alternative forms of organization and experimental expression</w:t>
      </w:r>
      <w:r w:rsidRPr="00496CF0">
        <w:rPr>
          <w:rFonts w:eastAsia="Georgia" w:cs="Calibri"/>
          <w:color w:val="000000" w:themeColor="text1"/>
        </w:rPr>
        <w:t xml:space="preserve">. </w:t>
      </w:r>
      <w:r w:rsidRPr="00496CF0">
        <w:rPr>
          <w:rFonts w:eastAsia="Georgia" w:cs="Calibri"/>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496CF0">
        <w:rPr>
          <w:rFonts w:eastAsia="Georgia" w:cs="Calibri"/>
          <w:color w:val="000000" w:themeColor="text1"/>
        </w:rPr>
        <w:t xml:space="preserve"> </w:t>
      </w:r>
      <w:r w:rsidRPr="00496CF0">
        <w:rPr>
          <w:rFonts w:eastAsia="Georgia" w:cs="Calibri"/>
          <w:b/>
          <w:bCs/>
          <w:color w:val="000000" w:themeColor="text1"/>
          <w:u w:val="single"/>
        </w:rPr>
        <w:t>while antithetical to the espoused purpose of schooling, the majoritarian impulse of the school has yet to produce conditions for thinking</w:t>
      </w:r>
      <w:r w:rsidRPr="00496CF0">
        <w:rPr>
          <w:rFonts w:eastAsia="Georgia" w:cs="Calibri"/>
          <w:color w:val="000000" w:themeColor="text1"/>
          <w:sz w:val="12"/>
          <w:szCs w:val="12"/>
        </w:rPr>
        <w:t xml:space="preserve"> – at least in the </w:t>
      </w:r>
      <w:proofErr w:type="spellStart"/>
      <w:r w:rsidRPr="00496CF0">
        <w:rPr>
          <w:rFonts w:eastAsia="Georgia" w:cs="Calibri"/>
          <w:color w:val="000000" w:themeColor="text1"/>
          <w:sz w:val="12"/>
          <w:szCs w:val="12"/>
        </w:rPr>
        <w:t>Deleuzian</w:t>
      </w:r>
      <w:proofErr w:type="spellEnd"/>
      <w:r w:rsidRPr="00496CF0">
        <w:rPr>
          <w:rFonts w:eastAsia="Georgia" w:cs="Calibri"/>
          <w:color w:val="000000" w:themeColor="text1"/>
          <w:sz w:val="12"/>
          <w:szCs w:val="12"/>
        </w:rPr>
        <w:t xml:space="preserve"> (2000) sense whereupon thought proceeds from a necessary violence to those habits of repetition with which thought becomes </w:t>
      </w:r>
      <w:proofErr w:type="spellStart"/>
      <w:r w:rsidRPr="00496CF0">
        <w:rPr>
          <w:rFonts w:eastAsia="Georgia" w:cs="Calibri"/>
          <w:color w:val="000000" w:themeColor="text1"/>
          <w:sz w:val="12"/>
          <w:szCs w:val="12"/>
        </w:rPr>
        <w:t>contracte</w:t>
      </w:r>
      <w:proofErr w:type="spellEnd"/>
    </w:p>
    <w:p w:rsidR="002D1B41" w:rsidRDefault="002D1B41" w:rsidP="002D1B41">
      <w:pPr>
        <w:spacing w:line="240" w:lineRule="auto"/>
        <w:rPr>
          <w:rFonts w:eastAsia="Georgia" w:cs="Calibri"/>
          <w:color w:val="000000" w:themeColor="text1"/>
          <w:sz w:val="12"/>
          <w:szCs w:val="12"/>
        </w:rPr>
      </w:pPr>
    </w:p>
    <w:p w:rsidR="002D1B41" w:rsidRPr="007E4DEB" w:rsidRDefault="002D1B41" w:rsidP="002D1B41">
      <w:pPr>
        <w:pStyle w:val="Heading4"/>
        <w:rPr>
          <w:rFonts w:cs="Calibri"/>
          <w:color w:val="000000" w:themeColor="text1"/>
        </w:rPr>
      </w:pPr>
      <w:r w:rsidRPr="007E4DEB">
        <w:rPr>
          <w:rFonts w:cs="Calibri"/>
          <w:color w:val="000000" w:themeColor="text1"/>
        </w:rPr>
        <w:t xml:space="preserve">General understandings of the relation between norms, subjects, and the world are insufficient for ethics because there is a gap between discursive regimes and real subjectivity. Only structures of affect like the </w:t>
      </w:r>
      <w:proofErr w:type="spellStart"/>
      <w:r w:rsidRPr="007E4DEB">
        <w:rPr>
          <w:rFonts w:cs="Calibri"/>
          <w:color w:val="000000" w:themeColor="text1"/>
        </w:rPr>
        <w:t>aff’s</w:t>
      </w:r>
      <w:proofErr w:type="spellEnd"/>
      <w:r w:rsidRPr="007E4DEB">
        <w:rPr>
          <w:rFonts w:cs="Calibri"/>
          <w:color w:val="000000" w:themeColor="text1"/>
        </w:rPr>
        <w:t xml:space="preserve"> ontolo</w:t>
      </w:r>
      <w:r>
        <w:rPr>
          <w:rFonts w:cs="Calibri"/>
          <w:color w:val="000000" w:themeColor="text1"/>
        </w:rPr>
        <w:t xml:space="preserve">gical understanding of instability through time </w:t>
      </w:r>
      <w:r w:rsidRPr="007E4DEB">
        <w:rPr>
          <w:rFonts w:cs="Calibri"/>
          <w:color w:val="000000" w:themeColor="text1"/>
        </w:rPr>
        <w:t>distinguish the subject from static concepts of it – it is cruelly optimistic to think we can fit into stable structures. Schaefer 13:</w:t>
      </w:r>
    </w:p>
    <w:p w:rsidR="002D1B41" w:rsidRPr="007E4DEB" w:rsidRDefault="002D1B41" w:rsidP="002D1B41">
      <w:pPr>
        <w:rPr>
          <w:rFonts w:cs="Calibri"/>
          <w:color w:val="000000" w:themeColor="text1"/>
          <w:sz w:val="16"/>
          <w:szCs w:val="16"/>
        </w:rPr>
      </w:pPr>
      <w:r w:rsidRPr="007E4DEB">
        <w:rPr>
          <w:rFonts w:cs="Calibri"/>
          <w:color w:val="000000" w:themeColor="text1"/>
          <w:sz w:val="16"/>
          <w:szCs w:val="16"/>
        </w:rPr>
        <w:t xml:space="preserve">[Schaefer ’13. Schaefer, D. "The Promise of Affect: The Politics of the Event in Ahmed's The Promise of Happiness and </w:t>
      </w:r>
      <w:proofErr w:type="spellStart"/>
      <w:r w:rsidRPr="007E4DEB">
        <w:rPr>
          <w:rFonts w:cs="Calibri"/>
          <w:color w:val="000000" w:themeColor="text1"/>
          <w:sz w:val="16"/>
          <w:szCs w:val="16"/>
        </w:rPr>
        <w:t>Berlant's</w:t>
      </w:r>
      <w:proofErr w:type="spellEnd"/>
      <w:r w:rsidRPr="007E4DEB">
        <w:rPr>
          <w:rFonts w:cs="Calibri"/>
          <w:color w:val="000000" w:themeColor="text1"/>
          <w:sz w:val="16"/>
          <w:szCs w:val="16"/>
        </w:rPr>
        <w:t> Cruel Optimism." Theory &amp; Event 16.2 (2013). Project MUSE. Web. LHP MK]</w:t>
      </w:r>
    </w:p>
    <w:p w:rsidR="002D1B41" w:rsidRPr="007E4DEB" w:rsidRDefault="002D1B41" w:rsidP="002D1B41">
      <w:pPr>
        <w:rPr>
          <w:rFonts w:cs="Calibri"/>
          <w:color w:val="000000" w:themeColor="text1"/>
          <w:sz w:val="12"/>
        </w:rPr>
      </w:pPr>
      <w:r w:rsidRPr="007E4DEB">
        <w:rPr>
          <w:rFonts w:cs="Calibri"/>
          <w:color w:val="000000" w:themeColor="text1"/>
          <w:sz w:val="12"/>
        </w:rPr>
        <w:t xml:space="preserve">At a recent talk at the University of Pennsylvania, Lauren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was asked a question about the relationship between her work—she had just finished a lecture on the theme of flat affect in Gregg Araki's 2004 film Mysterious Skin—and the political. "Because I work on affect," she responded, "I think everything is realism" (</w:t>
      </w:r>
      <w:proofErr w:type="spellStart"/>
      <w:r>
        <w:fldChar w:fldCharType="begin"/>
      </w:r>
      <w:r>
        <w:instrText xml:space="preserve"> HYPERLINK "https://muse.jhu.edu/article/509908" \l "b3"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2012</w:t>
      </w:r>
      <w:r>
        <w:rPr>
          <w:rFonts w:cs="Calibri"/>
          <w:color w:val="000000" w:themeColor="text1"/>
          <w:sz w:val="12"/>
        </w:rPr>
        <w:fldChar w:fldCharType="end"/>
      </w:r>
      <w:r w:rsidRPr="007E4DEB">
        <w:rPr>
          <w:rFonts w:cs="Calibri"/>
          <w:color w:val="000000" w:themeColor="text1"/>
          <w:sz w:val="12"/>
        </w:rPr>
        <w:t xml:space="preserve">). Like the dense introductory segments of each of her chapters—thick but fast-moving genealogical waterslides—I think that unpacking statements like this from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best repaid by taking them in a low gear. When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7E4DEB">
        <w:rPr>
          <w:rFonts w:cs="Calibri"/>
          <w:color w:val="000000" w:themeColor="text1"/>
          <w:sz w:val="12"/>
        </w:rPr>
        <w:t>aparticular</w:t>
      </w:r>
      <w:proofErr w:type="spellEnd"/>
      <w:r w:rsidRPr="007E4DEB">
        <w:rPr>
          <w:rFonts w:cs="Calibri"/>
          <w:color w:val="000000" w:themeColor="text1"/>
          <w:sz w:val="12"/>
        </w:rPr>
        <w:t xml:space="preserve"> embodied iteration within this field. </w:t>
      </w:r>
      <w:r w:rsidRPr="007E4DEB">
        <w:rPr>
          <w:rFonts w:cs="Calibri"/>
          <w:b/>
          <w:color w:val="000000" w:themeColor="text1"/>
          <w:highlight w:val="yellow"/>
          <w:u w:val="single"/>
        </w:rPr>
        <w:t>Texts are produced by bodies</w:t>
      </w:r>
      <w:r w:rsidRPr="007E4DEB">
        <w:rPr>
          <w:rFonts w:cs="Calibri"/>
          <w:b/>
          <w:color w:val="000000" w:themeColor="text1"/>
          <w:u w:val="single"/>
        </w:rPr>
        <w:t xml:space="preserve"> that are both </w:t>
      </w:r>
      <w:r w:rsidRPr="007E4DEB">
        <w:rPr>
          <w:rFonts w:cs="Calibri"/>
          <w:b/>
          <w:color w:val="000000" w:themeColor="text1"/>
          <w:highlight w:val="yellow"/>
          <w:u w:val="single"/>
        </w:rPr>
        <w:t>enmeshed in their political worlds and trying to negotiate those worlds in their own</w:t>
      </w:r>
      <w:r w:rsidRPr="007E4DEB">
        <w:rPr>
          <w:rStyle w:val="Emphasis"/>
          <w:rFonts w:cs="Calibri"/>
          <w:highlight w:val="yellow"/>
        </w:rPr>
        <w:t xml:space="preserve"> </w:t>
      </w:r>
      <w:r w:rsidRPr="007E4DEB">
        <w:rPr>
          <w:rFonts w:cs="Calibri"/>
          <w:b/>
          <w:color w:val="000000" w:themeColor="text1"/>
          <w:u w:val="single"/>
        </w:rPr>
        <w:t xml:space="preserve">distinct </w:t>
      </w:r>
      <w:r w:rsidRPr="007E4DEB">
        <w:rPr>
          <w:rFonts w:cs="Calibri"/>
          <w:b/>
          <w:color w:val="000000" w:themeColor="text1"/>
          <w:highlight w:val="yellow"/>
          <w:u w:val="single"/>
        </w:rPr>
        <w:t>way.</w:t>
      </w:r>
      <w:r w:rsidRPr="007E4DEB">
        <w:rPr>
          <w:rFonts w:cs="Calibri"/>
          <w:b/>
          <w:color w:val="000000" w:themeColor="text1"/>
          <w:u w:val="single"/>
        </w:rPr>
        <w:t xml:space="preserve"> Everything we do is realism: </w:t>
      </w:r>
      <w:proofErr w:type="spellStart"/>
      <w:r w:rsidRPr="007E4DEB">
        <w:rPr>
          <w:rFonts w:cs="Calibri"/>
          <w:b/>
          <w:color w:val="000000" w:themeColor="text1"/>
          <w:u w:val="single"/>
        </w:rPr>
        <w:t>Berlant's</w:t>
      </w:r>
      <w:proofErr w:type="spellEnd"/>
      <w:r w:rsidRPr="007E4DEB">
        <w:rPr>
          <w:rFonts w:cs="Calibri"/>
          <w:b/>
          <w:color w:val="000000" w:themeColor="text1"/>
          <w:u w:val="single"/>
        </w:rPr>
        <w:t xml:space="preserve"> textual objects of study are mediations, attempts to work something out, exhibitions of tensed, embodied, affective realities</w:t>
      </w:r>
      <w:r w:rsidRPr="007E4DEB">
        <w:rPr>
          <w:rFonts w:cs="Calibri"/>
          <w:color w:val="000000" w:themeColor="text1"/>
          <w:sz w:val="12"/>
        </w:rPr>
        <w:t>.</w:t>
      </w:r>
      <w:hyperlink r:id="rId9" w:anchor="f1" w:history="1">
        <w:r w:rsidRPr="007E4DEB">
          <w:rPr>
            <w:rFonts w:cs="Calibri"/>
            <w:color w:val="000000" w:themeColor="text1"/>
            <w:sz w:val="12"/>
          </w:rPr>
          <w:t>1</w:t>
        </w:r>
      </w:hyperlink>
      <w:r w:rsidRPr="007E4DEB">
        <w:rPr>
          <w:rFonts w:cs="Calibri"/>
          <w:color w:val="000000" w:themeColor="text1"/>
          <w:sz w:val="12"/>
        </w:rPr>
        <w:t xml:space="preserve"> This is the promise of </w:t>
      </w:r>
      <w:r w:rsidRPr="007E4DEB">
        <w:rPr>
          <w:rFonts w:cs="Calibri"/>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7E4DEB">
        <w:rPr>
          <w:rFonts w:cs="Calibri"/>
          <w:color w:val="000000" w:themeColor="text1"/>
          <w:sz w:val="12"/>
        </w:rPr>
        <w:t xml:space="preserve"> at the same time </w:t>
      </w:r>
      <w:r w:rsidRPr="007E4DEB">
        <w:rPr>
          <w:rFonts w:cs="Calibri"/>
          <w:b/>
          <w:color w:val="000000" w:themeColor="text1"/>
          <w:u w:val="single"/>
        </w:rPr>
        <w:t>thinking of how bodies inject their own materiality</w:t>
      </w:r>
      <w:r w:rsidRPr="007E4DEB">
        <w:rPr>
          <w:rFonts w:cs="Calibri"/>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7E4DEB">
        <w:rPr>
          <w:rFonts w:cs="Calibri"/>
          <w:color w:val="000000" w:themeColor="text1"/>
          <w:sz w:val="12"/>
        </w:rPr>
        <w:t>Kosofsky</w:t>
      </w:r>
      <w:proofErr w:type="spellEnd"/>
      <w:r w:rsidRPr="007E4DEB">
        <w:rPr>
          <w:rFonts w:cs="Calibri"/>
          <w:color w:val="000000" w:themeColor="text1"/>
          <w:sz w:val="12"/>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7E4DEB">
          <w:rPr>
            <w:rFonts w:cs="Calibri"/>
            <w:color w:val="000000" w:themeColor="text1"/>
            <w:sz w:val="12"/>
          </w:rPr>
          <w:t>Sedgwick: 2003, 93</w:t>
        </w:r>
      </w:hyperlink>
      <w:r w:rsidRPr="007E4DEB">
        <w:rPr>
          <w:rFonts w:cs="Calibri"/>
          <w:color w:val="000000" w:themeColor="text1"/>
          <w:sz w:val="12"/>
        </w:rPr>
        <w:t>). And 2: Human language is assumed to offer the most productive, if not the only possible, model for understanding representation (</w:t>
      </w:r>
      <w:hyperlink r:id="rId11" w:anchor="b11" w:history="1">
        <w:r w:rsidRPr="007E4DEB">
          <w:rPr>
            <w:rFonts w:cs="Calibri"/>
            <w:color w:val="000000" w:themeColor="text1"/>
            <w:sz w:val="12"/>
          </w:rPr>
          <w:t>Sedgwick: 2003, 93</w:t>
        </w:r>
      </w:hyperlink>
      <w:r w:rsidRPr="007E4DEB">
        <w:rPr>
          <w:rFonts w:cs="Calibri"/>
          <w:color w:val="000000" w:themeColor="text1"/>
          <w:sz w:val="12"/>
        </w:rPr>
        <w:t xml:space="preserve">). </w:t>
      </w:r>
      <w:r w:rsidRPr="007E4DEB">
        <w:rPr>
          <w:rFonts w:cs="Calibri"/>
          <w:b/>
          <w:color w:val="000000" w:themeColor="text1"/>
          <w:highlight w:val="yellow"/>
          <w:u w:val="single"/>
        </w:rPr>
        <w:t>Affect theory</w:t>
      </w:r>
      <w:r w:rsidRPr="007E4DEB">
        <w:rPr>
          <w:rFonts w:cs="Calibri"/>
          <w:b/>
          <w:color w:val="000000" w:themeColor="text1"/>
          <w:u w:val="single"/>
        </w:rPr>
        <w:t xml:space="preserve"> in this vision is designed to </w:t>
      </w:r>
      <w:r w:rsidRPr="007E4DEB">
        <w:rPr>
          <w:rFonts w:cs="Calibri"/>
          <w:b/>
          <w:color w:val="000000" w:themeColor="text1"/>
          <w:highlight w:val="yellow"/>
          <w:u w:val="single"/>
        </w:rPr>
        <w:t>explore[s]</w:t>
      </w:r>
      <w:r w:rsidRPr="007E4DEB">
        <w:rPr>
          <w:rFonts w:cs="Calibri"/>
          <w:b/>
          <w:color w:val="000000" w:themeColor="text1"/>
          <w:u w:val="single"/>
        </w:rPr>
        <w:t xml:space="preserve"> the "crucial </w:t>
      </w:r>
      <w:r w:rsidRPr="007E4DEB">
        <w:rPr>
          <w:rFonts w:cs="Calibri"/>
          <w:b/>
          <w:color w:val="000000" w:themeColor="text1"/>
          <w:highlight w:val="yellow"/>
          <w:u w:val="single"/>
        </w:rPr>
        <w:t>knowledges" of bodies outside</w:t>
      </w:r>
      <w:r w:rsidRPr="007E4DEB">
        <w:rPr>
          <w:rFonts w:cs="Calibri"/>
          <w:b/>
          <w:color w:val="000000" w:themeColor="text1"/>
          <w:u w:val="single"/>
        </w:rPr>
        <w:t xml:space="preserve"> a </w:t>
      </w:r>
      <w:r w:rsidRPr="007E4DEB">
        <w:rPr>
          <w:rFonts w:cs="Calibri"/>
          <w:b/>
          <w:color w:val="000000" w:themeColor="text1"/>
          <w:highlight w:val="yellow"/>
          <w:u w:val="single"/>
        </w:rPr>
        <w:t>purely theoretical</w:t>
      </w:r>
      <w:r w:rsidRPr="007E4DEB">
        <w:rPr>
          <w:rFonts w:cs="Calibri"/>
          <w:b/>
          <w:color w:val="000000" w:themeColor="text1"/>
          <w:u w:val="single"/>
        </w:rPr>
        <w:t xml:space="preserve"> determination, outside</w:t>
      </w:r>
      <w:r w:rsidRPr="007E4DEB">
        <w:rPr>
          <w:rFonts w:cs="Calibri"/>
          <w:color w:val="000000" w:themeColor="text1"/>
          <w:sz w:val="12"/>
        </w:rPr>
        <w:t xml:space="preserve"> the traditional </w:t>
      </w:r>
      <w:r w:rsidRPr="007E4DEB">
        <w:rPr>
          <w:rFonts w:cs="Calibri"/>
          <w:b/>
          <w:color w:val="000000" w:themeColor="text1"/>
          <w:highlight w:val="yellow"/>
          <w:u w:val="single"/>
        </w:rPr>
        <w:t>domains of humanist scholarship</w:t>
      </w:r>
      <w:r w:rsidRPr="007E4DEB">
        <w:rPr>
          <w:rFonts w:cs="Calibri"/>
          <w:b/>
          <w:color w:val="000000" w:themeColor="text1"/>
          <w:u w:val="single"/>
        </w:rPr>
        <w:t>—reason, cognition, and language</w:t>
      </w:r>
      <w:r w:rsidRPr="007E4DEB">
        <w:rPr>
          <w:rFonts w:cs="Calibri"/>
          <w:color w:val="000000" w:themeColor="text1"/>
          <w:sz w:val="12"/>
        </w:rPr>
        <w:t xml:space="preserve"> (</w:t>
      </w:r>
      <w:hyperlink r:id="rId12" w:anchor="b11" w:history="1">
        <w:r w:rsidRPr="007E4DEB">
          <w:rPr>
            <w:rFonts w:cs="Calibri"/>
            <w:color w:val="000000" w:themeColor="text1"/>
            <w:sz w:val="12"/>
          </w:rPr>
          <w:t>Sedgwick: 2003, 114</w:t>
        </w:r>
      </w:hyperlink>
      <w:r w:rsidRPr="007E4DEB">
        <w:rPr>
          <w:rFonts w:cs="Calibri"/>
          <w:color w:val="000000" w:themeColor="text1"/>
          <w:sz w:val="12"/>
        </w:rPr>
        <w:t xml:space="preserve">). </w:t>
      </w:r>
      <w:r w:rsidRPr="007E4DEB">
        <w:rPr>
          <w:rFonts w:cs="Calibri"/>
          <w:b/>
          <w:color w:val="000000" w:themeColor="text1"/>
          <w:highlight w:val="yellow"/>
          <w:u w:val="single"/>
        </w:rPr>
        <w:t>Affect</w:t>
      </w:r>
      <w:r w:rsidRPr="007E4DEB">
        <w:rPr>
          <w:rFonts w:cs="Calibri"/>
          <w:color w:val="000000" w:themeColor="text1"/>
          <w:sz w:val="12"/>
        </w:rPr>
        <w:t xml:space="preserve">, for Lauren </w:t>
      </w:r>
      <w:proofErr w:type="spellStart"/>
      <w:r w:rsidRPr="007E4DEB">
        <w:rPr>
          <w:rFonts w:cs="Calibri"/>
          <w:color w:val="000000" w:themeColor="text1"/>
          <w:sz w:val="12"/>
        </w:rPr>
        <w:t>Berlant</w:t>
      </w:r>
      <w:proofErr w:type="spellEnd"/>
      <w:r w:rsidRPr="007E4DEB">
        <w:rPr>
          <w:rFonts w:cs="Calibri"/>
          <w:color w:val="000000" w:themeColor="text1"/>
          <w:sz w:val="12"/>
          <w:highlight w:val="yellow"/>
        </w:rPr>
        <w:t>,</w:t>
      </w:r>
      <w:r w:rsidRPr="007E4DEB">
        <w:rPr>
          <w:rFonts w:cs="Calibri"/>
          <w:color w:val="000000" w:themeColor="text1"/>
          <w:sz w:val="12"/>
        </w:rPr>
        <w:t xml:space="preserve"> </w:t>
      </w:r>
      <w:r w:rsidRPr="007E4DEB">
        <w:rPr>
          <w:rFonts w:cs="Calibri"/>
          <w:b/>
          <w:color w:val="000000" w:themeColor="text1"/>
          <w:highlight w:val="yellow"/>
          <w:u w:val="single"/>
        </w:rPr>
        <w:t>is</w:t>
      </w:r>
      <w:r w:rsidRPr="007E4DEB">
        <w:rPr>
          <w:rFonts w:cs="Calibri"/>
          <w:color w:val="000000" w:themeColor="text1"/>
          <w:sz w:val="12"/>
        </w:rPr>
        <w:t xml:space="preserve"> thus understandable as "sensual </w:t>
      </w:r>
      <w:r w:rsidRPr="007E4DEB">
        <w:rPr>
          <w:rFonts w:cs="Calibri"/>
          <w:b/>
          <w:color w:val="000000" w:themeColor="text1"/>
          <w:highlight w:val="yellow"/>
          <w:u w:val="single"/>
        </w:rPr>
        <w:t>matter that is elsewhere to sovereign consciousness but</w:t>
      </w:r>
      <w:r w:rsidRPr="007E4DEB">
        <w:rPr>
          <w:rFonts w:cs="Calibri"/>
          <w:color w:val="000000" w:themeColor="text1"/>
          <w:sz w:val="12"/>
        </w:rPr>
        <w:t xml:space="preserve"> that </w:t>
      </w:r>
      <w:r w:rsidRPr="007E4DEB">
        <w:rPr>
          <w:rFonts w:cs="Calibri"/>
          <w:b/>
          <w:color w:val="000000" w:themeColor="text1"/>
          <w:highlight w:val="yellow"/>
          <w:u w:val="single"/>
        </w:rPr>
        <w:t>has</w:t>
      </w:r>
      <w:r w:rsidRPr="007E4DEB">
        <w:rPr>
          <w:rFonts w:cs="Calibri"/>
          <w:color w:val="000000" w:themeColor="text1"/>
          <w:sz w:val="12"/>
        </w:rPr>
        <w:t xml:space="preserve"> historical </w:t>
      </w:r>
      <w:r w:rsidRPr="007E4DEB">
        <w:rPr>
          <w:rFonts w:cs="Calibri"/>
          <w:b/>
          <w:color w:val="000000" w:themeColor="text1"/>
          <w:highlight w:val="yellow"/>
          <w:u w:val="single"/>
        </w:rPr>
        <w:t>significance in domains of subjectivity</w:t>
      </w:r>
      <w:r w:rsidRPr="007E4DEB">
        <w:rPr>
          <w:rFonts w:cs="Calibri"/>
          <w:color w:val="000000" w:themeColor="text1"/>
          <w:sz w:val="12"/>
        </w:rPr>
        <w:t>"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53</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u w:val="single"/>
        </w:rPr>
        <w:t>Affect theory is about how systems of forces circulating within bodies</w:t>
      </w:r>
      <w:r w:rsidRPr="007E4DEB">
        <w:rPr>
          <w:rFonts w:cs="Calibri"/>
          <w:color w:val="000000" w:themeColor="text1"/>
          <w:sz w:val="12"/>
        </w:rPr>
        <w:t>—forces not necessarily subsumable or describable by language—</w:t>
      </w:r>
      <w:r w:rsidRPr="007E4DEB">
        <w:rPr>
          <w:rFonts w:cs="Calibri"/>
          <w:b/>
          <w:color w:val="000000" w:themeColor="text1"/>
          <w:u w:val="single"/>
        </w:rPr>
        <w:t>interface with histories</w:t>
      </w:r>
      <w:r w:rsidRPr="007E4DEB">
        <w:rPr>
          <w:rFonts w:cs="Calibri"/>
          <w:color w:val="000000" w:themeColor="text1"/>
          <w:sz w:val="12"/>
        </w:rPr>
        <w:t>. It is about how discourses form ligatures with pulsing flesh-and-blood creatures. Two recent texts, Sara Ahmed's The Promise of Happiness (</w:t>
      </w:r>
      <w:hyperlink r:id="rId13" w:anchor="b1" w:history="1">
        <w:r w:rsidRPr="007E4DEB">
          <w:rPr>
            <w:rFonts w:cs="Calibri"/>
            <w:color w:val="000000" w:themeColor="text1"/>
            <w:sz w:val="12"/>
          </w:rPr>
          <w:t>2010</w:t>
        </w:r>
      </w:hyperlink>
      <w:r w:rsidRPr="007E4DEB">
        <w:rPr>
          <w:rFonts w:cs="Calibri"/>
          <w:color w:val="000000" w:themeColor="text1"/>
          <w:sz w:val="12"/>
        </w:rPr>
        <w:t xml:space="preserve">) and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Cruel Optimism (</w:t>
      </w:r>
      <w:hyperlink r:id="rId14" w:anchor="b2" w:history="1">
        <w:r w:rsidRPr="007E4DEB">
          <w:rPr>
            <w:rFonts w:cs="Calibri"/>
            <w:color w:val="000000" w:themeColor="text1"/>
            <w:sz w:val="12"/>
          </w:rPr>
          <w:t>2011</w:t>
        </w:r>
      </w:hyperlink>
      <w:r w:rsidRPr="007E4DEB">
        <w:rPr>
          <w:rFonts w:cs="Calibri"/>
          <w:color w:val="000000" w:themeColor="text1"/>
          <w:sz w:val="12"/>
        </w:rPr>
        <w:t>), can be seen as developing this strand, and in particular, of indicating new ways of feeling out politics through the membrane of affect theory. Both of these authors suggest that the repertoire of the analytics of power (</w:t>
      </w:r>
      <w:hyperlink r:id="rId15" w:anchor="b6" w:history="1">
        <w:r w:rsidRPr="007E4DEB">
          <w:rPr>
            <w:rFonts w:cs="Calibri"/>
            <w:color w:val="000000" w:themeColor="text1"/>
            <w:sz w:val="12"/>
          </w:rPr>
          <w:t>Foucault: 1990</w:t>
        </w:r>
      </w:hyperlink>
      <w:r w:rsidRPr="007E4DEB">
        <w:rPr>
          <w:rFonts w:cs="Calibri"/>
          <w:color w:val="000000" w:themeColor="text1"/>
          <w:sz w:val="12"/>
        </w:rPr>
        <w:t>) must be supplemented with resources from the affective turn. Recent critiques of affect theory</w:t>
      </w:r>
      <w:hyperlink r:id="rId16" w:anchor="f2" w:history="1">
        <w:r w:rsidRPr="007E4DEB">
          <w:rPr>
            <w:rFonts w:cs="Calibri"/>
            <w:color w:val="000000" w:themeColor="text1"/>
            <w:sz w:val="12"/>
          </w:rPr>
          <w:t>2</w:t>
        </w:r>
      </w:hyperlink>
      <w:r w:rsidRPr="007E4DEB">
        <w:rPr>
          <w:rFonts w:cs="Calibri"/>
          <w:color w:val="000000" w:themeColor="text1"/>
          <w:sz w:val="12"/>
        </w:rPr>
        <w:t xml:space="preserve"> have focused on a branch of affect theory heavily informed by Gilles Deleuze's reading of Spinoza. In this strand, affect is rendered as a set of ontological properties, as an ensemble of mutable attributes.</w:t>
      </w:r>
      <w:hyperlink r:id="rId17" w:anchor="f3" w:history="1">
        <w:r w:rsidRPr="007E4DEB">
          <w:rPr>
            <w:rFonts w:cs="Calibri"/>
            <w:color w:val="000000" w:themeColor="text1"/>
            <w:sz w:val="12"/>
          </w:rPr>
          <w:t>3</w:t>
        </w:r>
      </w:hyperlink>
      <w:r w:rsidRPr="007E4DEB">
        <w:rPr>
          <w:rFonts w:cs="Calibri"/>
          <w:color w:val="000000" w:themeColor="text1"/>
          <w:sz w:val="12"/>
        </w:rPr>
        <w:t xml:space="preserve"> Contemporary </w:t>
      </w:r>
      <w:proofErr w:type="spellStart"/>
      <w:r w:rsidRPr="007E4DEB">
        <w:rPr>
          <w:rFonts w:cs="Calibri"/>
          <w:color w:val="000000" w:themeColor="text1"/>
          <w:sz w:val="12"/>
        </w:rPr>
        <w:t>Deleuzians</w:t>
      </w:r>
      <w:proofErr w:type="spellEnd"/>
      <w:r w:rsidRPr="007E4DEB">
        <w:rPr>
          <w:rFonts w:cs="Calibri"/>
          <w:color w:val="000000" w:themeColor="text1"/>
          <w:sz w:val="12"/>
        </w:rPr>
        <w:t xml:space="preserve"> such as Brian Massumi</w:t>
      </w:r>
      <w:hyperlink r:id="rId18" w:anchor="f4" w:history="1">
        <w:r w:rsidRPr="007E4DEB">
          <w:rPr>
            <w:rFonts w:cs="Calibri"/>
            <w:color w:val="000000" w:themeColor="text1"/>
            <w:sz w:val="12"/>
          </w:rPr>
          <w:t>4</w:t>
        </w:r>
      </w:hyperlink>
      <w:r w:rsidRPr="007E4DEB">
        <w:rPr>
          <w:rFonts w:cs="Calibri"/>
          <w:color w:val="000000" w:themeColor="text1"/>
          <w:sz w:val="12"/>
        </w:rPr>
        <w:t xml:space="preserve"> and William Connolly</w:t>
      </w:r>
      <w:hyperlink r:id="rId19" w:anchor="f5" w:history="1">
        <w:r w:rsidRPr="007E4DEB">
          <w:rPr>
            <w:rFonts w:cs="Calibri"/>
            <w:color w:val="000000" w:themeColor="text1"/>
            <w:sz w:val="12"/>
          </w:rPr>
          <w:t>5</w:t>
        </w:r>
      </w:hyperlink>
      <w:r w:rsidRPr="007E4DEB">
        <w:rPr>
          <w:rFonts w:cs="Calibri"/>
          <w:color w:val="000000" w:themeColor="text1"/>
          <w:sz w:val="12"/>
        </w:rPr>
        <w:t xml:space="preserve"> have been targeted by these critics for their attempts at absorbing scientific research into the </w:t>
      </w:r>
      <w:proofErr w:type="spellStart"/>
      <w:r w:rsidRPr="007E4DEB">
        <w:rPr>
          <w:rFonts w:cs="Calibri"/>
          <w:color w:val="000000" w:themeColor="text1"/>
          <w:sz w:val="12"/>
        </w:rPr>
        <w:t>Spinozistic</w:t>
      </w:r>
      <w:proofErr w:type="spellEnd"/>
      <w:r w:rsidRPr="007E4DEB">
        <w:rPr>
          <w:rFonts w:cs="Calibri"/>
          <w:color w:val="000000" w:themeColor="text1"/>
          <w:sz w:val="12"/>
        </w:rPr>
        <w:t xml:space="preserve"> discourse of affect. But Spinoza and Deleuze are second-tier characters in Ahmed and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work—which is perhaps why Ahmed situates herself in a lineage—stretching back to Sedgwick—that she calls "feminist cultural studies of affect"</w:t>
      </w:r>
      <w:hyperlink r:id="rId20" w:anchor="f6" w:history="1">
        <w:r w:rsidRPr="007E4DEB">
          <w:rPr>
            <w:rFonts w:cs="Calibri"/>
            <w:color w:val="000000" w:themeColor="text1"/>
            <w:sz w:val="12"/>
          </w:rPr>
          <w:t>6</w:t>
        </w:r>
      </w:hyperlink>
      <w:r w:rsidRPr="007E4DEB">
        <w:rPr>
          <w:rFonts w:cs="Calibri"/>
          <w:color w:val="000000" w:themeColor="text1"/>
          <w:sz w:val="12"/>
        </w:rPr>
        <w:t xml:space="preserve"> (</w:t>
      </w:r>
      <w:hyperlink r:id="rId21" w:anchor="b1" w:history="1">
        <w:r w:rsidRPr="007E4DEB">
          <w:rPr>
            <w:rFonts w:cs="Calibri"/>
            <w:color w:val="000000" w:themeColor="text1"/>
            <w:sz w:val="12"/>
          </w:rPr>
          <w:t>Ahmed: 2010, 13</w:t>
        </w:r>
      </w:hyperlink>
      <w:r w:rsidRPr="007E4DEB">
        <w:rPr>
          <w:rFonts w:cs="Calibri"/>
          <w:color w:val="000000" w:themeColor="text1"/>
          <w:sz w:val="12"/>
        </w:rPr>
        <w:t xml:space="preserve">). Where the </w:t>
      </w:r>
      <w:proofErr w:type="spellStart"/>
      <w:r w:rsidRPr="007E4DEB">
        <w:rPr>
          <w:rFonts w:cs="Calibri"/>
          <w:color w:val="000000" w:themeColor="text1"/>
          <w:sz w:val="12"/>
        </w:rPr>
        <w:t>Deleuzian</w:t>
      </w:r>
      <w:proofErr w:type="spellEnd"/>
      <w:r w:rsidRPr="007E4DEB">
        <w:rPr>
          <w:rFonts w:cs="Calibri"/>
          <w:color w:val="000000" w:themeColor="text1"/>
          <w:sz w:val="12"/>
        </w:rPr>
        <w:t xml:space="preserve"> strands focuses on affect as the raw material of becoming, as the play of substances,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locate </w:t>
      </w:r>
      <w:r w:rsidRPr="007E4DEB">
        <w:rPr>
          <w:rFonts w:cs="Calibri"/>
          <w:b/>
          <w:color w:val="000000" w:themeColor="text1"/>
          <w:u w:val="single"/>
        </w:rPr>
        <w:t>affect theory [is]</w:t>
      </w:r>
      <w:r w:rsidRPr="007E4DEB">
        <w:rPr>
          <w:rFonts w:cs="Calibri"/>
          <w:color w:val="000000" w:themeColor="text1"/>
          <w:sz w:val="12"/>
        </w:rPr>
        <w:t xml:space="preserve"> as a </w:t>
      </w:r>
      <w:r w:rsidRPr="007E4DEB">
        <w:rPr>
          <w:rFonts w:cs="Calibri"/>
          <w:b/>
          <w:color w:val="000000" w:themeColor="text1"/>
          <w:u w:val="single"/>
        </w:rPr>
        <w:t>phenomenological, rather than ontological</w:t>
      </w:r>
      <w:r w:rsidRPr="007E4DEB">
        <w:rPr>
          <w:rFonts w:cs="Calibri"/>
          <w:color w:val="000000" w:themeColor="text1"/>
          <w:sz w:val="12"/>
        </w:rPr>
        <w:t xml:space="preserve"> enterprise. It is in the phenomenology of the political that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ground their projects. For Ahmed, this comes in the form of a new attention to happiness as an object of analysis. This does not mean a circumscribed exploration of happiness as a thing, but rather programmatically asking the question "what does happiness do?" (</w:t>
      </w:r>
      <w:hyperlink r:id="rId22" w:anchor="b1" w:history="1">
        <w:r w:rsidRPr="007E4DEB">
          <w:rPr>
            <w:rFonts w:cs="Calibri"/>
            <w:color w:val="000000" w:themeColor="text1"/>
            <w:sz w:val="12"/>
          </w:rPr>
          <w:t>Ahmed: 2010, 2</w:t>
        </w:r>
      </w:hyperlink>
      <w:r w:rsidRPr="007E4DEB">
        <w:rPr>
          <w:rFonts w:cs="Calibri"/>
          <w:color w:val="000000" w:themeColor="text1"/>
          <w:sz w:val="12"/>
        </w:rPr>
        <w:t xml:space="preserve">). </w:t>
      </w:r>
      <w:r w:rsidRPr="007E4DEB">
        <w:rPr>
          <w:rFonts w:cs="Calibri"/>
          <w:b/>
          <w:color w:val="000000" w:themeColor="text1"/>
          <w:u w:val="single"/>
        </w:rPr>
        <w:t>Happiness is not autonomous,</w:t>
      </w:r>
      <w:r w:rsidRPr="007E4DEB">
        <w:rPr>
          <w:rFonts w:cs="Calibri"/>
          <w:color w:val="000000" w:themeColor="text1"/>
          <w:sz w:val="12"/>
        </w:rPr>
        <w:t xml:space="preserve"> Ahmed argues, </w:t>
      </w:r>
      <w:r w:rsidRPr="007E4DEB">
        <w:rPr>
          <w:rFonts w:cs="Calibri"/>
          <w:b/>
          <w:color w:val="000000" w:themeColor="text1"/>
          <w:u w:val="single"/>
        </w:rPr>
        <w:t>but a relationship of evaluation that creates the horizon of the self.</w:t>
      </w:r>
      <w:r w:rsidRPr="007E4DEB">
        <w:rPr>
          <w:rFonts w:cs="Calibri"/>
          <w:color w:val="000000" w:themeColor="text1"/>
          <w:sz w:val="12"/>
        </w:rPr>
        <w:t xml:space="preserve"> For Ahmed, the "near sphere" of </w:t>
      </w:r>
      <w:r w:rsidRPr="007E4DEB">
        <w:rPr>
          <w:rFonts w:cs="Calibri"/>
          <w:b/>
          <w:color w:val="000000" w:themeColor="text1"/>
          <w:u w:val="single"/>
        </w:rPr>
        <w:t>the self is constituted by a perimeter studded with "happy objects." This cluster</w:t>
      </w:r>
      <w:r w:rsidRPr="007E4DEB">
        <w:rPr>
          <w:rFonts w:cs="Calibri"/>
          <w:color w:val="000000" w:themeColor="text1"/>
          <w:sz w:val="12"/>
        </w:rPr>
        <w:t xml:space="preserve"> of objects </w:t>
      </w:r>
      <w:r w:rsidRPr="007E4DEB">
        <w:rPr>
          <w:rFonts w:cs="Calibri"/>
          <w:b/>
          <w:color w:val="000000" w:themeColor="text1"/>
          <w:u w:val="single"/>
        </w:rPr>
        <w:t>is what gives the field of mobile operations of the self its shape</w:t>
      </w:r>
      <w:r w:rsidRPr="007E4DEB">
        <w:rPr>
          <w:rFonts w:cs="Calibri"/>
          <w:color w:val="000000" w:themeColor="text1"/>
          <w:sz w:val="12"/>
        </w:rPr>
        <w:t>. In this "drama of contingency," we "come to have our likes, which might even establish what we are like" (</w:t>
      </w:r>
      <w:hyperlink r:id="rId23" w:anchor="b1" w:history="1">
        <w:r w:rsidRPr="007E4DEB">
          <w:rPr>
            <w:rFonts w:cs="Calibri"/>
            <w:color w:val="000000" w:themeColor="text1"/>
            <w:sz w:val="12"/>
          </w:rPr>
          <w:t>Ahmed: 2010, 24</w:t>
        </w:r>
      </w:hyperlink>
      <w:r w:rsidRPr="007E4DEB">
        <w:rPr>
          <w:rFonts w:cs="Calibri"/>
          <w:color w:val="000000" w:themeColor="text1"/>
          <w:sz w:val="12"/>
        </w:rPr>
        <w:t xml:space="preserve">).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7E4DEB">
        <w:rPr>
          <w:rFonts w:cs="Calibri"/>
          <w:color w:val="000000" w:themeColor="text1"/>
          <w:sz w:val="12"/>
        </w:rPr>
        <w:t>promittere</w:t>
      </w:r>
      <w:proofErr w:type="spellEnd"/>
      <w:r w:rsidRPr="007E4DEB">
        <w:rPr>
          <w:rFonts w:cs="Calibri"/>
          <w:color w:val="000000" w:themeColor="text1"/>
          <w:sz w:val="12"/>
        </w:rPr>
        <w:t>, "to let go or send forth"—is an anticipation rather than a felt presence (</w:t>
      </w:r>
      <w:hyperlink r:id="rId24" w:anchor="b1" w:history="1">
        <w:r w:rsidRPr="007E4DEB">
          <w:rPr>
            <w:rFonts w:cs="Calibri"/>
            <w:color w:val="000000" w:themeColor="text1"/>
            <w:sz w:val="12"/>
          </w:rPr>
          <w:t>Ahmed: 2010, 38</w:t>
        </w:r>
      </w:hyperlink>
      <w:r w:rsidRPr="007E4DEB">
        <w:rPr>
          <w:rFonts w:cs="Calibri"/>
          <w:color w:val="000000" w:themeColor="text1"/>
          <w:sz w:val="12"/>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5" w:anchor="b1" w:history="1">
        <w:r w:rsidRPr="007E4DEB">
          <w:rPr>
            <w:rFonts w:cs="Calibri"/>
            <w:color w:val="000000" w:themeColor="text1"/>
            <w:sz w:val="12"/>
          </w:rPr>
          <w:t>Ahmed: 2010, 6</w:t>
        </w:r>
      </w:hyperlink>
      <w:r w:rsidRPr="007E4DEB">
        <w:rPr>
          <w:rFonts w:cs="Calibri"/>
          <w:color w:val="000000" w:themeColor="text1"/>
          <w:sz w:val="12"/>
        </w:rPr>
        <w:t>). This sense of the promise of happiness is the elimination of contingency by guaranteeing the futurity of happiness: "The promise of happiness takes this form: if you have this or have that, or if you do this or do that, then happiness is what follows" (</w:t>
      </w:r>
      <w:hyperlink r:id="rId26" w:anchor="b1" w:history="1">
        <w:r w:rsidRPr="007E4DEB">
          <w:rPr>
            <w:rFonts w:cs="Calibri"/>
            <w:color w:val="000000" w:themeColor="text1"/>
            <w:sz w:val="12"/>
          </w:rPr>
          <w:t>Ahmed: 2010, 29</w:t>
        </w:r>
      </w:hyperlink>
      <w:r w:rsidRPr="007E4DEB">
        <w:rPr>
          <w:rFonts w:cs="Calibri"/>
          <w:color w:val="000000" w:themeColor="text1"/>
          <w:sz w:val="12"/>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7" w:anchor="b1" w:history="1">
        <w:r w:rsidRPr="007E4DEB">
          <w:rPr>
            <w:rFonts w:cs="Calibri"/>
            <w:color w:val="000000" w:themeColor="text1"/>
            <w:sz w:val="12"/>
          </w:rPr>
          <w:t>Ahmed: 2010, 46</w:t>
        </w:r>
      </w:hyperlink>
      <w:r w:rsidRPr="007E4DEB">
        <w:rPr>
          <w:rFonts w:cs="Calibri"/>
          <w:color w:val="000000" w:themeColor="text1"/>
          <w:sz w:val="12"/>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8" w:anchor="b1" w:history="1">
        <w:r w:rsidRPr="007E4DEB">
          <w:rPr>
            <w:rFonts w:cs="Calibri"/>
            <w:color w:val="000000" w:themeColor="text1"/>
            <w:sz w:val="12"/>
          </w:rPr>
          <w:t>Ahmed: 2010, 217</w:t>
        </w:r>
      </w:hyperlink>
      <w:r w:rsidRPr="007E4DEB">
        <w:rPr>
          <w:rFonts w:cs="Calibri"/>
          <w:color w:val="000000" w:themeColor="text1"/>
          <w:sz w:val="12"/>
        </w:rPr>
        <w:t>). In the closing passage of the book she writes that since "the desire for happiness can cover signs of its negation, a revolutionary politics has to work hard to stay proximate to unhappiness" (</w:t>
      </w:r>
      <w:hyperlink r:id="rId29" w:anchor="b1" w:history="1">
        <w:r w:rsidRPr="007E4DEB">
          <w:rPr>
            <w:rFonts w:cs="Calibri"/>
            <w:color w:val="000000" w:themeColor="text1"/>
            <w:sz w:val="12"/>
          </w:rPr>
          <w:t>Ahmed: 2010, 223</w:t>
        </w:r>
      </w:hyperlink>
      <w:r w:rsidRPr="007E4DEB">
        <w:rPr>
          <w:rFonts w:cs="Calibri"/>
          <w:color w:val="000000" w:themeColor="text1"/>
          <w:sz w:val="12"/>
        </w:rPr>
        <w:t xml:space="preserve">).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Cruel Optimism is Kathleen Stewart's Ordinary Affects (</w:t>
      </w:r>
      <w:hyperlink r:id="rId30" w:anchor="b12" w:history="1">
        <w:r w:rsidRPr="007E4DEB">
          <w:rPr>
            <w:rFonts w:cs="Calibri"/>
            <w:color w:val="000000" w:themeColor="text1"/>
            <w:sz w:val="12"/>
          </w:rPr>
          <w:t>2007</w:t>
        </w:r>
      </w:hyperlink>
      <w:r w:rsidRPr="007E4DEB">
        <w:rPr>
          <w:rFonts w:cs="Calibri"/>
          <w:color w:val="000000" w:themeColor="text1"/>
          <w:sz w:val="12"/>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1" w:anchor="b12" w:history="1">
        <w:r w:rsidRPr="007E4DEB">
          <w:rPr>
            <w:rFonts w:cs="Calibri"/>
            <w:color w:val="000000" w:themeColor="text1"/>
            <w:sz w:val="12"/>
          </w:rPr>
          <w:t>Stewart: 2007, 1f</w:t>
        </w:r>
      </w:hyperlink>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interested in particular in how the ordinary comes to take the form of a sort of affective impasse, a set of felt relationships that cannot be moved through. Cruel Optimism is a focused study of a particular category of impasse, what she calls "cruel optimism." </w:t>
      </w:r>
      <w:r w:rsidRPr="007E4DEB">
        <w:rPr>
          <w:rFonts w:cs="Calibri"/>
          <w:b/>
          <w:color w:val="000000" w:themeColor="text1"/>
          <w:highlight w:val="yellow"/>
          <w:u w:val="single"/>
        </w:rPr>
        <w:t>Cruel optimism</w:t>
      </w:r>
      <w:r w:rsidRPr="007E4DEB">
        <w:rPr>
          <w:rFonts w:cs="Calibri"/>
          <w:color w:val="000000" w:themeColor="text1"/>
          <w:sz w:val="12"/>
        </w:rPr>
        <w:t xml:space="preserve">, she explains at the book's outset, refers to a relation that </w:t>
      </w:r>
      <w:r w:rsidRPr="007E4DEB">
        <w:rPr>
          <w:rFonts w:cs="Calibri"/>
          <w:b/>
          <w:color w:val="000000" w:themeColor="text1"/>
          <w:highlight w:val="yellow"/>
          <w:u w:val="single"/>
        </w:rPr>
        <w:t>emerges "when something you desire is actually an obstacle to your flourishing</w:t>
      </w:r>
      <w:r w:rsidRPr="007E4DEB">
        <w:rPr>
          <w:rFonts w:cs="Calibri"/>
          <w:color w:val="000000" w:themeColor="text1"/>
          <w:sz w:val="12"/>
        </w:rPr>
        <w:t xml:space="preserve">. It might involve food, or a kind of love; </w:t>
      </w:r>
      <w:r w:rsidRPr="007E4DEB">
        <w:rPr>
          <w:rFonts w:cs="Calibri"/>
          <w:b/>
          <w:color w:val="000000" w:themeColor="text1"/>
          <w:u w:val="single"/>
        </w:rPr>
        <w:t xml:space="preserve">it might be </w:t>
      </w:r>
      <w:r w:rsidRPr="007E4DEB">
        <w:rPr>
          <w:rFonts w:cs="Calibri"/>
          <w:b/>
          <w:color w:val="000000" w:themeColor="text1"/>
          <w:highlight w:val="yellow"/>
          <w:u w:val="single"/>
        </w:rPr>
        <w:t>a fantasy of the good life, or a political project</w:t>
      </w:r>
      <w:r w:rsidRPr="007E4DEB">
        <w:rPr>
          <w:rFonts w:cs="Calibri"/>
          <w:color w:val="000000" w:themeColor="text1"/>
          <w:sz w:val="12"/>
        </w:rPr>
        <w:t>"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1</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explores a range of situations where </w:t>
      </w:r>
      <w:r w:rsidRPr="007E4DEB">
        <w:rPr>
          <w:rFonts w:cs="Calibri"/>
          <w:b/>
          <w:color w:val="000000" w:themeColor="text1"/>
          <w:u w:val="single"/>
        </w:rPr>
        <w:t>these attachments emerge, as a response to trauma or out of the ongoing pressures of the ordinary</w:t>
      </w:r>
      <w:r w:rsidRPr="007E4DEB">
        <w:rPr>
          <w:rFonts w:cs="Calibri"/>
          <w:color w:val="000000" w:themeColor="text1"/>
          <w:sz w:val="12"/>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7</w:t>
      </w:r>
      <w:r>
        <w:rPr>
          <w:rFonts w:cs="Calibri"/>
          <w:color w:val="000000" w:themeColor="text1"/>
          <w:sz w:val="12"/>
        </w:rPr>
        <w:fldChar w:fldCharType="end"/>
      </w:r>
      <w:r w:rsidRPr="007E4DEB">
        <w:rPr>
          <w:rFonts w:cs="Calibri"/>
          <w:color w:val="000000" w:themeColor="text1"/>
          <w:sz w:val="12"/>
        </w:rPr>
        <w:t xml:space="preserve">). Realism: texts always reflect an affective situation, a force field of desires, a labile contact zone between bodies and intersecting historical frames. Framing literary criticism (broadly construed) as a practice of </w:t>
      </w:r>
      <w:r w:rsidRPr="007E4DEB">
        <w:rPr>
          <w:rFonts w:cs="Calibri"/>
          <w:b/>
          <w:color w:val="000000" w:themeColor="text1"/>
          <w:u w:val="single"/>
        </w:rPr>
        <w:t>tracing the connective tissue between bodies and situations</w:t>
      </w:r>
      <w:r w:rsidRPr="007E4DEB">
        <w:rPr>
          <w:rFonts w:cs="Calibri"/>
          <w:b/>
          <w:color w:val="000000" w:themeColor="text1"/>
          <w:sz w:val="12"/>
          <w:u w:val="single"/>
        </w:rPr>
        <w:t xml:space="preserve"> </w:t>
      </w:r>
      <w:r w:rsidRPr="007E4DEB">
        <w:rPr>
          <w:rFonts w:cs="Calibri"/>
          <w:b/>
          <w:color w:val="000000" w:themeColor="text1"/>
          <w:u w:val="single"/>
        </w:rPr>
        <w:t>is</w:t>
      </w:r>
      <w:r w:rsidRPr="007E4DEB">
        <w:rPr>
          <w:rFonts w:cs="Calibri"/>
          <w:color w:val="000000" w:themeColor="text1"/>
          <w:sz w:val="12"/>
        </w:rPr>
        <w:t xml:space="preserve"> what lets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speak to </w:t>
      </w:r>
      <w:r w:rsidRPr="007E4DEB">
        <w:rPr>
          <w:rFonts w:cs="Calibri"/>
          <w:b/>
          <w:color w:val="000000" w:themeColor="text1"/>
          <w:u w:val="single"/>
        </w:rPr>
        <w:t>the political use</w:t>
      </w:r>
      <w:r w:rsidRPr="007E4DEB">
        <w:rPr>
          <w:rFonts w:cs="Calibri"/>
          <w:color w:val="000000" w:themeColor="text1"/>
          <w:sz w:val="12"/>
        </w:rPr>
        <w:t xml:space="preserve">s </w:t>
      </w:r>
      <w:r w:rsidRPr="007E4DEB">
        <w:rPr>
          <w:rFonts w:cs="Calibri"/>
          <w:b/>
          <w:color w:val="000000" w:themeColor="text1"/>
          <w:u w:val="single"/>
        </w:rPr>
        <w:t>of affect</w:t>
      </w:r>
      <w:r w:rsidRPr="007E4DEB">
        <w:rPr>
          <w:rFonts w:cs="Calibri"/>
          <w:color w:val="000000" w:themeColor="text1"/>
          <w:sz w:val="12"/>
        </w:rPr>
        <w:t>. She suggests that affect theory is a "another phase in the history of ideology theory," that it "brings us back to the encounter of what is sensed with what is known and what has impact in a new but also recognizable way"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53</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highlight w:val="yellow"/>
          <w:u w:val="single"/>
        </w:rPr>
        <w:t>Affect</w:t>
      </w:r>
      <w:r w:rsidRPr="007E4DEB">
        <w:rPr>
          <w:rFonts w:cs="Calibri"/>
          <w:color w:val="000000" w:themeColor="text1"/>
          <w:sz w:val="12"/>
        </w:rPr>
        <w:t>—especially ordinary affect—</w:t>
      </w:r>
      <w:r w:rsidRPr="007E4DEB">
        <w:rPr>
          <w:rFonts w:cs="Calibri"/>
          <w:b/>
          <w:color w:val="000000" w:themeColor="text1"/>
          <w:highlight w:val="yellow"/>
          <w:u w:val="single"/>
        </w:rPr>
        <w:t>is the missing link between discursive regimes and bodies</w:t>
      </w:r>
      <w:r w:rsidRPr="007E4DEB">
        <w:rPr>
          <w:rFonts w:cs="Calibri"/>
          <w:b/>
          <w:color w:val="000000" w:themeColor="text1"/>
          <w:u w:val="single"/>
        </w:rPr>
        <w:t xml:space="preserve">, the arterial linkages through which power is disseminated. "The present" is not an assemblage of texts and knowledges, bloodless discursive inscriptions on the body, </w:t>
      </w:r>
      <w:r w:rsidRPr="007E4DEB">
        <w:rPr>
          <w:rFonts w:cs="Calibri"/>
          <w:b/>
          <w:color w:val="000000" w:themeColor="text1"/>
          <w:highlight w:val="yellow"/>
          <w:u w:val="single"/>
        </w:rPr>
        <w:t xml:space="preserve">but a felt sense out of which political circumstances emerge. </w:t>
      </w:r>
      <w:r w:rsidRPr="007E4DEB">
        <w:rPr>
          <w:rFonts w:cs="Calibri"/>
          <w:b/>
          <w:color w:val="000000" w:themeColor="text1"/>
          <w:u w:val="single"/>
        </w:rPr>
        <w:t>"</w:t>
      </w:r>
      <w:r w:rsidRPr="007E4DEB">
        <w:rPr>
          <w:rFonts w:cs="Calibri"/>
          <w:b/>
          <w:color w:val="000000" w:themeColor="text1"/>
          <w:highlight w:val="yellow"/>
          <w:u w:val="single"/>
        </w:rPr>
        <w:t>We understand nothing about</w:t>
      </w:r>
      <w:r w:rsidRPr="007E4DEB">
        <w:rPr>
          <w:rFonts w:cs="Calibri"/>
          <w:b/>
          <w:color w:val="000000" w:themeColor="text1"/>
          <w:u w:val="single"/>
        </w:rPr>
        <w:t xml:space="preserve"> impasses of </w:t>
      </w:r>
      <w:r w:rsidRPr="007E4DEB">
        <w:rPr>
          <w:rFonts w:cs="Calibri"/>
          <w:b/>
          <w:color w:val="000000" w:themeColor="text1"/>
          <w:highlight w:val="yellow"/>
          <w:u w:val="single"/>
        </w:rPr>
        <w:t>the political</w:t>
      </w:r>
      <w:r w:rsidRPr="007E4DEB">
        <w:rPr>
          <w:rFonts w:cs="Calibri"/>
          <w:b/>
          <w:color w:val="000000" w:themeColor="text1"/>
          <w:u w:val="single"/>
        </w:rPr>
        <w:t>," she writes, "</w:t>
      </w:r>
      <w:r w:rsidRPr="007E4DEB">
        <w:rPr>
          <w:rFonts w:cs="Calibri"/>
          <w:b/>
          <w:color w:val="000000" w:themeColor="text1"/>
          <w:highlight w:val="yellow"/>
          <w:u w:val="single"/>
        </w:rPr>
        <w:t>without</w:t>
      </w:r>
      <w:r w:rsidRPr="007E4DEB">
        <w:rPr>
          <w:rFonts w:cs="Calibri"/>
          <w:b/>
          <w:color w:val="000000" w:themeColor="text1"/>
          <w:u w:val="single"/>
        </w:rPr>
        <w:t xml:space="preserve"> having </w:t>
      </w:r>
      <w:r w:rsidRPr="007E4DEB">
        <w:rPr>
          <w:rFonts w:cs="Calibri"/>
          <w:b/>
          <w:color w:val="000000" w:themeColor="text1"/>
          <w:highlight w:val="yellow"/>
          <w:u w:val="single"/>
        </w:rPr>
        <w:t>an</w:t>
      </w:r>
      <w:r w:rsidRPr="007E4DEB">
        <w:rPr>
          <w:rFonts w:cs="Calibri"/>
          <w:b/>
          <w:color w:val="000000" w:themeColor="text1"/>
          <w:u w:val="single"/>
        </w:rPr>
        <w:t xml:space="preserve"> </w:t>
      </w:r>
      <w:r w:rsidRPr="007E4DEB">
        <w:rPr>
          <w:rFonts w:cs="Calibri"/>
          <w:b/>
          <w:color w:val="000000" w:themeColor="text1"/>
          <w:highlight w:val="yellow"/>
          <w:u w:val="single"/>
        </w:rPr>
        <w:t>account of the production of the present</w:t>
      </w:r>
      <w:r w:rsidRPr="007E4DEB">
        <w:rPr>
          <w:rFonts w:cs="Calibri"/>
          <w:b/>
          <w:color w:val="000000" w:themeColor="text1"/>
          <w:u w:val="single"/>
        </w:rPr>
        <w:t>"</w:t>
      </w:r>
      <w:r w:rsidRPr="007E4DEB">
        <w:rPr>
          <w:rFonts w:cs="Calibri"/>
          <w:color w:val="000000" w:themeColor="text1"/>
          <w:sz w:val="12"/>
        </w:rPr>
        <w:t xml:space="preserv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4</w:t>
      </w:r>
      <w:r>
        <w:rPr>
          <w:rFonts w:cs="Calibri"/>
          <w:color w:val="000000" w:themeColor="text1"/>
          <w:sz w:val="12"/>
        </w:rPr>
        <w:fldChar w:fldCharType="end"/>
      </w:r>
      <w:r w:rsidRPr="007E4DEB">
        <w:rPr>
          <w:rFonts w:cs="Calibri"/>
          <w:color w:val="000000" w:themeColor="text1"/>
          <w:sz w:val="12"/>
        </w:rPr>
        <w:t xml:space="preserve">). Cruel optimism as a byproduct of political situations colliding with bodies plays out in ongoing, </w:t>
      </w:r>
      <w:proofErr w:type="spellStart"/>
      <w:r w:rsidRPr="007E4DEB">
        <w:rPr>
          <w:rFonts w:cs="Calibri"/>
          <w:color w:val="000000" w:themeColor="text1"/>
          <w:sz w:val="12"/>
        </w:rPr>
        <w:t>semistable</w:t>
      </w:r>
      <w:proofErr w:type="spellEnd"/>
      <w:r w:rsidRPr="007E4DEB">
        <w:rPr>
          <w:rFonts w:cs="Calibri"/>
          <w:color w:val="000000" w:themeColor="text1"/>
          <w:sz w:val="12"/>
        </w:rPr>
        <w:t xml:space="preserve"> routines, in ordinariness. This focus on the ordinary frames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9</w:t>
      </w:r>
      <w:r>
        <w:rPr>
          <w:rFonts w:cs="Calibri"/>
          <w:color w:val="000000" w:themeColor="text1"/>
          <w:sz w:val="12"/>
        </w:rPr>
        <w:fldChar w:fldCharType="end"/>
      </w:r>
      <w:r w:rsidRPr="007E4DEB">
        <w:rPr>
          <w:rFonts w:cs="Calibri"/>
          <w:color w:val="000000" w:themeColor="text1"/>
          <w:sz w:val="12"/>
        </w:rPr>
        <w:t xml:space="preserve">). Rather,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suggests that trauma is only one facet of the ordinary, a precursory event that yields new historical trajectories lived out in slow-motion. "Trauma," she writes, ... forces its subjects not into mere </w:t>
      </w:r>
      <w:proofErr w:type="spellStart"/>
      <w:r w:rsidRPr="007E4DEB">
        <w:rPr>
          <w:rFonts w:cs="Calibri"/>
          <w:color w:val="000000" w:themeColor="text1"/>
          <w:sz w:val="12"/>
        </w:rPr>
        <w:t>stuckness</w:t>
      </w:r>
      <w:proofErr w:type="spellEnd"/>
      <w:r w:rsidRPr="007E4DEB">
        <w:rPr>
          <w:rFonts w:cs="Calibri"/>
          <w:color w:val="000000" w:themeColor="text1"/>
          <w:sz w:val="12"/>
        </w:rPr>
        <w:t xml:space="preserve"> but into crisis mode, where they develop some broad, enduring intuitions about the way we live in a now that's emerging without unfolding, and imagining a historicism from within a discontinuous present and ways of being that were never sovereign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93</w:t>
      </w:r>
      <w:r>
        <w:rPr>
          <w:rFonts w:cs="Calibri"/>
          <w:color w:val="000000" w:themeColor="text1"/>
          <w:sz w:val="12"/>
        </w:rPr>
        <w:fldChar w:fldCharType="end"/>
      </w:r>
      <w:r w:rsidRPr="007E4DEB">
        <w:rPr>
          <w:rFonts w:cs="Calibri"/>
          <w:color w:val="000000" w:themeColor="text1"/>
          <w:sz w:val="12"/>
        </w:rPr>
        <w:t xml:space="preserve">). Rather than the instantiating event,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interested in the fallout of politics, the long-running reverberations. It is in these interwoven aftermaths following in the wake of bodies that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7E4DEB">
        <w:rPr>
          <w:rFonts w:cs="Calibri"/>
          <w:color w:val="000000" w:themeColor="text1"/>
          <w:sz w:val="12"/>
        </w:rPr>
        <w:t>gonna</w:t>
      </w:r>
      <w:proofErr w:type="spellEnd"/>
      <w:r w:rsidRPr="007E4DEB">
        <w:rPr>
          <w:rFonts w:cs="Calibri"/>
          <w:color w:val="000000" w:themeColor="text1"/>
          <w:sz w:val="12"/>
        </w:rPr>
        <w:t xml:space="preserve"> come'"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u w:val="single"/>
        </w:rPr>
        <w:t>Rather than a singularly identifiable feeling, optimism takes the phenomenological form of a "knotty tethering to objects, scenes, and modes of life that generate so much overwhelming yet sustaining negation" (</w:t>
      </w:r>
      <w:proofErr w:type="spellStart"/>
      <w:r>
        <w:fldChar w:fldCharType="begin"/>
      </w:r>
      <w:r>
        <w:instrText xml:space="preserve"> HYPERLINK "https://muse.jhu.edu/article/509908" \l "b2" </w:instrText>
      </w:r>
      <w:r>
        <w:fldChar w:fldCharType="separate"/>
      </w:r>
      <w:r w:rsidRPr="007E4DEB">
        <w:rPr>
          <w:rFonts w:cs="Calibri"/>
          <w:b/>
          <w:color w:val="000000" w:themeColor="text1"/>
          <w:u w:val="single"/>
        </w:rPr>
        <w:t>Berlant</w:t>
      </w:r>
      <w:proofErr w:type="spellEnd"/>
      <w:r w:rsidRPr="007E4DEB">
        <w:rPr>
          <w:rFonts w:cs="Calibri"/>
          <w:b/>
          <w:color w:val="000000" w:themeColor="text1"/>
          <w:u w:val="single"/>
        </w:rPr>
        <w:t>: 2011, 52</w:t>
      </w:r>
      <w:r>
        <w:rPr>
          <w:rFonts w:cs="Calibri"/>
          <w:b/>
          <w:color w:val="000000" w:themeColor="text1"/>
          <w:u w:val="single"/>
        </w:rPr>
        <w:fldChar w:fldCharType="end"/>
      </w:r>
      <w:r w:rsidRPr="007E4DEB">
        <w:rPr>
          <w:rFonts w:cs="Calibri"/>
          <w:b/>
          <w:color w:val="000000" w:themeColor="text1"/>
          <w:u w:val="single"/>
        </w:rPr>
        <w:t xml:space="preserve">). </w:t>
      </w:r>
      <w:r w:rsidRPr="007E4DEB">
        <w:rPr>
          <w:rFonts w:cs="Calibri"/>
          <w:b/>
          <w:color w:val="000000" w:themeColor="text1"/>
          <w:highlight w:val="yellow"/>
          <w:u w:val="single"/>
        </w:rPr>
        <w:t xml:space="preserve">Optimism binds bodies to "fantasies of the good life," </w:t>
      </w:r>
      <w:r w:rsidRPr="007E4DEB">
        <w:rPr>
          <w:rFonts w:cs="Calibri"/>
          <w:b/>
          <w:color w:val="000000" w:themeColor="text1"/>
          <w:u w:val="single"/>
        </w:rPr>
        <w:t xml:space="preserve">to horizons of </w:t>
      </w:r>
      <w:r w:rsidRPr="007E4DEB">
        <w:rPr>
          <w:rFonts w:cs="Calibri"/>
          <w:b/>
          <w:color w:val="000000" w:themeColor="text1"/>
          <w:highlight w:val="yellow"/>
          <w:u w:val="single"/>
        </w:rPr>
        <w:t xml:space="preserve">possibility that may or may not be defeated by the conditions of their own emergence. </w:t>
      </w:r>
      <w:r w:rsidRPr="007E4DEB">
        <w:rPr>
          <w:rFonts w:cs="Calibri"/>
          <w:b/>
          <w:color w:val="000000" w:themeColor="text1"/>
          <w:u w:val="single"/>
        </w:rPr>
        <w:t>Cruel optimism is the outcome of this circumstance of tethering confused by itself, of Möbius-strip cycles of ambition and frustration.</w:t>
      </w:r>
      <w:r w:rsidRPr="007E4DEB">
        <w:rPr>
          <w:rFonts w:cs="Calibri"/>
          <w:color w:val="000000" w:themeColor="text1"/>
          <w:sz w:val="12"/>
        </w:rPr>
        <w:t xml:space="preserve"> The ordinary, precisely because of its complexity, can contain the intransigent contradictions of cruel optimism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53</w:t>
      </w:r>
      <w:r>
        <w:rPr>
          <w:rFonts w:cs="Calibri"/>
          <w:color w:val="000000" w:themeColor="text1"/>
          <w:sz w:val="12"/>
        </w:rPr>
        <w:fldChar w:fldCharType="end"/>
      </w:r>
      <w:r w:rsidRPr="007E4DEB">
        <w:rPr>
          <w:rFonts w:cs="Calibri"/>
          <w:color w:val="000000" w:themeColor="text1"/>
          <w:sz w:val="12"/>
        </w:rPr>
        <w:t xml:space="preserve">). It is the space of the rubble, the hovering dust, the shockwaves that follow the event rather than the piercing clarity of the punctum itself.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interested in the ways that habits form out of situations of impossibility—for instance, in her reading of Gregg </w:t>
      </w:r>
      <w:proofErr w:type="spellStart"/>
      <w:r w:rsidRPr="007E4DEB">
        <w:rPr>
          <w:rFonts w:cs="Calibri"/>
          <w:color w:val="000000" w:themeColor="text1"/>
          <w:sz w:val="12"/>
        </w:rPr>
        <w:t>Bordowitz's</w:t>
      </w:r>
      <w:proofErr w:type="spellEnd"/>
      <w:r w:rsidRPr="007E4DEB">
        <w:rPr>
          <w:rFonts w:cs="Calibri"/>
          <w:color w:val="000000" w:themeColor="text1"/>
          <w:sz w:val="12"/>
        </w:rPr>
        <w:t xml:space="preserve"> documentary </w:t>
      </w:r>
      <w:proofErr w:type="spellStart"/>
      <w:r w:rsidRPr="007E4DEB">
        <w:rPr>
          <w:rFonts w:cs="Calibri"/>
          <w:color w:val="000000" w:themeColor="text1"/>
          <w:sz w:val="12"/>
        </w:rPr>
        <w:t>filmHabit</w:t>
      </w:r>
      <w:proofErr w:type="spellEnd"/>
      <w:r w:rsidRPr="007E4DEB">
        <w:rPr>
          <w:rFonts w:cs="Calibri"/>
          <w:color w:val="000000" w:themeColor="text1"/>
          <w:sz w:val="12"/>
        </w:rPr>
        <w:t xml:space="preserve"> (2001), about the body rituals that structure the daily lives of a gay man living with AIDS and his partner in New York City in the 1990s. </w:t>
      </w:r>
      <w:proofErr w:type="spellStart"/>
      <w:r w:rsidRPr="007E4DEB">
        <w:rPr>
          <w:rFonts w:cs="Calibri"/>
          <w:color w:val="000000" w:themeColor="text1"/>
          <w:sz w:val="12"/>
        </w:rPr>
        <w:t>Bordowitz's</w:t>
      </w:r>
      <w:proofErr w:type="spellEnd"/>
      <w:r w:rsidRPr="007E4DEB">
        <w:rPr>
          <w:rFonts w:cs="Calibri"/>
          <w:color w:val="000000" w:themeColor="text1"/>
          <w:sz w:val="12"/>
        </w:rPr>
        <w:t xml:space="preserve"> work maps a crisis that reflects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delineation of the field of the political: with the new availability of anti-retroviral drugs in the 1990s, AIDS ceased to be "a death sentence," and thus "turned fated life back into an ellipsis, a time marked by pill- and test-taking, and other things, the usual"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58</w:t>
      </w:r>
      <w:r>
        <w:rPr>
          <w:rFonts w:cs="Calibri"/>
          <w:color w:val="000000" w:themeColor="text1"/>
          <w:sz w:val="12"/>
        </w:rPr>
        <w:fldChar w:fldCharType="end"/>
      </w:r>
      <w:r w:rsidRPr="007E4DEB">
        <w:rPr>
          <w:rFonts w:cs="Calibri"/>
          <w:color w:val="000000" w:themeColor="text1"/>
          <w:sz w:val="12"/>
        </w:rPr>
        <w:t xml:space="preserve">). For </w:t>
      </w:r>
      <w:proofErr w:type="spellStart"/>
      <w:r w:rsidRPr="007E4DEB">
        <w:rPr>
          <w:rFonts w:cs="Calibri"/>
          <w:color w:val="000000" w:themeColor="text1"/>
          <w:sz w:val="12"/>
        </w:rPr>
        <w:t>Berlant</w:t>
      </w:r>
      <w:proofErr w:type="spellEnd"/>
      <w:r w:rsidRPr="007E4DEB">
        <w:rPr>
          <w:rFonts w:cs="Calibri"/>
          <w:color w:val="000000" w:themeColor="text1"/>
          <w:sz w:val="12"/>
        </w:rPr>
        <w:t>, the event is a rarity, and is only secondarily the zone of the political, which is itself constituted by ongoing patterns of response and desire—slow-motion echoes producing new forms as they cross-cut and interfere with one another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6</w:t>
      </w:r>
      <w:r>
        <w:rPr>
          <w:rFonts w:cs="Calibri"/>
          <w:color w:val="000000" w:themeColor="text1"/>
          <w:sz w:val="12"/>
        </w:rPr>
        <w:fldChar w:fldCharType="end"/>
      </w:r>
      <w:r w:rsidRPr="007E4DEB">
        <w:rPr>
          <w:rFonts w:cs="Calibri"/>
          <w:color w:val="000000" w:themeColor="text1"/>
          <w:sz w:val="12"/>
        </w:rPr>
        <w:t xml:space="preserve">). In this sense,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explains, her work meshes with Sedgwick's queer reading of affect as the histories that make us desire in unexpected, perverse ways. "The queer tendency of this method,"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writes, "is to put one's attachments back into play and into pleasure, into knowledge, into worlds. It is to admit that they matter"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123</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sees the terrain of the political emerging out of this tissue of affectively-embroidered histories. Although both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is about addiction. When I asked my students to come up with examples of </w:t>
      </w:r>
      <w:r w:rsidRPr="007E4DEB">
        <w:rPr>
          <w:rFonts w:cs="Calibri"/>
          <w:b/>
          <w:color w:val="000000" w:themeColor="text1"/>
          <w:u w:val="single"/>
        </w:rPr>
        <w:t>cruel optimism</w:t>
      </w:r>
      <w:r w:rsidRPr="007E4DEB">
        <w:rPr>
          <w:rFonts w:cs="Calibri"/>
          <w:color w:val="000000" w:themeColor="text1"/>
          <w:sz w:val="12"/>
        </w:rPr>
        <w:t xml:space="preserve">, they brainstormed the following list: heroin, abusive relationships, candy, horcruxes. Each of these instances </w:t>
      </w:r>
      <w:r w:rsidRPr="007E4DEB">
        <w:rPr>
          <w:rFonts w:cs="Calibri"/>
          <w:b/>
          <w:color w:val="000000" w:themeColor="text1"/>
          <w:u w:val="single"/>
        </w:rPr>
        <w:t>suggests a vital but destructive need, an ambivalent compulsion—an addiction</w:t>
      </w:r>
      <w:r w:rsidRPr="007E4DEB">
        <w:rPr>
          <w:rFonts w:cs="Calibri"/>
          <w:color w:val="000000" w:themeColor="text1"/>
          <w:sz w:val="12"/>
        </w:rPr>
        <w:t xml:space="preserve">, where the tectonic plates of the body's affects shift in friction with one another. </w:t>
      </w:r>
      <w:r w:rsidRPr="007E4DEB">
        <w:rPr>
          <w:rFonts w:cs="Calibri"/>
          <w:b/>
          <w:color w:val="000000" w:themeColor="text1"/>
          <w:u w:val="single"/>
        </w:rPr>
        <w:t>Cruel optimism indexes these moments where a body desires and needs an arrangement of the world that is also frustrating or corrosive</w:t>
      </w:r>
      <w:r w:rsidRPr="007E4DEB">
        <w:rPr>
          <w:rFonts w:cs="Calibri"/>
          <w:color w:val="000000" w:themeColor="text1"/>
          <w:sz w:val="12"/>
        </w:rPr>
        <w:t xml:space="preserve">. Politics is one of these zones of fractious attraction.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writes, for instance, that Intensely political seasons spawn reveries of a different immediacy. People imagine alternative environments where authenticity trumps ideology, truths cannot be concealed, and communication feels intimate, face-to-face"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223</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u w:val="single"/>
        </w:rPr>
        <w:t>Politics produces fantasies, tethers that draw us forward to particular attachments in the form of images, narratives, bodily practices</w:t>
      </w:r>
      <w:r w:rsidRPr="007E4DEB">
        <w:rPr>
          <w:rFonts w:cs="Calibri"/>
          <w:color w:val="000000" w:themeColor="text1"/>
          <w:sz w:val="12"/>
        </w:rPr>
        <w:t xml:space="preserve">. But </w:t>
      </w:r>
      <w:r w:rsidRPr="007E4DEB">
        <w:rPr>
          <w:rFonts w:cs="Calibri"/>
          <w:b/>
          <w:color w:val="000000" w:themeColor="text1"/>
          <w:u w:val="single"/>
        </w:rPr>
        <w:t>these fantasies also contain the elements of their own frustration or refusal.</w:t>
      </w:r>
      <w:r w:rsidRPr="007E4DEB">
        <w:rPr>
          <w:rFonts w:cs="Calibri"/>
          <w:color w:val="000000" w:themeColor="text1"/>
          <w:sz w:val="12"/>
        </w:rPr>
        <w:t xml:space="preserve"> President George W. Bush, for example, is able to use the affective elements of statecraft (a practice which,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assures us, is decidedly non-partisan) to create a façade that diverts attention from his flailing foreign and economic policies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226</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focus in Cruel Optimism is on politics as a field of attachments, a skein of affectively pulsing tissues linking bodies together. "Pace </w:t>
      </w:r>
      <w:proofErr w:type="spellStart"/>
      <w:r w:rsidRPr="007E4DEB">
        <w:rPr>
          <w:rFonts w:cs="Calibri"/>
          <w:color w:val="000000" w:themeColor="text1"/>
          <w:sz w:val="12"/>
        </w:rPr>
        <w:t>Žižek</w:t>
      </w:r>
      <w:proofErr w:type="spellEnd"/>
      <w:r w:rsidRPr="007E4DEB">
        <w:rPr>
          <w:rFonts w:cs="Calibri"/>
          <w:color w:val="000000" w:themeColor="text1"/>
          <w:sz w:val="12"/>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7E4DEB">
        <w:rPr>
          <w:rFonts w:cs="Calibri"/>
          <w:color w:val="000000" w:themeColor="text1"/>
          <w:sz w:val="12"/>
        </w:rPr>
        <w:t>affectsphere</w:t>
      </w:r>
      <w:proofErr w:type="spellEnd"/>
      <w:r w:rsidRPr="007E4DEB">
        <w:rPr>
          <w:rFonts w:cs="Calibri"/>
          <w:color w:val="000000" w:themeColor="text1"/>
          <w:sz w:val="12"/>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263</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7E4DEB">
        <w:rPr>
          <w:rFonts w:cs="Calibri"/>
          <w:color w:val="000000" w:themeColor="text1"/>
          <w:sz w:val="12"/>
        </w:rPr>
        <w:t>Thus</w:t>
      </w:r>
      <w:proofErr w:type="gramEnd"/>
      <w:r w:rsidRPr="007E4DEB">
        <w:rPr>
          <w:rFonts w:cs="Calibri"/>
          <w:color w:val="000000" w:themeColor="text1"/>
          <w:sz w:val="12"/>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32" w:anchor="b1" w:history="1">
        <w:r w:rsidRPr="007E4DEB">
          <w:rPr>
            <w:rFonts w:cs="Calibri"/>
            <w:color w:val="000000" w:themeColor="text1"/>
            <w:sz w:val="12"/>
          </w:rPr>
          <w:t>Ahmed: 2010, 196</w:t>
        </w:r>
      </w:hyperlink>
      <w:r w:rsidRPr="007E4DEB">
        <w:rPr>
          <w:rFonts w:cs="Calibri"/>
          <w:color w:val="000000" w:themeColor="text1"/>
          <w:sz w:val="12"/>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33" w:anchor="b1" w:history="1">
        <w:r w:rsidRPr="007E4DEB">
          <w:rPr>
            <w:rFonts w:cs="Calibri"/>
            <w:color w:val="000000" w:themeColor="text1"/>
            <w:sz w:val="12"/>
          </w:rPr>
          <w:t>Ahmed: 2010, 195</w:t>
        </w:r>
      </w:hyperlink>
      <w:r w:rsidRPr="007E4DEB">
        <w:rPr>
          <w:rFonts w:cs="Calibri"/>
          <w:color w:val="000000" w:themeColor="text1"/>
          <w:sz w:val="12"/>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7E4DEB">
        <w:rPr>
          <w:rFonts w:cs="Calibri"/>
          <w:color w:val="000000" w:themeColor="text1"/>
          <w:sz w:val="12"/>
        </w:rPr>
        <w:t>ofpromise</w:t>
      </w:r>
      <w:proofErr w:type="spellEnd"/>
      <w:r w:rsidRPr="007E4DEB">
        <w:rPr>
          <w:rFonts w:cs="Calibri"/>
          <w:color w:val="000000" w:themeColor="text1"/>
          <w:sz w:val="12"/>
        </w:rPr>
        <w:t xml:space="preserve">. </w:t>
      </w:r>
      <w:proofErr w:type="gramStart"/>
      <w:r w:rsidRPr="007E4DEB">
        <w:rPr>
          <w:rFonts w:cs="Calibri"/>
          <w:color w:val="000000" w:themeColor="text1"/>
          <w:sz w:val="12"/>
        </w:rPr>
        <w:t>Thus</w:t>
      </w:r>
      <w:proofErr w:type="gramEnd"/>
      <w:r w:rsidRPr="007E4DEB">
        <w:rPr>
          <w:rFonts w:cs="Calibri"/>
          <w:color w:val="000000" w:themeColor="text1"/>
          <w:sz w:val="12"/>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34" w:anchor="b1" w:history="1">
        <w:r w:rsidRPr="007E4DEB">
          <w:rPr>
            <w:rFonts w:cs="Calibri"/>
            <w:color w:val="000000" w:themeColor="text1"/>
            <w:sz w:val="12"/>
          </w:rPr>
          <w:t>Ahmed: 2010, 198</w:t>
        </w:r>
      </w:hyperlink>
      <w:r w:rsidRPr="007E4DEB">
        <w:rPr>
          <w:rFonts w:cs="Calibri"/>
          <w:color w:val="000000" w:themeColor="text1"/>
          <w:sz w:val="12"/>
        </w:rPr>
        <w:t xml:space="preserve">). Where for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w:t>
      </w:r>
      <w:proofErr w:type="spellStart"/>
      <w:r w:rsidRPr="007E4DEB">
        <w:rPr>
          <w:rFonts w:cs="Calibri"/>
          <w:color w:val="000000" w:themeColor="text1"/>
          <w:sz w:val="12"/>
        </w:rPr>
        <w:t>thematics</w:t>
      </w:r>
      <w:proofErr w:type="spellEnd"/>
      <w:r w:rsidRPr="007E4DEB">
        <w:rPr>
          <w:rFonts w:cs="Calibri"/>
          <w:color w:val="000000" w:themeColor="text1"/>
          <w:sz w:val="12"/>
        </w:rPr>
        <w:t xml:space="preserve"> of the promise that allows us to view affect as a state of deferral. But Ahmed comes closest to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when she writes that "[</w:t>
      </w:r>
      <w:proofErr w:type="spellStart"/>
      <w:r w:rsidRPr="007E4DEB">
        <w:rPr>
          <w:rFonts w:cs="Calibri"/>
          <w:color w:val="000000" w:themeColor="text1"/>
          <w:sz w:val="12"/>
        </w:rPr>
        <w:t>i</w:t>
      </w:r>
      <w:proofErr w:type="spellEnd"/>
      <w:r w:rsidRPr="007E4DEB">
        <w:rPr>
          <w:rFonts w:cs="Calibri"/>
          <w:color w:val="000000" w:themeColor="text1"/>
          <w:sz w:val="12"/>
        </w:rPr>
        <w:t>]f we hope for happiness, then we might be happy as long as we can retain this hope (a happiness that paradoxically allows us to be happy with unhappiness)" (</w:t>
      </w:r>
      <w:hyperlink r:id="rId35" w:anchor="b1" w:history="1">
        <w:r w:rsidRPr="007E4DEB">
          <w:rPr>
            <w:rFonts w:cs="Calibri"/>
            <w:color w:val="000000" w:themeColor="text1"/>
            <w:sz w:val="12"/>
          </w:rPr>
          <w:t>Ahmed: 2010, 181</w:t>
        </w:r>
      </w:hyperlink>
      <w:r w:rsidRPr="007E4DEB">
        <w:rPr>
          <w:rFonts w:cs="Calibri"/>
          <w:color w:val="000000" w:themeColor="text1"/>
          <w:sz w:val="12"/>
        </w:rPr>
        <w:t>). Is deferred happiness really divided from happiness? What if fantasies—what Silvan Tomkins calls "images"</w:t>
      </w:r>
      <w:hyperlink r:id="rId36" w:anchor="f7" w:history="1">
        <w:r w:rsidRPr="007E4DEB">
          <w:rPr>
            <w:rFonts w:cs="Calibri"/>
            <w:color w:val="000000" w:themeColor="text1"/>
            <w:sz w:val="12"/>
          </w:rPr>
          <w:t>7</w:t>
        </w:r>
      </w:hyperlink>
      <w:r w:rsidRPr="007E4DEB">
        <w:rPr>
          <w:rFonts w:cs="Calibri"/>
          <w:color w:val="000000" w:themeColor="text1"/>
          <w:sz w:val="12"/>
        </w:rPr>
        <w:t xml:space="preserve">—are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and Ahmed's respective emphases on the felt temporality of politics. Ahmed suggests that political transformation happens by orienting us to the perhaps, towards an </w:t>
      </w:r>
      <w:proofErr w:type="spellStart"/>
      <w:r w:rsidRPr="007E4DEB">
        <w:rPr>
          <w:rFonts w:cs="Calibri"/>
          <w:color w:val="000000" w:themeColor="text1"/>
          <w:sz w:val="12"/>
        </w:rPr>
        <w:t>evental</w:t>
      </w:r>
      <w:proofErr w:type="spellEnd"/>
      <w:r w:rsidRPr="007E4DEB">
        <w:rPr>
          <w:rFonts w:cs="Calibri"/>
          <w:color w:val="000000" w:themeColor="text1"/>
          <w:sz w:val="12"/>
        </w:rPr>
        <w:t xml:space="preserve"> horizon constituted by uncertainty, rather than promise.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seems more skeptical about the possibility of untethering ourselves from an orientation to future happiness. As in her response to </w:t>
      </w:r>
      <w:proofErr w:type="spellStart"/>
      <w:r w:rsidRPr="007E4DEB">
        <w:rPr>
          <w:rFonts w:cs="Calibri"/>
          <w:color w:val="000000" w:themeColor="text1"/>
          <w:sz w:val="12"/>
        </w:rPr>
        <w:t>Žižek</w:t>
      </w:r>
      <w:proofErr w:type="spellEnd"/>
      <w:r w:rsidRPr="007E4DEB">
        <w:rPr>
          <w:rFonts w:cs="Calibri"/>
          <w:color w:val="000000" w:themeColor="text1"/>
          <w:sz w:val="12"/>
        </w:rPr>
        <w:t xml:space="preserve">, she emphasizes the intransigence of fantasy, especially as a conduit that can produce political energy. I wonder if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proofErr w:type="spellStart"/>
      <w:r>
        <w:fldChar w:fldCharType="begin"/>
      </w:r>
      <w:r>
        <w:instrText xml:space="preserve"> HYPERLINK "https://muse.jhu.edu/article/509908" \l "b1"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24</w:t>
      </w:r>
      <w:r>
        <w:rPr>
          <w:rFonts w:cs="Calibri"/>
          <w:color w:val="000000" w:themeColor="text1"/>
          <w:sz w:val="12"/>
        </w:rPr>
        <w:fldChar w:fldCharType="end"/>
      </w:r>
      <w:r w:rsidRPr="007E4DEB">
        <w:rPr>
          <w:rFonts w:cs="Calibri"/>
          <w:color w:val="000000" w:themeColor="text1"/>
          <w:sz w:val="12"/>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w:t>
      </w:r>
      <w:proofErr w:type="spellStart"/>
      <w:r w:rsidRPr="007E4DEB">
        <w:rPr>
          <w:rFonts w:cs="Calibri"/>
          <w:color w:val="000000" w:themeColor="text1"/>
          <w:sz w:val="12"/>
        </w:rPr>
        <w:t>thematics</w:t>
      </w:r>
      <w:proofErr w:type="spellEnd"/>
      <w:r w:rsidRPr="007E4DEB">
        <w:rPr>
          <w:rFonts w:cs="Calibri"/>
          <w:color w:val="000000" w:themeColor="text1"/>
          <w:sz w:val="12"/>
        </w:rPr>
        <w:t xml:space="preserve"> of frustration and of addiction in the moving </w:t>
      </w:r>
      <w:proofErr w:type="spellStart"/>
      <w:r w:rsidRPr="007E4DEB">
        <w:rPr>
          <w:rFonts w:cs="Calibri"/>
          <w:color w:val="000000" w:themeColor="text1"/>
          <w:sz w:val="12"/>
        </w:rPr>
        <w:t>affectsphere</w:t>
      </w:r>
      <w:proofErr w:type="spellEnd"/>
      <w:r w:rsidRPr="007E4DEB">
        <w:rPr>
          <w:rFonts w:cs="Calibri"/>
          <w:color w:val="000000" w:themeColor="text1"/>
          <w:sz w:val="12"/>
        </w:rPr>
        <w:t xml:space="preserve"> of the political. What both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demonstrate is that </w:t>
      </w:r>
      <w:r w:rsidRPr="007E4DEB">
        <w:rPr>
          <w:rFonts w:cs="Calibri"/>
          <w:b/>
          <w:color w:val="000000" w:themeColor="text1"/>
          <w:highlight w:val="yellow"/>
          <w:u w:val="single"/>
        </w:rPr>
        <w:t>affect theory offers a crucial</w:t>
      </w:r>
      <w:r w:rsidRPr="007E4DEB">
        <w:rPr>
          <w:rFonts w:cs="Calibri"/>
          <w:b/>
          <w:color w:val="000000" w:themeColor="text1"/>
          <w:u w:val="single"/>
        </w:rPr>
        <w:t xml:space="preserve"> set of </w:t>
      </w:r>
      <w:r w:rsidRPr="007E4DEB">
        <w:rPr>
          <w:rFonts w:cs="Calibri"/>
          <w:b/>
          <w:color w:val="000000" w:themeColor="text1"/>
          <w:highlight w:val="yellow"/>
          <w:u w:val="single"/>
        </w:rPr>
        <w:t>resources for thinking through the relationship between bodies and discourses</w:t>
      </w:r>
      <w:r w:rsidRPr="007E4DEB">
        <w:rPr>
          <w:rFonts w:cs="Calibri"/>
          <w:b/>
          <w:color w:val="000000" w:themeColor="text1"/>
          <w:u w:val="single"/>
        </w:rPr>
        <w:t>.</w:t>
      </w:r>
      <w:r w:rsidRPr="007E4DEB">
        <w:rPr>
          <w:rFonts w:cs="Calibri"/>
          <w:color w:val="000000" w:themeColor="text1"/>
          <w:sz w:val="12"/>
        </w:rPr>
        <w:t xml:space="preserve"> The enterprise of thinking politics, of mapping the enfolding of bodies by power, cannot move forward without affect. </w:t>
      </w:r>
    </w:p>
    <w:p w:rsidR="002D1B41" w:rsidRPr="00D70D45" w:rsidRDefault="002D1B41" w:rsidP="002D1B41">
      <w:pPr>
        <w:pStyle w:val="Heading4"/>
        <w:rPr>
          <w:rFonts w:cs="Calibri"/>
          <w:color w:val="000000" w:themeColor="text1"/>
          <w:sz w:val="16"/>
        </w:rPr>
      </w:pPr>
      <w:r>
        <w:rPr>
          <w:rFonts w:cs="Calibri"/>
        </w:rPr>
        <w:t xml:space="preserve">A) </w:t>
      </w:r>
      <w:r w:rsidRPr="00D70D45">
        <w:rPr>
          <w:rFonts w:cs="Calibri"/>
        </w:rPr>
        <w:t>Fluidity leads to differentiation in ethics as each subject’s ethicality arises from their own affective relations indexed to themselves, to deny the resolution doesn’t deny my relation to its ethicality</w:t>
      </w:r>
    </w:p>
    <w:p w:rsidR="002D1B41" w:rsidRPr="007E4DEB" w:rsidRDefault="002D1B41" w:rsidP="002D1B41">
      <w:pPr>
        <w:pStyle w:val="Heading4"/>
        <w:rPr>
          <w:rFonts w:cs="Calibri"/>
          <w:color w:val="000000" w:themeColor="text1"/>
        </w:rPr>
      </w:pPr>
      <w:r>
        <w:rPr>
          <w:rFonts w:cs="Calibri"/>
          <w:color w:val="000000" w:themeColor="text1"/>
        </w:rPr>
        <w:t xml:space="preserve">B) </w:t>
      </w:r>
      <w:r w:rsidRPr="007E4DEB">
        <w:rPr>
          <w:rFonts w:cs="Calibri"/>
          <w:color w:val="000000" w:themeColor="text1"/>
        </w:rPr>
        <w:t xml:space="preserve">All other frameworks assume their subjects can bridge the gap between discursive theories and the material world, else ethics would never guide to action. Only structures focused on affect can bridge those two. </w:t>
      </w:r>
    </w:p>
    <w:p w:rsidR="002D1B41" w:rsidRDefault="002D1B41" w:rsidP="002D1B41">
      <w:pPr>
        <w:pStyle w:val="Heading2"/>
      </w:pPr>
      <w:r>
        <w:t>Offense</w:t>
      </w:r>
    </w:p>
    <w:p w:rsidR="002D1B41" w:rsidRPr="00385385" w:rsidRDefault="002D1B41" w:rsidP="002D1B41">
      <w:pPr>
        <w:pStyle w:val="Heading4"/>
        <w:rPr>
          <w:rFonts w:cs="Times New Roman"/>
        </w:rPr>
      </w:pPr>
      <w:r w:rsidRPr="00292DE7">
        <w:rPr>
          <w:rFonts w:cs="Times New Roman"/>
        </w:rPr>
        <w:t>Thus, I affirm—</w:t>
      </w:r>
      <w:r w:rsidRPr="00CD5B9C">
        <w:t xml:space="preserve"> </w:t>
      </w:r>
      <w:r w:rsidRPr="00CD5B9C">
        <w:rPr>
          <w:rFonts w:cs="Times New Roman"/>
        </w:rPr>
        <w:t>Resolved: The member nations of the World Trade Organization ought to reduce intellectual property protections for medicines.</w:t>
      </w:r>
      <w:r w:rsidRPr="00292DE7">
        <w:rPr>
          <w:rFonts w:cs="Times New Roman"/>
        </w:rPr>
        <w:t xml:space="preserve"> I’ll defend the resolution as a general principle and PICS don’t negate because general principles tolerate exceptions. I’ll spec whatever you want me to in cx as long as it doesn’t force me to abandon my maxim </w:t>
      </w:r>
    </w:p>
    <w:p w:rsidR="002D1B41" w:rsidRDefault="002D1B41" w:rsidP="002D1B41">
      <w:pPr>
        <w:pStyle w:val="Heading4"/>
      </w:pPr>
      <w:bookmarkStart w:id="0" w:name="_GoBack"/>
      <w:bookmarkEnd w:id="0"/>
      <w:r>
        <w:t xml:space="preserve">1) Property protections are a manifestation of the creeping shadow in our comfortable </w:t>
      </w:r>
      <w:proofErr w:type="spellStart"/>
      <w:r>
        <w:t>lawscape</w:t>
      </w:r>
      <w:proofErr w:type="spellEnd"/>
      <w:r>
        <w:t xml:space="preserve">. Every object has a distinct and undeniable patent, trademark or copyright symbol, each serving as a daunting reminder of the ever-present state and commodifying our affect  </w:t>
      </w:r>
    </w:p>
    <w:p w:rsidR="002D1B41" w:rsidRPr="00166132" w:rsidRDefault="002D1B41" w:rsidP="002D1B41">
      <w:r>
        <w:rPr>
          <w:rStyle w:val="Style13ptBold"/>
        </w:rPr>
        <w:t xml:space="preserve">[P-M 13] </w:t>
      </w:r>
      <w:proofErr w:type="spellStart"/>
      <w:r w:rsidRPr="00D22FC8">
        <w:t>Philippopoulos-Mihalopoulos</w:t>
      </w:r>
      <w:proofErr w:type="spellEnd"/>
      <w:r w:rsidRPr="00D22FC8">
        <w:t xml:space="preserve"> 13</w:t>
      </w:r>
      <w:r>
        <w:t xml:space="preserve"> </w:t>
      </w:r>
      <w:r w:rsidRPr="00166132">
        <w:rPr>
          <w:sz w:val="12"/>
          <w:szCs w:val="12"/>
        </w:rPr>
        <w:t xml:space="preserve">[Andreas </w:t>
      </w:r>
      <w:proofErr w:type="spellStart"/>
      <w:r w:rsidRPr="00166132">
        <w:rPr>
          <w:sz w:val="12"/>
          <w:szCs w:val="12"/>
        </w:rPr>
        <w:t>Philippopoulos-Mihalopoulos</w:t>
      </w:r>
      <w:proofErr w:type="spellEnd"/>
      <w:r w:rsidRPr="00166132">
        <w:rPr>
          <w:sz w:val="12"/>
          <w:szCs w:val="12"/>
        </w:rPr>
        <w:t xml:space="preserve">, Atmospheres of law: Senses, affects, </w:t>
      </w:r>
      <w:proofErr w:type="spellStart"/>
      <w:r w:rsidRPr="00166132">
        <w:rPr>
          <w:sz w:val="12"/>
          <w:szCs w:val="12"/>
        </w:rPr>
        <w:t>lawscapes</w:t>
      </w:r>
      <w:proofErr w:type="spellEnd"/>
      <w:r w:rsidRPr="00166132">
        <w:rPr>
          <w:sz w:val="12"/>
          <w:szCs w:val="12"/>
        </w:rPr>
        <w:t>, Emotion, Space and Society, Volume 7, 2013, Pages 35-44, ISSN 1755-4586, https://doi.org</w:t>
      </w:r>
      <w:r>
        <w:rPr>
          <w:sz w:val="12"/>
          <w:szCs w:val="12"/>
        </w:rPr>
        <w:t xml:space="preserve">/10.1016/j.emospa.2012.03.001. </w:t>
      </w:r>
      <w:hyperlink r:id="rId37"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w:t>
      </w:r>
      <w:proofErr w:type="spellStart"/>
      <w:r w:rsidRPr="00345194">
        <w:rPr>
          <w:sz w:val="12"/>
          <w:szCs w:val="12"/>
        </w:rPr>
        <w:t>Philippopoulos-Mihalopoulos</w:t>
      </w:r>
      <w:proofErr w:type="spellEnd"/>
      <w:r w:rsidRPr="00345194">
        <w:rPr>
          <w:sz w:val="12"/>
          <w:szCs w:val="12"/>
        </w:rPr>
        <w:t xml:space="preserve">,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rsidR="002D1B41" w:rsidRPr="00385385" w:rsidRDefault="002D1B41" w:rsidP="002D1B41">
      <w:pPr>
        <w:rPr>
          <w:b/>
          <w:iCs/>
          <w:u w:val="single"/>
        </w:rPr>
      </w:pPr>
      <w:r w:rsidRPr="00722D9B">
        <w:rPr>
          <w:sz w:val="12"/>
        </w:rPr>
        <w:t xml:space="preserve">Let me therefore allow a little bit of law, and specifically intellectual property law, to emerge. </w:t>
      </w:r>
      <w:r w:rsidRPr="00007D18">
        <w:rPr>
          <w:rStyle w:val="Emphasis"/>
          <w:highlight w:val="cyan"/>
        </w:rPr>
        <w:t xml:space="preserve">Think of your initial welcome to the </w:t>
      </w:r>
      <w:proofErr w:type="spellStart"/>
      <w:r w:rsidRPr="00007D18">
        <w:rPr>
          <w:rStyle w:val="Emphasis"/>
          <w:highlight w:val="cyan"/>
        </w:rPr>
        <w:t>lawscape</w:t>
      </w:r>
      <w:proofErr w:type="spellEnd"/>
      <w:r w:rsidRPr="007D1D1C">
        <w:rPr>
          <w:rStyle w:val="Emphasis"/>
          <w:highlight w:val="cyan"/>
        </w:rPr>
        <w:t>: the music, the smell, the taste, the textures.</w:t>
      </w:r>
      <w:r w:rsidRPr="007D1D1C">
        <w:rPr>
          <w:rStyle w:val="Emphasis"/>
        </w:rPr>
        <w:t xml:space="preserve"> Think of how </w:t>
      </w:r>
      <w:proofErr w:type="spellStart"/>
      <w:r w:rsidRPr="007D1D1C">
        <w:rPr>
          <w:rStyle w:val="Emphasis"/>
        </w:rPr>
        <w:t>cosy</w:t>
      </w:r>
      <w:proofErr w:type="spellEnd"/>
      <w:r w:rsidRPr="007D1D1C">
        <w:rPr>
          <w:rStyle w:val="Emphasis"/>
        </w:rPr>
        <w:t xml:space="preserve"> you felt.</w:t>
      </w:r>
      <w:r w:rsidRPr="007D1D1C">
        <w:rPr>
          <w:rStyle w:val="StyleUnderline"/>
        </w:rPr>
        <w:t xml:space="preserve"> Think of your affects —</w:t>
      </w:r>
      <w:r w:rsidRPr="004F5E2A">
        <w:rPr>
          <w:rStyle w:val="StyleUnderline"/>
        </w:rPr>
        <w:t xml:space="preserve"> you wanted to have a Coke, you had a Coke; you wanted to stay in the room, you stayed in the room. </w:t>
      </w:r>
      <w:r w:rsidRPr="00007D18">
        <w:rPr>
          <w:rStyle w:val="Emphasis"/>
          <w:highlight w:val="cyan"/>
        </w:rPr>
        <w:t xml:space="preserve">Think of the atmosphere, comfortable, safe, </w:t>
      </w:r>
      <w:proofErr w:type="spellStart"/>
      <w:r w:rsidRPr="00007D18">
        <w:rPr>
          <w:rStyle w:val="Emphasis"/>
          <w:highlight w:val="cyan"/>
        </w:rPr>
        <w:t>energising</w:t>
      </w:r>
      <w:proofErr w:type="spellEnd"/>
      <w:r w:rsidRPr="00007D18">
        <w:rPr>
          <w:rStyle w:val="Emphasis"/>
          <w:highlight w:val="cyan"/>
        </w:rPr>
        <w:t>.</w:t>
      </w:r>
      <w:r w:rsidRPr="004F5E2A">
        <w:rPr>
          <w:rStyle w:val="StyleUnderline"/>
        </w:rPr>
        <w:t xml:space="preserve"> </w:t>
      </w:r>
      <w:r w:rsidRPr="00007D18">
        <w:rPr>
          <w:rStyle w:val="Emphasis"/>
          <w:highlight w:val="cyan"/>
        </w:rPr>
        <w:t xml:space="preserve">No law, just smooth space, reassuringly urban, </w:t>
      </w:r>
      <w:r w:rsidRPr="007D1D1C">
        <w:rPr>
          <w:rStyle w:val="Emphasis"/>
        </w:rPr>
        <w:t xml:space="preserve">tasteful </w:t>
      </w:r>
      <w:r w:rsidRPr="00007D18">
        <w:rPr>
          <w:rStyle w:val="Emphasis"/>
          <w:highlight w:val="cyan"/>
        </w:rPr>
        <w:t xml:space="preserve">yet </w:t>
      </w:r>
      <w:r w:rsidRPr="007D1D1C">
        <w:rPr>
          <w:rStyle w:val="Emphasis"/>
        </w:rPr>
        <w:t>with a hint of home-baking.</w:t>
      </w:r>
      <w:r w:rsidRPr="00007D18">
        <w:rPr>
          <w:rStyle w:val="Emphasis"/>
          <w:highlight w:val="cyan"/>
        </w:rPr>
        <w:t xml:space="preserve"> At the same time, you </w:t>
      </w:r>
      <w:proofErr w:type="spellStart"/>
      <w:r w:rsidRPr="00007D18">
        <w:rPr>
          <w:rStyle w:val="Emphasis"/>
          <w:highlight w:val="cyan"/>
        </w:rPr>
        <w:t>realise</w:t>
      </w:r>
      <w:proofErr w:type="spellEnd"/>
      <w:r w:rsidRPr="00007D18">
        <w:rPr>
          <w:rStyle w:val="Emphasis"/>
          <w:highlight w:val="cyan"/>
        </w:rPr>
        <w:t xml:space="preserve"> that </w:t>
      </w:r>
      <w:r w:rsidRPr="00632D9D">
        <w:rPr>
          <w:rStyle w:val="Emphasis"/>
        </w:rPr>
        <w:t>there is a bit of law around to protect you</w:t>
      </w:r>
      <w:r w:rsidRPr="00632D9D">
        <w:rPr>
          <w:rStyle w:val="StyleUnderline"/>
        </w:rPr>
        <w:t>:</w:t>
      </w:r>
      <w:r w:rsidRPr="00722D9B">
        <w:rPr>
          <w:sz w:val="12"/>
        </w:rPr>
        <w:t xml:space="preserve"> you close the door behind you, </w:t>
      </w:r>
      <w:r w:rsidRPr="00632D9D">
        <w:rPr>
          <w:rStyle w:val="Emphasis"/>
        </w:rPr>
        <w:t>this is your private space, the law protects that.</w:t>
      </w:r>
      <w:r w:rsidRPr="00722D9B">
        <w:rPr>
          <w:sz w:val="12"/>
        </w:rPr>
        <w:t xml:space="preserve"> You were offered the Coke, you did not steal it; you legitimately bought your iPad (ok, from Hong Kong but who knows this). </w:t>
      </w:r>
      <w:r w:rsidRPr="00632D9D">
        <w:rPr>
          <w:rStyle w:val="Emphasis"/>
          <w:highlight w:val="cyan"/>
        </w:rPr>
        <w:t xml:space="preserve">The atmosphere is assembled by a safe, small measure of law, there to protect you </w:t>
      </w:r>
      <w:r w:rsidRPr="00722D9B">
        <w:rPr>
          <w:sz w:val="12"/>
        </w:rPr>
        <w:t>and to make you feel immune in your enclosed sphere.</w:t>
      </w:r>
      <w:r w:rsidRPr="004F5E2A">
        <w:rPr>
          <w:rStyle w:val="StyleUnderline"/>
        </w:rPr>
        <w:t xml:space="preserve"> </w:t>
      </w:r>
      <w:r w:rsidRPr="008400EB">
        <w:rPr>
          <w:rStyle w:val="Emphasis"/>
          <w:highlight w:val="cyan"/>
        </w:rPr>
        <w:t>But look again.</w:t>
      </w:r>
      <w:r w:rsidRPr="008400EB">
        <w:rPr>
          <w:rStyle w:val="Emphasis"/>
        </w:rPr>
        <w:t xml:space="preserve"> </w:t>
      </w:r>
      <w:r w:rsidRPr="004F5E2A">
        <w:rPr>
          <w:rStyle w:val="StyleUnderline"/>
        </w:rPr>
        <w:t xml:space="preserve">Or rather, smell, listen, touch again. </w:t>
      </w:r>
      <w:r w:rsidRPr="008400EB">
        <w:rPr>
          <w:rStyle w:val="Emphasis"/>
          <w:highlight w:val="cyan"/>
        </w:rPr>
        <w:t xml:space="preserve">The red and yellow </w:t>
      </w:r>
      <w:proofErr w:type="spellStart"/>
      <w:r w:rsidRPr="008400EB">
        <w:rPr>
          <w:rStyle w:val="Emphasis"/>
          <w:highlight w:val="cyan"/>
        </w:rPr>
        <w:t>colour</w:t>
      </w:r>
      <w:proofErr w:type="spellEnd"/>
      <w:r w:rsidRPr="008400EB">
        <w:rPr>
          <w:rStyle w:val="Emphasis"/>
          <w:highlight w:val="cyan"/>
        </w:rPr>
        <w:t xml:space="preserve"> combination is a registered trademark of KODAK</w:t>
      </w:r>
      <w:r w:rsidRPr="004F5E2A">
        <w:rPr>
          <w:rStyle w:val="StyleUnderline"/>
        </w:rPr>
        <w:t xml:space="preserve"> (</w:t>
      </w:r>
      <w:proofErr w:type="spellStart"/>
      <w:r w:rsidRPr="004F5E2A">
        <w:rPr>
          <w:rStyle w:val="StyleUnderline"/>
        </w:rPr>
        <w:t>Vaver</w:t>
      </w:r>
      <w:proofErr w:type="spellEnd"/>
      <w:r w:rsidRPr="004F5E2A">
        <w:rPr>
          <w:rStyle w:val="StyleUnderline"/>
        </w:rPr>
        <w:t xml:space="preserve">, 2005). The smell of roses comes from the rubber used for the floor of the room — the Sumitomo </w:t>
      </w:r>
      <w:proofErr w:type="spellStart"/>
      <w:r w:rsidRPr="004F5E2A">
        <w:rPr>
          <w:rStyle w:val="StyleUnderline"/>
        </w:rPr>
        <w:t>Rubbers’s</w:t>
      </w:r>
      <w:proofErr w:type="spellEnd"/>
      <w:r w:rsidRPr="004F5E2A">
        <w:rPr>
          <w:rStyle w:val="StyleUnderline"/>
        </w:rPr>
        <w:t xml:space="preserve"> successful application for trademark.1 The first notes of </w:t>
      </w:r>
      <w:proofErr w:type="spellStart"/>
      <w:r w:rsidRPr="004F5E2A">
        <w:rPr>
          <w:rStyle w:val="StyleUnderline"/>
        </w:rPr>
        <w:t>Für</w:t>
      </w:r>
      <w:proofErr w:type="spellEnd"/>
      <w:r w:rsidRPr="004F5E2A">
        <w:rPr>
          <w:rStyle w:val="StyleUnderline"/>
        </w:rPr>
        <w:t xml:space="preserve"> Elise by Beethoven have been registered as a trademark by a Dutch company. </w:t>
      </w:r>
      <w:r w:rsidRPr="008400EB">
        <w:rPr>
          <w:rStyle w:val="Emphasis"/>
          <w:highlight w:val="cyan"/>
        </w:rPr>
        <w:t>The iPad touch screen is part of patented technology</w:t>
      </w:r>
      <w:r w:rsidRPr="008400EB">
        <w:rPr>
          <w:rStyle w:val="Emphasis"/>
        </w:rPr>
        <w:t xml:space="preserve"> </w:t>
      </w:r>
      <w:r w:rsidRPr="004F5E2A">
        <w:rPr>
          <w:rStyle w:val="StyleUnderline"/>
        </w:rPr>
        <w:t xml:space="preserve">for which Apple has been in dispute with Samsung over the past few years (see also </w:t>
      </w:r>
      <w:proofErr w:type="spellStart"/>
      <w:r w:rsidRPr="004F5E2A">
        <w:rPr>
          <w:rStyle w:val="StyleUnderline"/>
        </w:rPr>
        <w:t>Parisi</w:t>
      </w:r>
      <w:proofErr w:type="spellEnd"/>
      <w:r w:rsidRPr="004F5E2A">
        <w:rPr>
          <w:rStyle w:val="StyleUnderline"/>
        </w:rPr>
        <w:t xml:space="preserve">, 2008 on touch technologies).2 Finally, the Coke, well!, </w:t>
      </w:r>
      <w:r w:rsidRPr="008400EB">
        <w:rPr>
          <w:rStyle w:val="Emphasis"/>
          <w:highlight w:val="cyan"/>
        </w:rPr>
        <w:t>the Coke is obviously one of the best examples of a fully protected product</w:t>
      </w:r>
      <w:r w:rsidRPr="008400EB">
        <w:rPr>
          <w:rStyle w:val="Emphasis"/>
        </w:rPr>
        <w:t xml:space="preserve"> </w:t>
      </w:r>
      <w:r w:rsidRPr="004F5E2A">
        <w:rPr>
          <w:rStyle w:val="StyleUnderline"/>
        </w:rPr>
        <w:t>in terms of taste, appearance, logo, bottle — the whole lot.</w:t>
      </w:r>
      <w:r w:rsidRPr="00722D9B">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it, and wanted to secure that no one else would use it. These are just some examples. As </w:t>
      </w:r>
      <w:proofErr w:type="spellStart"/>
      <w:r w:rsidRPr="00722D9B">
        <w:rPr>
          <w:sz w:val="12"/>
        </w:rPr>
        <w:t>Vaver</w:t>
      </w:r>
      <w:proofErr w:type="spellEnd"/>
      <w:r w:rsidRPr="00722D9B">
        <w:rPr>
          <w:sz w:val="12"/>
        </w:rPr>
        <w:t xml:space="preserve"> (2005: 897) points out, </w:t>
      </w:r>
      <w:r w:rsidRPr="005F769C">
        <w:rPr>
          <w:rStyle w:val="StyleUnderline"/>
        </w:rPr>
        <w:t>“</w:t>
      </w:r>
      <w:r w:rsidRPr="008400EB">
        <w:rPr>
          <w:rStyle w:val="Emphasis"/>
        </w:rPr>
        <w:t xml:space="preserve">over time </w:t>
      </w:r>
      <w:r w:rsidRPr="008400EB">
        <w:rPr>
          <w:rStyle w:val="Emphasis"/>
          <w:highlight w:val="cyan"/>
        </w:rPr>
        <w:t>there has been constant pressure from</w:t>
      </w:r>
      <w:r w:rsidRPr="008400EB">
        <w:rPr>
          <w:rStyle w:val="StyleUnderline"/>
        </w:rPr>
        <w:t xml:space="preserve"> </w:t>
      </w:r>
      <w:r w:rsidRPr="008400EB">
        <w:rPr>
          <w:rStyle w:val="Emphasis"/>
          <w:highlight w:val="cyan"/>
        </w:rPr>
        <w:t>industry</w:t>
      </w:r>
      <w:r w:rsidRPr="005F769C">
        <w:rPr>
          <w:rStyle w:val="StyleUnderline"/>
        </w:rPr>
        <w:t xml:space="preserve"> – note, not consumers – </w:t>
      </w:r>
      <w:r w:rsidRPr="008400EB">
        <w:rPr>
          <w:rStyle w:val="Emphasis"/>
          <w:highlight w:val="cyan"/>
        </w:rPr>
        <w:t xml:space="preserve">to widen </w:t>
      </w:r>
      <w:r w:rsidRPr="008400EB">
        <w:rPr>
          <w:rStyle w:val="Emphasis"/>
        </w:rPr>
        <w:t xml:space="preserve">the subject matter of </w:t>
      </w:r>
      <w:r w:rsidRPr="008400EB">
        <w:rPr>
          <w:rStyle w:val="Emphasis"/>
          <w:highlight w:val="cyan"/>
        </w:rPr>
        <w:t xml:space="preserve">protection to </w:t>
      </w:r>
      <w:r w:rsidRPr="008400EB">
        <w:rPr>
          <w:rStyle w:val="Emphasis"/>
        </w:rPr>
        <w:t xml:space="preserve">include as </w:t>
      </w:r>
      <w:r w:rsidRPr="008400EB">
        <w:rPr>
          <w:rStyle w:val="Emphasis"/>
          <w:highlight w:val="cyan"/>
        </w:rPr>
        <w:t>trademark virtually any perceptible feature in the sensory world that can be used to attract custom.</w:t>
      </w:r>
      <w:r w:rsidRPr="005F769C">
        <w:rPr>
          <w:rStyle w:val="StyleUnderline"/>
        </w:rPr>
        <w:t xml:space="preserve">” </w:t>
      </w:r>
      <w:r w:rsidRPr="008400EB">
        <w:rPr>
          <w:rStyle w:val="Emphasis"/>
        </w:rPr>
        <w:t xml:space="preserve">There are myriads of </w:t>
      </w:r>
      <w:r w:rsidRPr="004F03A7">
        <w:rPr>
          <w:rStyle w:val="Emphasis"/>
        </w:rPr>
        <w:t xml:space="preserve">other laws that </w:t>
      </w:r>
      <w:proofErr w:type="spellStart"/>
      <w:r w:rsidRPr="004F03A7">
        <w:rPr>
          <w:rStyle w:val="Emphasis"/>
        </w:rPr>
        <w:t>categorise</w:t>
      </w:r>
      <w:proofErr w:type="spellEnd"/>
      <w:r w:rsidRPr="004F03A7">
        <w:rPr>
          <w:rStyle w:val="Emphasis"/>
        </w:rPr>
        <w:t>, determine and restrict urban space</w:t>
      </w:r>
      <w:r w:rsidRPr="00722D9B">
        <w:rPr>
          <w:sz w:val="12"/>
        </w:rPr>
        <w:t>, such as planning law (Valverde, 2011), property law (</w:t>
      </w:r>
      <w:proofErr w:type="spellStart"/>
      <w:r w:rsidRPr="00722D9B">
        <w:rPr>
          <w:sz w:val="12"/>
        </w:rPr>
        <w:t>Blomley</w:t>
      </w:r>
      <w:proofErr w:type="spellEnd"/>
      <w:r w:rsidRPr="00722D9B">
        <w:rPr>
          <w:sz w:val="12"/>
        </w:rPr>
        <w:t>, 2004), environmental law (</w:t>
      </w:r>
      <w:proofErr w:type="spellStart"/>
      <w:r w:rsidRPr="00722D9B">
        <w:rPr>
          <w:sz w:val="12"/>
        </w:rPr>
        <w:t>PhilippopoulosMihalopoulos</w:t>
      </w:r>
      <w:proofErr w:type="spellEnd"/>
      <w:r w:rsidRPr="00722D9B">
        <w:rPr>
          <w:sz w:val="12"/>
        </w:rPr>
        <w:t xml:space="preserve">, 2007) and health and safety regulations (and the mythology that feeds back, Almond, 2009). </w:t>
      </w:r>
      <w:r w:rsidRPr="004F03A7">
        <w:rPr>
          <w:rStyle w:val="Emphasis"/>
        </w:rPr>
        <w:t xml:space="preserve">I chose to introduce </w:t>
      </w:r>
      <w:r w:rsidRPr="004F03A7">
        <w:rPr>
          <w:rStyle w:val="Emphasis"/>
          <w:highlight w:val="cyan"/>
        </w:rPr>
        <w:t>the issue of</w:t>
      </w:r>
      <w:r w:rsidRPr="004F03A7">
        <w:rPr>
          <w:rStyle w:val="Emphasis"/>
        </w:rPr>
        <w:t xml:space="preserve"> atmospheres on the basis of </w:t>
      </w:r>
      <w:r w:rsidRPr="004F03A7">
        <w:rPr>
          <w:rStyle w:val="Emphasis"/>
          <w:highlight w:val="cyan"/>
        </w:rPr>
        <w:t>intellectual property law</w:t>
      </w:r>
      <w:r w:rsidRPr="004F03A7">
        <w:rPr>
          <w:rStyle w:val="Emphasis"/>
        </w:rPr>
        <w:t xml:space="preserve"> because of </w:t>
      </w:r>
      <w:r>
        <w:rPr>
          <w:rStyle w:val="Emphasis"/>
          <w:highlight w:val="cyan"/>
        </w:rPr>
        <w:t>[is] t</w:t>
      </w:r>
      <w:r w:rsidRPr="004F03A7">
        <w:rPr>
          <w:rStyle w:val="Emphasis"/>
          <w:highlight w:val="cyan"/>
        </w:rPr>
        <w:t xml:space="preserve">he fact that sensory control is direct and unmediated to the body, yet it manages to diffuse and dissimulate itself. This it does in </w:t>
      </w:r>
      <w:r w:rsidRPr="008400EB">
        <w:rPr>
          <w:rStyle w:val="Emphasis"/>
          <w:highlight w:val="cyan"/>
        </w:rPr>
        <w:t xml:space="preserve">two ways: first, by targeting the environment rather than the body </w:t>
      </w:r>
      <w:r w:rsidRPr="004F03A7">
        <w:rPr>
          <w:rStyle w:val="Emphasis"/>
        </w:rPr>
        <w:t>(</w:t>
      </w:r>
      <w:proofErr w:type="spellStart"/>
      <w:r w:rsidRPr="004F03A7">
        <w:rPr>
          <w:rStyle w:val="Emphasis"/>
        </w:rPr>
        <w:t>Sloterdijk</w:t>
      </w:r>
      <w:proofErr w:type="spellEnd"/>
      <w:r w:rsidRPr="004F03A7">
        <w:rPr>
          <w:rStyle w:val="Emphasis"/>
        </w:rPr>
        <w:t xml:space="preserve">, 2009), and precisely through this diffusing </w:t>
      </w:r>
      <w:proofErr w:type="spellStart"/>
      <w:r w:rsidRPr="004F03A7">
        <w:rPr>
          <w:rStyle w:val="Emphasis"/>
        </w:rPr>
        <w:t>manoeuvre</w:t>
      </w:r>
      <w:proofErr w:type="spellEnd"/>
      <w:r w:rsidRPr="008400EB">
        <w:rPr>
          <w:rStyle w:val="Emphasis"/>
          <w:highlight w:val="cyan"/>
        </w:rPr>
        <w:t xml:space="preserve"> managing to have the greatest impact on the body; and second, by dissimulating itself as desire</w:t>
      </w:r>
      <w:r w:rsidRPr="005F769C">
        <w:rPr>
          <w:rStyle w:val="StyleUnderline"/>
        </w:rPr>
        <w:t>, that is as personal preference that ‘demands’ Kodak, Coke, Apple, or beer-scented darts.</w:t>
      </w:r>
      <w:r w:rsidRPr="00722D9B">
        <w:rPr>
          <w:sz w:val="12"/>
        </w:rPr>
        <w:t xml:space="preserve"> In some cases, the proffered hyperreality is superimposed on a more basic desire for, say, natural smells or tastes. This sensory desire, as Emily </w:t>
      </w:r>
      <w:proofErr w:type="spellStart"/>
      <w:r w:rsidRPr="00722D9B">
        <w:rPr>
          <w:sz w:val="12"/>
        </w:rPr>
        <w:t>Grabham</w:t>
      </w:r>
      <w:proofErr w:type="spellEnd"/>
      <w:r w:rsidRPr="00722D9B">
        <w:rPr>
          <w:sz w:val="12"/>
        </w:rPr>
        <w:t xml:space="preserve"> has convincingly demonstrated (in her case, touch), “embeds itself into the normative fabric of the law, creating and maintaining expectations around what is proper, decent and safe” (</w:t>
      </w:r>
      <w:proofErr w:type="spellStart"/>
      <w:r w:rsidRPr="00722D9B">
        <w:rPr>
          <w:sz w:val="12"/>
        </w:rPr>
        <w:t>Grabham</w:t>
      </w:r>
      <w:proofErr w:type="spellEnd"/>
      <w:r w:rsidRPr="00722D9B">
        <w:rPr>
          <w:sz w:val="12"/>
        </w:rPr>
        <w:t xml:space="preserve">, 2009: 350). </w:t>
      </w:r>
      <w:r w:rsidRPr="005F769C">
        <w:rPr>
          <w:rStyle w:val="StyleUnderline"/>
        </w:rPr>
        <w:t xml:space="preserve">This means that the legal sensorium becomes “detached from specific moments and </w:t>
      </w:r>
      <w:proofErr w:type="spellStart"/>
      <w:r w:rsidRPr="005F769C">
        <w:rPr>
          <w:rStyle w:val="StyleUnderline"/>
        </w:rPr>
        <w:t>mobilised</w:t>
      </w:r>
      <w:proofErr w:type="spellEnd"/>
      <w:r w:rsidRPr="005F769C">
        <w:rPr>
          <w:rStyle w:val="StyleUnderline"/>
        </w:rPr>
        <w:t xml:space="preserve"> within legal processes” (2009: 350), indeed becomes </w:t>
      </w:r>
      <w:proofErr w:type="spellStart"/>
      <w:r w:rsidRPr="005F769C">
        <w:rPr>
          <w:rStyle w:val="StyleUnderline"/>
        </w:rPr>
        <w:t>fetishised</w:t>
      </w:r>
      <w:proofErr w:type="spellEnd"/>
      <w:r w:rsidRPr="005F769C">
        <w:rPr>
          <w:rStyle w:val="StyleUnderline"/>
        </w:rPr>
        <w:t xml:space="preserve"> by the law only to be snuggly reattached, I would argue, to the materiality of the situation in hand, claiming echoes of universality.</w:t>
      </w:r>
      <w:r w:rsidRPr="00722D9B">
        <w:rPr>
          <w:sz w:val="12"/>
        </w:rPr>
        <w:t xml:space="preserve"> But this is the paradox: the more universal the law, the more diffused it is. The more diffused it is, the more anomic a space appears. </w:t>
      </w:r>
      <w:r w:rsidRPr="00A3419E">
        <w:rPr>
          <w:rStyle w:val="Emphasis"/>
        </w:rPr>
        <w:t xml:space="preserve">The room is just a room. </w:t>
      </w:r>
      <w:r w:rsidRPr="00A3419E">
        <w:rPr>
          <w:rStyle w:val="StyleUnderline"/>
        </w:rPr>
        <w:t>The legal affect is found in this excess of law, in</w:t>
      </w:r>
      <w:r w:rsidRPr="00A3419E">
        <w:rPr>
          <w:rStyle w:val="Emphasis"/>
        </w:rPr>
        <w:t xml:space="preserve"> law’s ubiquitous presence that tends to hide under rose-smelling rubber </w:t>
      </w:r>
      <w:r w:rsidRPr="00F33965">
        <w:rPr>
          <w:rStyle w:val="Emphasis"/>
        </w:rPr>
        <w:t xml:space="preserve">surfaces. The atmosphere of the </w:t>
      </w:r>
      <w:proofErr w:type="spellStart"/>
      <w:r w:rsidRPr="00F33965">
        <w:rPr>
          <w:rStyle w:val="Emphasis"/>
        </w:rPr>
        <w:t>lawscape</w:t>
      </w:r>
      <w:proofErr w:type="spellEnd"/>
      <w:r w:rsidRPr="00F33965">
        <w:rPr>
          <w:rStyle w:val="Emphasis"/>
        </w:rPr>
        <w:t xml:space="preserve"> is perfectly engineered to appear as a city that is guided by preference, choice, opportunity, freedom. Scratch the surface and you feel the law pushing all these preferences </w:t>
      </w:r>
      <w:r w:rsidRPr="00F33965">
        <w:rPr>
          <w:rStyle w:val="StyleUnderline"/>
        </w:rPr>
        <w:t>into corridors of affective movement, atmosp</w:t>
      </w:r>
      <w:r w:rsidRPr="00F33965">
        <w:rPr>
          <w:rStyle w:val="Emphasis"/>
        </w:rPr>
        <w:t>herics of legal passion that are material through and through yet appear reassuringly distant and abstract</w:t>
      </w:r>
      <w:r w:rsidRPr="004F03A7">
        <w:rPr>
          <w:rStyle w:val="Emphasis"/>
          <w:highlight w:val="cyan"/>
        </w:rPr>
        <w:t>.</w:t>
      </w:r>
    </w:p>
    <w:p w:rsidR="002D1B41" w:rsidRDefault="002D1B41" w:rsidP="002D1B41">
      <w:pPr>
        <w:pStyle w:val="Heading4"/>
      </w:pPr>
      <w:r>
        <w:t xml:space="preserve">2) Patents within the world of medicine and biotechnology take ownership of “the body.” Bits and pieces of peoples are being restricted by the law and personalized medicine works to create a hierarchy of bodies, both stifling our natural flow of affect and continuing the commodification of people. </w:t>
      </w:r>
    </w:p>
    <w:p w:rsidR="002D1B41" w:rsidRPr="000B0672" w:rsidRDefault="002D1B41" w:rsidP="002D1B41">
      <w:proofErr w:type="spellStart"/>
      <w:r w:rsidRPr="007D1D1C">
        <w:rPr>
          <w:rStyle w:val="Style13ptBold"/>
        </w:rPr>
        <w:t>Wolodzko</w:t>
      </w:r>
      <w:proofErr w:type="spellEnd"/>
      <w:r w:rsidRPr="007D1D1C">
        <w:rPr>
          <w:rStyle w:val="Style13ptBold"/>
        </w:rPr>
        <w:t xml:space="preserve"> 18</w:t>
      </w:r>
      <w:r w:rsidRPr="00FA0D5F">
        <w:rPr>
          <w:sz w:val="12"/>
          <w:szCs w:val="12"/>
        </w:rPr>
        <w:t xml:space="preserve"> [Agnieszka Anna, Bodies within affect</w:t>
      </w:r>
      <w:proofErr w:type="gramStart"/>
      <w:r w:rsidRPr="00FA0D5F">
        <w:rPr>
          <w:sz w:val="12"/>
          <w:szCs w:val="12"/>
        </w:rPr>
        <w:t>. :</w:t>
      </w:r>
      <w:proofErr w:type="gramEnd"/>
      <w:r w:rsidRPr="00FA0D5F">
        <w:rPr>
          <w:sz w:val="12"/>
          <w:szCs w:val="12"/>
        </w:rPr>
        <w:t xml:space="preserve"> on practicing contaminating matters through </w:t>
      </w:r>
      <w:proofErr w:type="spellStart"/>
      <w:r w:rsidRPr="00FA0D5F">
        <w:rPr>
          <w:sz w:val="12"/>
          <w:szCs w:val="12"/>
        </w:rPr>
        <w:t>bioart</w:t>
      </w:r>
      <w:proofErr w:type="spellEnd"/>
      <w:r w:rsidRPr="00FA0D5F">
        <w:rPr>
          <w:sz w:val="12"/>
          <w:szCs w:val="12"/>
        </w:rPr>
        <w:t xml:space="preserve">, 2018, </w:t>
      </w:r>
      <w:hyperlink r:id="rId38" w:history="1">
        <w:r w:rsidRPr="00FA0D5F">
          <w:rPr>
            <w:rStyle w:val="Hyperlink"/>
            <w:sz w:val="12"/>
            <w:szCs w:val="12"/>
          </w:rPr>
          <w:t>https://scholarlypublications.universiteitleiden.nl/handle/1887/66889</w:t>
        </w:r>
      </w:hyperlink>
      <w:r w:rsidRPr="00FA0D5F">
        <w:rPr>
          <w:sz w:val="12"/>
          <w:szCs w:val="12"/>
        </w:rPr>
        <w:t xml:space="preserve">] SHS KS </w:t>
      </w:r>
    </w:p>
    <w:p w:rsidR="002D1B41" w:rsidRPr="00F33965" w:rsidRDefault="002D1B41" w:rsidP="002D1B41">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792EBE">
        <w:rPr>
          <w:rStyle w:val="Emphasis"/>
          <w:highlight w:val="cyan"/>
        </w:rPr>
        <w:t>the patenting of the human genome,</w:t>
      </w:r>
      <w:r w:rsidRPr="00AA7D19">
        <w:rPr>
          <w:rStyle w:val="StyleUnderline"/>
        </w:rPr>
        <w:t xml:space="preserve"> which </w:t>
      </w:r>
      <w:r w:rsidRPr="00792EBE">
        <w:rPr>
          <w:rStyle w:val="Emphasis"/>
          <w:highlight w:val="cyan"/>
        </w:rPr>
        <w:t>touches the</w:t>
      </w:r>
      <w:r w:rsidRPr="00792EBE">
        <w:rPr>
          <w:rStyle w:val="Emphasis"/>
        </w:rPr>
        <w:t xml:space="preserve"> </w:t>
      </w:r>
      <w:r w:rsidRPr="00AA7D19">
        <w:rPr>
          <w:rStyle w:val="StyleUnderline"/>
        </w:rPr>
        <w:t xml:space="preserve">very intimate and existential </w:t>
      </w:r>
      <w:r w:rsidRPr="00792EBE">
        <w:rPr>
          <w:rStyle w:val="Emphasis"/>
          <w:highlight w:val="cyan"/>
        </w:rPr>
        <w:t>realm of what it means to have and be a body.</w:t>
      </w:r>
      <w:r w:rsidRPr="00AA7D19">
        <w:rPr>
          <w:rStyle w:val="StyleUnderline"/>
        </w:rPr>
        <w:t xml:space="preserve"> Donna Dickenson reports that, according to common law, </w:t>
      </w:r>
      <w:r w:rsidRPr="00FA794A">
        <w:rPr>
          <w:rStyle w:val="Emphasis"/>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the hybridity and relationality of the body as a result of biotechnological practices can be seen, for instance, within </w:t>
      </w:r>
      <w:r w:rsidRPr="005C3FEF">
        <w:rPr>
          <w:rStyle w:val="Emphasis"/>
        </w:rPr>
        <w:t>the</w:t>
      </w:r>
      <w:r w:rsidRPr="00AA7D19">
        <w:rPr>
          <w:rStyle w:val="StyleUnderline"/>
        </w:rPr>
        <w:t xml:space="preserve"> phenomenon of human genome patenting and genetic testing, the most lucrative applications of biotechnological innovations.</w:t>
      </w:r>
      <w:r w:rsidRPr="00A50657">
        <w:rPr>
          <w:sz w:val="14"/>
        </w:rPr>
        <w:t xml:space="preserve">24 Till 2013, it was common practice to patent the human genome once it had been isolated from the </w:t>
      </w:r>
      <w:r w:rsidRPr="005679F5">
        <w:rPr>
          <w:sz w:val="14"/>
        </w:rPr>
        <w:t xml:space="preserve">body. </w:t>
      </w:r>
      <w:r w:rsidRPr="005679F5">
        <w:rPr>
          <w:rStyle w:val="Emphasis"/>
        </w:rPr>
        <w:t xml:space="preserve">Even </w:t>
      </w:r>
      <w:r w:rsidRPr="005679F5">
        <w:rPr>
          <w:rStyle w:val="Emphasis"/>
          <w:highlight w:val="cyan"/>
        </w:rPr>
        <w:t xml:space="preserve">though genes are not an invention </w:t>
      </w:r>
      <w:r w:rsidRPr="00CD3930">
        <w:rPr>
          <w:rStyle w:val="Emphasis"/>
        </w:rPr>
        <w:t>as such</w:t>
      </w:r>
      <w:r w:rsidRPr="005679F5">
        <w:rPr>
          <w:rStyle w:val="Emphasis"/>
          <w:highlight w:val="cyan"/>
        </w:rPr>
        <w:t xml:space="preserve">, their </w:t>
      </w:r>
      <w:r w:rsidRPr="00792EBE">
        <w:rPr>
          <w:rStyle w:val="Emphasis"/>
          <w:highlight w:val="cyan"/>
        </w:rPr>
        <w:t xml:space="preserve">isolation from a body was considered </w:t>
      </w:r>
      <w:r w:rsidRPr="00CD3930">
        <w:rPr>
          <w:rStyle w:val="Emphasis"/>
        </w:rPr>
        <w:t xml:space="preserve">an </w:t>
      </w:r>
      <w:r w:rsidRPr="00792EBE">
        <w:rPr>
          <w:rStyle w:val="Emphasis"/>
          <w:highlight w:val="cyan"/>
        </w:rPr>
        <w:t xml:space="preserve">innovative </w:t>
      </w:r>
      <w:r w:rsidRPr="00CD3930">
        <w:rPr>
          <w:rStyle w:val="Emphasis"/>
        </w:rPr>
        <w:t xml:space="preserve">practice </w:t>
      </w:r>
      <w:r w:rsidRPr="00792EBE">
        <w:rPr>
          <w:rStyle w:val="Emphasis"/>
          <w:highlight w:val="cyan"/>
        </w:rPr>
        <w:t>and thus subject to patenting laws.</w:t>
      </w:r>
      <w:r w:rsidRPr="00AA7D19">
        <w:rPr>
          <w:rStyle w:val="StyleUnderline"/>
        </w:rPr>
        <w:t xml:space="preserve">25 This resulted in an enormous </w:t>
      </w:r>
      <w:proofErr w:type="spellStart"/>
      <w:r w:rsidRPr="00AA7D19">
        <w:rPr>
          <w:rStyle w:val="StyleUnderline"/>
        </w:rPr>
        <w:t>biomarket</w:t>
      </w:r>
      <w:proofErr w:type="spellEnd"/>
      <w:r w:rsidRPr="00AA7D19">
        <w:rPr>
          <w:rStyle w:val="StyleUnderline"/>
        </w:rPr>
        <w:t>, where, in the 1980s-1990s, till 2005, over twenty per cent of the human genome was patented in the US.</w:t>
      </w:r>
      <w:r w:rsidRPr="005C2444">
        <w:rPr>
          <w:rStyle w:val="StyleUnderline"/>
        </w:rPr>
        <w:t xml:space="preserve">26 </w:t>
      </w:r>
      <w:r w:rsidRPr="00792EBE">
        <w:rPr>
          <w:rStyle w:val="Emphasis"/>
          <w:highlight w:val="cyan"/>
        </w:rPr>
        <w:t>A patent</w:t>
      </w:r>
      <w:r w:rsidRPr="005C2444">
        <w:rPr>
          <w:rStyle w:val="StyleUnderline"/>
        </w:rPr>
        <w:t xml:space="preserve"> </w:t>
      </w:r>
      <w:r w:rsidRPr="00A50657">
        <w:rPr>
          <w:sz w:val="14"/>
        </w:rPr>
        <w:t xml:space="preserve">is “a legal right granted to inventors by national governments to exclude others from making, using or selling their invention in a given country,”27 and so, in this context, </w:t>
      </w:r>
      <w:r w:rsidRPr="00792EBE">
        <w:rPr>
          <w:rStyle w:val="Emphasis"/>
        </w:rPr>
        <w:t>it</w:t>
      </w:r>
      <w:r w:rsidRPr="00792EBE">
        <w:rPr>
          <w:rStyle w:val="Emphasis"/>
          <w:highlight w:val="cyan"/>
        </w:rPr>
        <w:t>s</w:t>
      </w:r>
      <w:r w:rsidRPr="00792EBE">
        <w:rPr>
          <w:rStyle w:val="Emphasis"/>
        </w:rPr>
        <w:t xml:space="preserve"> </w:t>
      </w:r>
      <w:r w:rsidRPr="00792EBE">
        <w:rPr>
          <w:rStyle w:val="Emphasis"/>
          <w:highlight w:val="cyan"/>
        </w:rPr>
        <w:t>function presupposes that parts of our own body are legally owned by companies and institutions.</w:t>
      </w:r>
      <w:r w:rsidRPr="00A50657">
        <w:rPr>
          <w:sz w:val="14"/>
        </w:rPr>
        <w:t xml:space="preserve">28 </w:t>
      </w:r>
      <w:r w:rsidRPr="005C2444">
        <w:rPr>
          <w:rStyle w:val="StyleUnderline"/>
        </w:rPr>
        <w:t xml:space="preserve">Most importantly, gene patents are usually applied to all methods of their detection. This means that every test and tool involved in the management of a particular sequence are covered by </w:t>
      </w:r>
      <w:r w:rsidRPr="00AE3C9A">
        <w:rPr>
          <w:rStyle w:val="StyleUnderline"/>
        </w:rPr>
        <w:t xml:space="preserve">patent laws. The patent thus reaches a very broad research area, and this may have consequences for future innovation and medical care. Since </w:t>
      </w:r>
      <w:r w:rsidRPr="00AE3C9A">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AE3C9A">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AE3C9A">
        <w:rPr>
          <w:rStyle w:val="Emphasis"/>
        </w:rPr>
        <w:t>A naturally occurring DNA segment</w:t>
      </w:r>
      <w:r w:rsidRPr="00AE3C9A">
        <w:rPr>
          <w:rStyle w:val="StyleUnderline"/>
        </w:rPr>
        <w:t xml:space="preserve"> is a product of nature and </w:t>
      </w:r>
      <w:r w:rsidRPr="00AE3C9A">
        <w:rPr>
          <w:rStyle w:val="Emphasis"/>
        </w:rPr>
        <w:t>not patent eligible</w:t>
      </w:r>
      <w:r w:rsidRPr="00AE3C9A">
        <w:rPr>
          <w:rStyle w:val="StyleUnderline"/>
        </w:rPr>
        <w:t xml:space="preserve"> merely because it has been isolated, </w:t>
      </w:r>
      <w:r w:rsidRPr="00AE3C9A">
        <w:rPr>
          <w:rStyle w:val="Emphasis"/>
        </w:rPr>
        <w:t>but</w:t>
      </w:r>
      <w:r w:rsidRPr="00AE3C9A">
        <w:rPr>
          <w:rStyle w:val="StyleUnderline"/>
        </w:rPr>
        <w:t xml:space="preserve"> cDNA is patent eligible because it is not naturally occurring.”</w:t>
      </w:r>
      <w:r w:rsidRPr="00AE3C9A">
        <w:rPr>
          <w:sz w:val="14"/>
        </w:rPr>
        <w:t xml:space="preserve">29 However, things become more ambiguous when we look not only at the differences, but also at the similarities between DNA and </w:t>
      </w:r>
      <w:r w:rsidRPr="00AE3C9A">
        <w:rPr>
          <w:rStyle w:val="Emphasis"/>
        </w:rPr>
        <w:t>its copy, cDNA (complementary DNA)</w:t>
      </w:r>
      <w:r w:rsidRPr="00AE3C9A">
        <w:rPr>
          <w:sz w:val="14"/>
        </w:rPr>
        <w:t>. cDNA is “a type of a man-made DNA composition, which is made in a lab with an enzyme</w:t>
      </w:r>
      <w:r w:rsidRPr="00A50657">
        <w:rPr>
          <w:sz w:val="14"/>
        </w:rPr>
        <w:t xml:space="preserve"> that creates DNA from RNA template.”30 </w:t>
      </w:r>
      <w:r w:rsidRPr="00A50657">
        <w:rPr>
          <w:rStyle w:val="StyleUnderline"/>
        </w:rPr>
        <w:t xml:space="preserve">Not naturally occurring, and structurally and functionally different from DNA, </w:t>
      </w:r>
      <w:r w:rsidRPr="00A50657">
        <w:rPr>
          <w:rStyle w:val="Emphasis"/>
        </w:rPr>
        <w:t>cDNA</w:t>
      </w:r>
      <w:r w:rsidRPr="00A50657">
        <w:rPr>
          <w:rStyle w:val="StyleUnderline"/>
        </w:rPr>
        <w:t xml:space="preserve"> thus </w:t>
      </w:r>
      <w:r w:rsidRPr="00A50657">
        <w:rPr>
          <w:rStyle w:val="Emphasis"/>
        </w:rPr>
        <w:t>complies with the patent law.</w:t>
      </w:r>
      <w:r w:rsidRPr="00A50657">
        <w:rPr>
          <w:rStyle w:val="StyleUnderline"/>
        </w:rPr>
        <w:t xml:space="preserve"> Nevertheless,</w:t>
      </w:r>
      <w:r w:rsidRPr="00A50657">
        <w:rPr>
          <w:sz w:val="14"/>
        </w:rPr>
        <w:t xml:space="preserve"> some critics argue that, despite its structural </w:t>
      </w:r>
      <w:r w:rsidRPr="007D1D1C">
        <w:rPr>
          <w:sz w:val="14"/>
        </w:rPr>
        <w:t>and functional difference, which allows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792EBE">
        <w:rPr>
          <w:rStyle w:val="Emphasis"/>
          <w:highlight w:val="cyan"/>
        </w:rPr>
        <w:t xml:space="preserve">personalized medicine deliberately </w:t>
      </w:r>
      <w:r w:rsidRPr="007E5138">
        <w:rPr>
          <w:rStyle w:val="Emphasis"/>
        </w:rPr>
        <w:t xml:space="preserve">positions itself against we medicine, </w:t>
      </w:r>
      <w:proofErr w:type="spellStart"/>
      <w:r w:rsidRPr="007E5138">
        <w:rPr>
          <w:rStyle w:val="Emphasis"/>
        </w:rPr>
        <w:t>emphasising</w:t>
      </w:r>
      <w:proofErr w:type="spellEnd"/>
      <w:r w:rsidRPr="007E5138">
        <w:rPr>
          <w:rStyle w:val="Emphasis"/>
        </w:rPr>
        <w:t xml:space="preserve"> individual responsibility and care, rather than a collective and relational understanding of the way our bodies are.</w:t>
      </w:r>
      <w:r w:rsidRPr="007E5138">
        <w:rPr>
          <w:sz w:val="14"/>
        </w:rPr>
        <w:t xml:space="preserve"> We witnessed the power of individual choice when the American actress A</w:t>
      </w:r>
      <w:r w:rsidRPr="00A50657">
        <w:rPr>
          <w:sz w:val="14"/>
        </w:rPr>
        <w:t xml:space="preserve">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B55C57">
        <w:rPr>
          <w:rStyle w:val="StyleUnderline"/>
        </w:rPr>
        <w:t xml:space="preserve">The discussion of the elective surgery </w:t>
      </w:r>
      <w:r w:rsidRPr="00FA325F">
        <w:rPr>
          <w:rStyle w:val="StyleUnderline"/>
        </w:rPr>
        <w:t xml:space="preserve">largely </w:t>
      </w:r>
      <w:r w:rsidRPr="00FA325F">
        <w:rPr>
          <w:rStyle w:val="Emphasis"/>
        </w:rPr>
        <w:t>ignored any discussion of the financial, political or social situation</w:t>
      </w:r>
      <w:r w:rsidRPr="00FA325F">
        <w:rPr>
          <w:rStyle w:val="StyleUnderline"/>
        </w:rPr>
        <w:t xml:space="preserve"> of women, or of the industry involved in performing these tests.</w:t>
      </w:r>
      <w:r w:rsidRPr="00FA325F">
        <w:rPr>
          <w:sz w:val="14"/>
        </w:rPr>
        <w:t xml:space="preserve"> </w:t>
      </w:r>
      <w:r w:rsidRPr="00FA325F">
        <w:rPr>
          <w:rStyle w:val="StyleUnderline"/>
        </w:rPr>
        <w:t>Importantly, in order for the testing to be accurate and certain, a large database of the variation of this mutation is needed.</w:t>
      </w:r>
      <w:r w:rsidRPr="00FA325F">
        <w:rPr>
          <w:sz w:val="14"/>
        </w:rPr>
        <w:t xml:space="preserve"> </w:t>
      </w:r>
      <w:r w:rsidRPr="00FA325F">
        <w:rPr>
          <w:rStyle w:val="Emphasis"/>
        </w:rPr>
        <w:t>You need “we medicine in order to perform a successful me medicine.”</w:t>
      </w:r>
      <w:r w:rsidRPr="00FA325F">
        <w:rPr>
          <w:sz w:val="14"/>
        </w:rPr>
        <w:t xml:space="preserve">35 </w:t>
      </w:r>
      <w:r w:rsidRPr="00FA325F">
        <w:rPr>
          <w:rStyle w:val="StyleUnderline"/>
        </w:rPr>
        <w:t xml:space="preserve">In other words, to be accurate, </w:t>
      </w:r>
      <w:r w:rsidRPr="00FA325F">
        <w:rPr>
          <w:rStyle w:val="Emphasis"/>
        </w:rPr>
        <w:t xml:space="preserve">any medicine depends on a range of relational practices and multiple bodies from various social, political and biological states. Any distinction, therefore, between “me” and “we” medicine is an artificial one. </w:t>
      </w:r>
      <w:r w:rsidRPr="00FA325F">
        <w:rPr>
          <w:rStyle w:val="StyleUnderline"/>
        </w:rPr>
        <w:t xml:space="preserve">Medical practice has exposed how “me” medicine has already been “we” medicine. </w:t>
      </w:r>
      <w:r w:rsidRPr="00FA325F">
        <w:rPr>
          <w:rStyle w:val="Emphasis"/>
        </w:rPr>
        <w:t>The tangible danger, however, is that these relational practices become veiled by the abstract categories of individuality and autonomy. In other words, while we are already living within affect, and are already practicing affect’s contaminations and its multiple relations and implications for various spheres of living bodies, we have never really changed our logic with regard to affect.</w:t>
      </w:r>
      <w:r w:rsidRPr="00FA325F">
        <w:rPr>
          <w:sz w:val="14"/>
        </w:rPr>
        <w:t xml:space="preserve"> In the case of Myriad, </w:t>
      </w:r>
      <w:r w:rsidRPr="00FA325F">
        <w:rPr>
          <w:rStyle w:val="Emphasis"/>
        </w:rPr>
        <w:t>while, in principle, researchers, share their genome database in order to provide an exchange of information for the common good and to promote innovation and accurate medical care, fear of competition led the company to stop contributing to the data</w:t>
      </w:r>
      <w:r w:rsidRPr="00FA325F">
        <w:rPr>
          <w:rStyle w:val="StyleUnderline"/>
        </w:rPr>
        <w:t xml:space="preserve"> already in 2004. It has also stopped </w:t>
      </w:r>
      <w:proofErr w:type="spellStart"/>
      <w:r w:rsidRPr="00FA325F">
        <w:rPr>
          <w:rStyle w:val="StyleUnderline"/>
        </w:rPr>
        <w:t>publicising</w:t>
      </w:r>
      <w:proofErr w:type="spellEnd"/>
      <w:r w:rsidRPr="00FA325F">
        <w:rPr>
          <w:rStyle w:val="StyleUnderline"/>
        </w:rPr>
        <w:t xml:space="preserve"> new information about variations. As a major performer of tests for the BRCA gene, Myriad has thus significantly restricted research on breast cancer. </w:t>
      </w:r>
      <w:r w:rsidRPr="00FA325F">
        <w:rPr>
          <w:rStyle w:val="Emphasis"/>
        </w:rPr>
        <w:t>The company’s self-interest, clothed in a policy of personalized medicine has stopped the flow of data and, therefore, causing less accurate medical care.</w:t>
      </w:r>
      <w:r w:rsidRPr="00FA325F">
        <w:rPr>
          <w:sz w:val="14"/>
        </w:rPr>
        <w:t xml:space="preserve">36 What is worse, after the US Supreme Court decision of 15 April 2013, Myriad filed a number of lawsuits against laboratories that had started to offer the BRCA test more cheaply.37 What we learn from the BRCA case, is that </w:t>
      </w:r>
      <w:r w:rsidRPr="00FA325F">
        <w:rPr>
          <w:rStyle w:val="Emphasis"/>
        </w:rPr>
        <w:t>by failing to change the logic of thinking about the bodies and as a result of its perpetuation of the belief in the autonomy of bodies, despite their obvious dependence on bodies’ relationality, the gene patenting industry has created even stronger hierarchies among bodies.</w:t>
      </w:r>
      <w:r w:rsidRPr="00FA325F">
        <w:rPr>
          <w:sz w:val="14"/>
        </w:rPr>
        <w:t xml:space="preserve"> The industry’s policies have enacted a strong belief in determinism, ascribed to DNA within the practices of biotechnological, economic and political application. </w:t>
      </w:r>
      <w:r w:rsidRPr="00FA325F">
        <w:rPr>
          <w:rStyle w:val="StyleUnderline"/>
        </w:rPr>
        <w:t>The idea of the autonomous body is stronger than the actual matters of practice and relations that</w:t>
      </w:r>
      <w:r w:rsidRPr="00B55C57">
        <w:rPr>
          <w:rStyle w:val="StyleUnderline"/>
        </w:rPr>
        <w:t xml:space="preserve">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792EBE">
        <w:rPr>
          <w:rStyle w:val="Emphasis"/>
          <w:highlight w:val="cyan"/>
        </w:rPr>
        <w:t>Patents have a universal function, which</w:t>
      </w:r>
      <w:r w:rsidRPr="005679F5">
        <w:rPr>
          <w:rStyle w:val="Emphasis"/>
        </w:rPr>
        <w:t xml:space="preserve">, in turn, </w:t>
      </w:r>
      <w:r w:rsidRPr="00792EBE">
        <w:rPr>
          <w:rStyle w:val="Emphasis"/>
          <w:highlight w:val="cyan"/>
        </w:rPr>
        <w:t xml:space="preserve">incorporates all </w:t>
      </w:r>
      <w:r w:rsidRPr="009770ED">
        <w:rPr>
          <w:rStyle w:val="Emphasis"/>
        </w:rPr>
        <w:t xml:space="preserve">our </w:t>
      </w:r>
      <w:r w:rsidRPr="00792EBE">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EF655B">
        <w:rPr>
          <w:rStyle w:val="Emphasis"/>
          <w:highlight w:val="cyan"/>
        </w:rPr>
        <w:t>part of you</w:t>
      </w:r>
      <w:r w:rsidRPr="005679F5">
        <w:rPr>
          <w:rStyle w:val="Emphasis"/>
        </w:rPr>
        <w:t xml:space="preserve">, what you think of as the “natural” you, </w:t>
      </w:r>
      <w:r w:rsidRPr="00EF655B">
        <w:rPr>
          <w:rStyle w:val="Emphasis"/>
          <w:highlight w:val="cyan"/>
        </w:rPr>
        <w:t>belongs</w:t>
      </w:r>
      <w:r w:rsidRPr="005679F5">
        <w:rPr>
          <w:rStyle w:val="Emphasis"/>
        </w:rPr>
        <w:t xml:space="preserve">, in practice, </w:t>
      </w:r>
      <w:r w:rsidRPr="00EF655B">
        <w:rPr>
          <w:rStyle w:val="Emphasis"/>
          <w:highlight w:val="cyan"/>
        </w:rPr>
        <w:t xml:space="preserve">to the corporation. The artificial divide </w:t>
      </w:r>
      <w:r w:rsidRPr="00A50657">
        <w:rPr>
          <w:rStyle w:val="Emphasis"/>
        </w:rPr>
        <w:t xml:space="preserve">between the “state of nature” and man-made practice </w:t>
      </w:r>
      <w:r w:rsidRPr="00EF655B">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committees and economic policies, they directly touch the multiple political, social and cultural realms of our existence. Ingeborg </w:t>
      </w:r>
      <w:proofErr w:type="spellStart"/>
      <w:r w:rsidRPr="00A50657">
        <w:rPr>
          <w:sz w:val="14"/>
        </w:rPr>
        <w:t>Reichle</w:t>
      </w:r>
      <w:proofErr w:type="spellEnd"/>
      <w:r w:rsidRPr="00A50657">
        <w:rPr>
          <w:sz w:val="14"/>
        </w:rPr>
        <w:t xml:space="preserve"> called the unprecedented power inherent to the use of biotechnology “bottom-up eugenics”, which is not based directly on a socio-cultural idea and narration, but rather the market and profit.40 As Robert </w:t>
      </w:r>
      <w:proofErr w:type="spellStart"/>
      <w:r w:rsidRPr="00A50657">
        <w:rPr>
          <w:sz w:val="14"/>
        </w:rPr>
        <w:t>Zwijnenberg</w:t>
      </w:r>
      <w:proofErr w:type="spellEnd"/>
      <w:r w:rsidRPr="00A50657">
        <w:rPr>
          <w:sz w:val="14"/>
        </w:rPr>
        <w:t xml:space="preserve"> argues, </w:t>
      </w:r>
      <w:r w:rsidRPr="00EE6AE6">
        <w:rPr>
          <w:rStyle w:val="StyleUnderline"/>
        </w:rPr>
        <w:t>biotechnology inevitably correlates with such problems as, for instance, human enhancement, posing not only ethical and legal problems, but forcing more philosophically and culturally varied questions and attitudes, i.e. “</w:t>
      </w:r>
      <w:r w:rsidRPr="00EF655B">
        <w:rPr>
          <w:rStyle w:val="Emphasis"/>
          <w:highlight w:val="cyan"/>
        </w:rPr>
        <w:t xml:space="preserve">who and what do we want to be </w:t>
      </w:r>
      <w:r w:rsidRPr="00AE3C9A">
        <w:rPr>
          <w:rStyle w:val="Emphasis"/>
        </w:rPr>
        <w:t>as humans, and who</w:t>
      </w:r>
      <w:r w:rsidRPr="00EF655B">
        <w:rPr>
          <w:rStyle w:val="Emphasis"/>
          <w:highlight w:val="cyan"/>
        </w:rPr>
        <w:t xml:space="preserve"> and </w:t>
      </w:r>
      <w:r w:rsidRPr="00AE3C9A">
        <w:rPr>
          <w:rStyle w:val="Emphasis"/>
        </w:rPr>
        <w:t xml:space="preserve">what do we want to </w:t>
      </w:r>
      <w:r w:rsidRPr="00EF655B">
        <w:rPr>
          <w:rStyle w:val="Emphasis"/>
          <w:highlight w:val="cyan"/>
        </w:rPr>
        <w:t>become?”</w:t>
      </w:r>
      <w:r w:rsidRPr="00A50657">
        <w:rPr>
          <w:sz w:val="14"/>
        </w:rPr>
        <w:t xml:space="preserve">41 </w:t>
      </w:r>
      <w:r w:rsidRPr="000B3482">
        <w:rPr>
          <w:rStyle w:val="Emphasis"/>
          <w:highlight w:val="cyan"/>
        </w:rPr>
        <w:t>Biotechnological innovations that allow us to manipulate our bodies</w:t>
      </w:r>
      <w:r w:rsidRPr="000B3482">
        <w:rPr>
          <w:rStyle w:val="Emphasis"/>
        </w:rPr>
        <w:t xml:space="preserve"> construct </w:t>
      </w:r>
      <w:proofErr w:type="spellStart"/>
      <w:r w:rsidRPr="000B3482">
        <w:rPr>
          <w:rStyle w:val="Emphasis"/>
        </w:rPr>
        <w:t>economicsocial</w:t>
      </w:r>
      <w:proofErr w:type="spellEnd"/>
      <w:r w:rsidRPr="000B3482">
        <w:rPr>
          <w:rStyle w:val="Emphasis"/>
        </w:rPr>
        <w:t xml:space="preserve"> realities that do not respond to disciplinary divisions.</w:t>
      </w:r>
      <w:r w:rsidRPr="000B3482">
        <w:rPr>
          <w:rStyle w:val="StyleUnderline"/>
        </w:rPr>
        <w:t xml:space="preserve"> Eco</w:t>
      </w:r>
      <w:r w:rsidRPr="00EE6AE6">
        <w:rPr>
          <w:rStyle w:val="StyleUnderline"/>
        </w:rPr>
        <w:t xml:space="preserve">nomic and political demands are strongly entangled with scientific findings, technologies and their agencies, which, in turn, inevitably influence social and cultural, individual and the population’s practices, as well as our lives and bodies. </w:t>
      </w:r>
      <w:r w:rsidRPr="00A50657">
        <w:rPr>
          <w:sz w:val="14"/>
        </w:rPr>
        <w:t xml:space="preserve">However, as the Myriad case shows, </w:t>
      </w:r>
      <w:r w:rsidRPr="000B3482">
        <w:rPr>
          <w:rStyle w:val="Emphasis"/>
        </w:rPr>
        <w:t xml:space="preserve">once these multiple entanglements are applied </w:t>
      </w:r>
      <w:r w:rsidRPr="00FA325F">
        <w:rPr>
          <w:rStyle w:val="Emphasis"/>
        </w:rPr>
        <w:t xml:space="preserve">according to the traditional beliefs in autonomy, individuation and personalization, which do not respond to the relational nature of phenomena, we enter into the realm of utopian beliefs in purity and clear-cut boundaries </w:t>
      </w:r>
      <w:r w:rsidRPr="009770ED">
        <w:rPr>
          <w:rStyle w:val="Emphasis"/>
        </w:rPr>
        <w:t>between species and disciplines.</w:t>
      </w:r>
      <w:r w:rsidRPr="00A50657">
        <w:rPr>
          <w:sz w:val="14"/>
        </w:rPr>
        <w:t xml:space="preserve"> For instance, transhumanists’ desire for designer babies and perfect humans,42 </w:t>
      </w:r>
      <w:proofErr w:type="spellStart"/>
      <w:r w:rsidRPr="00A50657">
        <w:rPr>
          <w:sz w:val="14"/>
        </w:rPr>
        <w:t>fuelled</w:t>
      </w:r>
      <w:proofErr w:type="spellEnd"/>
      <w:r w:rsidRPr="00A50657">
        <w:rPr>
          <w:sz w:val="14"/>
        </w:rPr>
        <w:t xml:space="preserve"> by an unquestioning use of technology, is just one among </w:t>
      </w:r>
      <w:r w:rsidRPr="00A50657">
        <w:rPr>
          <w:rStyle w:val="Emphasis"/>
        </w:rPr>
        <w:t xml:space="preserve">many examples of </w:t>
      </w:r>
      <w:r w:rsidRPr="00EF655B">
        <w:rPr>
          <w:rStyle w:val="Emphasis"/>
          <w:highlight w:val="cyan"/>
        </w:rPr>
        <w:t>using relationality not as an ontological way of being, but as a means for strengthening the fixed ideas about our bodies. We already live and practice affect</w:t>
      </w:r>
      <w:r w:rsidRPr="00AE3C9A">
        <w:rPr>
          <w:rStyle w:val="Emphasis"/>
        </w:rPr>
        <w:t>, that is</w:t>
      </w:r>
      <w:r w:rsidRPr="00A50657">
        <w:rPr>
          <w:sz w:val="14"/>
        </w:rPr>
        <w:t xml:space="preserve">, </w:t>
      </w:r>
    </w:p>
    <w:p w:rsidR="00E42E4C" w:rsidRDefault="002D1B41" w:rsidP="002D1B41">
      <w:pPr>
        <w:pStyle w:val="Heading3"/>
      </w:pPr>
      <w:r>
        <w:t>UV</w:t>
      </w:r>
    </w:p>
    <w:p w:rsidR="002D1B41" w:rsidRDefault="002D1B41" w:rsidP="002D1B41">
      <w:pPr>
        <w:pStyle w:val="Heading4"/>
      </w:pPr>
      <w:r>
        <w:t>Interpretation: All debater’s theory shells must operate through NCM, or the norm-setting model, not the abuse model. To clarify, an interpretation under NCM necessitates that a proposed interpretation would produce better norms for debate than the mutually exclusive counter-</w:t>
      </w:r>
      <w:proofErr w:type="spellStart"/>
      <w:r>
        <w:t>interp</w:t>
      </w:r>
      <w:proofErr w:type="spellEnd"/>
      <w:r>
        <w:t xml:space="preserve"> and that those norms should be endorsed. </w:t>
      </w:r>
      <w:r w:rsidRPr="00FE2E6F">
        <w:rPr>
          <w:b w:val="0"/>
          <w:bCs w:val="0"/>
          <w:color w:val="FFFFFF" w:themeColor="background1"/>
          <w:sz w:val="2"/>
          <w:szCs w:val="2"/>
        </w:rPr>
        <w:t>Massa</w:t>
      </w:r>
    </w:p>
    <w:p w:rsidR="002D1B41" w:rsidRDefault="002D1B41" w:rsidP="002D1B41">
      <w:pPr>
        <w:pStyle w:val="Heading4"/>
      </w:pPr>
      <w:r>
        <w:t xml:space="preserve">The interpretation generates standards offense – so meeting the standards is nonsense if they don’t meet the interp. </w:t>
      </w:r>
    </w:p>
    <w:p w:rsidR="002D1B41" w:rsidRDefault="002D1B41" w:rsidP="002D1B41">
      <w:pPr>
        <w:pStyle w:val="Heading4"/>
      </w:pPr>
      <w:r>
        <w:t>A violation says the rule is not a set norm in the debate community. This is done by showing the opposing debater is in violation of the norm. But, showing the opponent’s action is in violation of the rule is unnecessary if the proposed rule is not a set norm in debate.</w:t>
      </w:r>
    </w:p>
    <w:p w:rsidR="002D1B41" w:rsidRDefault="002D1B41" w:rsidP="002D1B41">
      <w:pPr>
        <w:pStyle w:val="Heading4"/>
      </w:pPr>
      <w:r>
        <w:t>Violation – It’s preemptive and reactive.</w:t>
      </w:r>
    </w:p>
    <w:p w:rsidR="002D1B41" w:rsidRDefault="002D1B41" w:rsidP="002D1B41">
      <w:pPr>
        <w:pStyle w:val="Heading4"/>
      </w:pPr>
      <w:r>
        <w:t>1] No RVI – under the NCM, any net beneficial interpretation is sufficient to warrant a ballot.</w:t>
      </w:r>
    </w:p>
    <w:p w:rsidR="002D1B41" w:rsidRDefault="002D1B41" w:rsidP="002D1B41">
      <w:pPr>
        <w:pStyle w:val="Heading4"/>
      </w:pPr>
      <w:r>
        <w:t xml:space="preserve">2] </w:t>
      </w:r>
      <w:r w:rsidRPr="00B9195E">
        <w:t>Reasonability – NCM constrains theory to who defends a competitive model of debate to evaluate 2 conflicting norms. Reasonable practices aren’t norms – they’re exceptions to rules.</w:t>
      </w:r>
    </w:p>
    <w:p w:rsidR="002D1B41" w:rsidRPr="00F07D22" w:rsidRDefault="002D1B41" w:rsidP="002D1B41">
      <w:pPr>
        <w:pStyle w:val="Heading4"/>
      </w:pPr>
      <w:r>
        <w:t>And, people’s theory shells currently do not operate under NCM – which is proven by judge paradigms that say theory is only legit if it applies in-round.</w:t>
      </w:r>
    </w:p>
    <w:p w:rsidR="002D1B41" w:rsidRDefault="002D1B41" w:rsidP="002D1B41">
      <w:pPr>
        <w:pStyle w:val="Heading4"/>
      </w:pPr>
      <w:r>
        <w:t>Vote AFF –</w:t>
      </w:r>
    </w:p>
    <w:p w:rsidR="002D1B41" w:rsidRDefault="002D1B41" w:rsidP="002D1B41">
      <w:pPr>
        <w:pStyle w:val="Heading4"/>
      </w:pPr>
      <w:r>
        <w:t xml:space="preserve">1] Norming – NCM means endorsement of the debater who promotes the best competitive norm, but punishment models of theory do not necessitate comparative models that are evaluated equally as initial interpretations. NCM forces debaters to commit to their theory norm which increases the quality of norms because no one would defend a norm that would get crushed and warrant a loss. Norming outweighs and is a voter – </w:t>
      </w:r>
      <w:r w:rsidRPr="00FE2E6F">
        <w:rPr>
          <w:b w:val="0"/>
          <w:bCs w:val="0"/>
          <w:color w:val="FFFFFF" w:themeColor="background1"/>
          <w:sz w:val="2"/>
          <w:szCs w:val="2"/>
        </w:rPr>
        <w:t>Massa</w:t>
      </w:r>
    </w:p>
    <w:p w:rsidR="002D1B41" w:rsidRDefault="002D1B41" w:rsidP="002D1B41">
      <w:pPr>
        <w:pStyle w:val="Heading4"/>
      </w:pPr>
      <w:r>
        <w:t>A] Forces both debaters to engage in the issue and debate both sides which is an extension of your interpretation and means any reason why IRA is good is a reason to prefer NCM.</w:t>
      </w:r>
    </w:p>
    <w:p w:rsidR="002D1B41" w:rsidRDefault="002D1B41" w:rsidP="002D1B41">
      <w:pPr>
        <w:pStyle w:val="Heading4"/>
      </w:pPr>
      <w:r>
        <w:t xml:space="preserve">B] All voters beg the question of what norms or interpretations are consistent with their impacts. For example, fairness and education are nonsensical without a norm that constitutes it. </w:t>
      </w:r>
    </w:p>
    <w:p w:rsidR="002D1B41" w:rsidRDefault="002D1B41" w:rsidP="002D1B41">
      <w:pPr>
        <w:pStyle w:val="Heading4"/>
      </w:pPr>
      <w:r>
        <w:t xml:space="preserve">Voters – If you win that my model of debate is bad, the counter-interpretation would not be an RVI. Abuse models imply that you vote for a debater who broke a rule. Proving that you may engage in some practice is insufficient under that model as there is no proactive violation to a rule sufficient to warrant a ballot. Reasonability is also our violation because it does not necessitate comparative norms. Dropping the debater is implied by our </w:t>
      </w:r>
      <w:proofErr w:type="spellStart"/>
      <w:r>
        <w:t>interp</w:t>
      </w:r>
      <w:proofErr w:type="spellEnd"/>
      <w:r>
        <w:t xml:space="preserve"> because you would vote us up for endorsing the better model of debate.</w:t>
      </w:r>
    </w:p>
    <w:p w:rsidR="002D1B41" w:rsidRPr="002D1B41" w:rsidRDefault="002D1B41" w:rsidP="002D1B41"/>
    <w:sectPr w:rsidR="002D1B41" w:rsidRPr="002D1B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4D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D8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B4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07FC7"/>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A23"/>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AD2"/>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9E58A20-C00B-4F42-9D8A-B9220E505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2D1B4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C4D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4D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4D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0C4D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4D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4D8E"/>
  </w:style>
  <w:style w:type="character" w:customStyle="1" w:styleId="Heading1Char">
    <w:name w:val="Heading 1 Char"/>
    <w:aliases w:val="Pocket Char"/>
    <w:basedOn w:val="DefaultParagraphFont"/>
    <w:link w:val="Heading1"/>
    <w:uiPriority w:val="9"/>
    <w:rsid w:val="000C4D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4D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C4D8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0C4D8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C4D8E"/>
    <w:rPr>
      <w:b/>
      <w:sz w:val="26"/>
      <w:u w:val="none"/>
    </w:rPr>
  </w:style>
  <w:style w:type="character" w:customStyle="1" w:styleId="StyleUnderline">
    <w:name w:val="Style Underline"/>
    <w:aliases w:val="Underline,Style Bold Underline,Cards + Font: 12 pt Char,c,apple-style-span + 6 pt,Bold,Kern at 16 pt,Intense Emphasis1,Intense Emphasis2,HHeading 3 + 12 pt,ci,Intense Emphasis11,Intense Emphasis111,Heading 3 Char Char Char1,Bo,Style,cite"/>
    <w:basedOn w:val="DefaultParagraphFont"/>
    <w:uiPriority w:val="1"/>
    <w:qFormat/>
    <w:rsid w:val="000C4D8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0C4D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C4D8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
    <w:basedOn w:val="DefaultParagraphFont"/>
    <w:uiPriority w:val="99"/>
    <w:unhideWhenUsed/>
    <w:rsid w:val="000C4D8E"/>
    <w:rPr>
      <w:color w:val="auto"/>
      <w:u w:val="none"/>
    </w:rPr>
  </w:style>
  <w:style w:type="paragraph" w:styleId="DocumentMap">
    <w:name w:val="Document Map"/>
    <w:basedOn w:val="Normal"/>
    <w:link w:val="DocumentMapChar"/>
    <w:uiPriority w:val="99"/>
    <w:semiHidden/>
    <w:unhideWhenUsed/>
    <w:rsid w:val="000C4D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4D8E"/>
    <w:rPr>
      <w:rFonts w:ascii="Lucida Grande" w:hAnsi="Lucida Grande" w:cs="Lucida Grande"/>
    </w:rPr>
  </w:style>
  <w:style w:type="paragraph" w:customStyle="1" w:styleId="textbold">
    <w:name w:val="text bold"/>
    <w:basedOn w:val="Normal"/>
    <w:link w:val="Emphasis"/>
    <w:uiPriority w:val="20"/>
    <w:qFormat/>
    <w:rsid w:val="002D1B41"/>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uiPriority w:val="1"/>
    <w:qFormat/>
    <w:rsid w:val="002D1B41"/>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fontTable" Target="fontTable.xm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7" Type="http://schemas.openxmlformats.org/officeDocument/2006/relationships/settings" Target="setting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scholarlypublications.universiteitleiden.nl/handle/1887/66889" TargetMode="External"/><Relationship Id="rId2" Type="http://schemas.openxmlformats.org/officeDocument/2006/relationships/customXml" Target="../customXml/item2.xml"/><Relationship Id="rId1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www.sciencedirect.com/science/article/pii/S1755458612000266"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10" Type="http://schemas.openxmlformats.org/officeDocument/2006/relationships/hyperlink" Target="https://muse.jhu.edu/article/509908" TargetMode="External"/><Relationship Id="rId19"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 Type="http://schemas.openxmlformats.org/officeDocument/2006/relationships/customXml" Target="../customXml/item4.xm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8A72DB4-2AA6-F642-86C6-2BCBBFF91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10090</Words>
  <Characters>57515</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2021-09-26T17:05:00Z</dcterms:created>
  <dcterms:modified xsi:type="dcterms:W3CDTF">2021-09-26T18:35:00Z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