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47417" w14:textId="3345A4A0" w:rsidR="000C7716" w:rsidRDefault="00AA2397" w:rsidP="00AA2397">
      <w:pPr>
        <w:pStyle w:val="Heading1"/>
      </w:pPr>
      <w:r>
        <w:t xml:space="preserve">1NC </w:t>
      </w:r>
    </w:p>
    <w:p w14:paraId="62D85545" w14:textId="77777777" w:rsidR="00CC05C6" w:rsidRDefault="00CC05C6" w:rsidP="005E17D7">
      <w:pPr>
        <w:pStyle w:val="Heading2"/>
      </w:pPr>
    </w:p>
    <w:p w14:paraId="170897C1" w14:textId="2B32A804" w:rsidR="002A7002" w:rsidRDefault="002A7002" w:rsidP="002A7002">
      <w:pPr>
        <w:pStyle w:val="Heading2"/>
      </w:pPr>
      <w:proofErr w:type="spellStart"/>
      <w:r>
        <w:t>Fwk</w:t>
      </w:r>
      <w:proofErr w:type="spellEnd"/>
    </w:p>
    <w:p w14:paraId="7DDA8EA4" w14:textId="125ACD86" w:rsidR="002A7002" w:rsidRDefault="002A7002" w:rsidP="002A7002">
      <w:pPr>
        <w:pStyle w:val="Heading4"/>
        <w:rPr>
          <w:rFonts w:asciiTheme="minorHAnsi" w:hAnsiTheme="minorHAnsi" w:cstheme="minorHAnsi"/>
        </w:rPr>
      </w:pPr>
      <w:r>
        <w:rPr>
          <w:rFonts w:asciiTheme="minorHAnsi" w:hAnsiTheme="minorHAnsi" w:cstheme="minorHAnsi"/>
          <w:b w:val="0"/>
          <w:color w:val="000000" w:themeColor="text1"/>
        </w:rPr>
        <w:t xml:space="preserve">6] </w:t>
      </w:r>
      <w:r w:rsidRPr="002A7002">
        <w:rPr>
          <w:rFonts w:asciiTheme="minorHAnsi" w:hAnsiTheme="minorHAnsi" w:cstheme="minorHAnsi"/>
          <w:bCs/>
        </w:rPr>
        <w:t xml:space="preserve">Extinction outweighs </w:t>
      </w:r>
      <w:r w:rsidRPr="002A7002">
        <w:rPr>
          <w:rFonts w:asciiTheme="minorHAnsi" w:hAnsiTheme="minorHAnsi" w:cstheme="minorHAnsi"/>
          <w:bCs/>
        </w:rPr>
        <w:t>everything – even a small risk of extinction means you vote NEG</w:t>
      </w:r>
      <w:r>
        <w:rPr>
          <w:rFonts w:asciiTheme="minorHAnsi" w:hAnsiTheme="minorHAnsi" w:cstheme="minorHAnsi"/>
          <w:b w:val="0"/>
        </w:rPr>
        <w:t xml:space="preserve"> </w:t>
      </w:r>
    </w:p>
    <w:p w14:paraId="449F27D5" w14:textId="77777777" w:rsidR="002A7002" w:rsidRDefault="002A7002" w:rsidP="002A7002">
      <w:pPr>
        <w:rPr>
          <w:rFonts w:asciiTheme="minorHAnsi" w:hAnsiTheme="minorHAnsi" w:cstheme="minorHAnsi"/>
        </w:rPr>
      </w:pPr>
      <w:proofErr w:type="spellStart"/>
      <w:r>
        <w:rPr>
          <w:rStyle w:val="Style13ptBold"/>
          <w:rFonts w:asciiTheme="minorHAnsi" w:hAnsiTheme="minorHAnsi" w:cstheme="minorHAnsi"/>
        </w:rPr>
        <w:t>Pummer</w:t>
      </w:r>
      <w:proofErr w:type="spellEnd"/>
      <w:r>
        <w:rPr>
          <w:rStyle w:val="Style13ptBold"/>
          <w:rFonts w:asciiTheme="minorHAnsi" w:hAnsiTheme="minorHAnsi" w:cstheme="minorHAnsi"/>
        </w:rPr>
        <w:t xml:space="preserve"> 15</w:t>
      </w:r>
      <w:r>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51647778" w14:textId="28C7F2C4" w:rsidR="002A7002" w:rsidRPr="002A7002" w:rsidRDefault="002A7002" w:rsidP="002A7002">
      <w:r>
        <w:rPr>
          <w:rStyle w:val="TitleChar"/>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Pr>
          <w:rFonts w:asciiTheme="minorHAnsi" w:hAnsiTheme="minorHAnsi" w:cstheme="minorHAnsi"/>
        </w:rPr>
        <w:t>, whatever general moral view we adopt</w:t>
      </w:r>
      <w:r>
        <w:rPr>
          <w:rStyle w:val="TitleChar"/>
          <w:rFonts w:asciiTheme="minorHAnsi" w:hAnsiTheme="minorHAnsi" w:cstheme="minorHAnsi"/>
        </w:rPr>
        <w:t>: that it is very important to reduce the risk that all intelligent beings on this planet are eliminated by an enormous catastrophe, such as a nuclear war.</w:t>
      </w:r>
      <w:r>
        <w:rPr>
          <w:rFonts w:asciiTheme="minorHAnsi" w:hAnsiTheme="minorHAnsi" w:cstheme="minorHAnsi"/>
        </w:rPr>
        <w:t xml:space="preserve"> How we might in fact try to reduce such existential risks is discussed elsewhere. My claim here is only that </w:t>
      </w:r>
      <w:r>
        <w:rPr>
          <w:rStyle w:val="TitleChar"/>
          <w:rFonts w:asciiTheme="minorHAnsi" w:hAnsiTheme="minorHAnsi" w:cstheme="minorHAnsi"/>
        </w:rPr>
        <w:t xml:space="preserve">we – whether we’re consequentialists, deontologists, or virtue ethicists – should all agree that we should try to save the world. </w:t>
      </w:r>
      <w:r>
        <w:rPr>
          <w:rFonts w:asciiTheme="minorHAnsi" w:hAnsiTheme="minorHAnsi" w:cstheme="minorHAnsi"/>
        </w:rPr>
        <w:t xml:space="preserve">According to consequentialism, we should maximize the good, where this is taken to be the goodness, from an impartial perspective, of outcomes. </w:t>
      </w:r>
      <w:r>
        <w:rPr>
          <w:rStyle w:val="TitleChar"/>
          <w:rFonts w:asciiTheme="minorHAnsi" w:hAnsiTheme="minorHAnsi" w:cstheme="minorHAnsi"/>
        </w:rPr>
        <w:t>Clearly one thing that makes an outcome good is that the people in it are doing well. There is little disagreement here.</w:t>
      </w:r>
      <w:r>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Pr>
          <w:rStyle w:val="TitleChar"/>
          <w:rFonts w:asciiTheme="minorHAnsi" w:hAnsiTheme="minorHAnsi" w:cstheme="minorHAnsi"/>
        </w:rPr>
        <w:t xml:space="preserve"> </w:t>
      </w:r>
      <w:r>
        <w:rPr>
          <w:rStyle w:val="TitleChar"/>
          <w:rFonts w:asciiTheme="minorHAnsi" w:hAnsiTheme="minorHAnsi" w:cstheme="minorHAnsi"/>
          <w:highlight w:val="green"/>
        </w:rPr>
        <w:t xml:space="preserve">reducing existential risk is </w:t>
      </w:r>
      <w:r>
        <w:rPr>
          <w:rStyle w:val="TitleChar"/>
          <w:rFonts w:asciiTheme="minorHAnsi" w:hAnsiTheme="minorHAnsi" w:cstheme="minorHAnsi"/>
        </w:rPr>
        <w:t xml:space="preserve">easily </w:t>
      </w:r>
      <w:r>
        <w:rPr>
          <w:rStyle w:val="TitleChar"/>
          <w:rFonts w:asciiTheme="minorHAnsi" w:hAnsiTheme="minorHAnsi" w:cstheme="minorHAnsi"/>
          <w:highlight w:val="green"/>
        </w:rPr>
        <w:t>the most important thing in the whole world.</w:t>
      </w:r>
      <w:r>
        <w:rPr>
          <w:rStyle w:val="TitleChar"/>
          <w:rFonts w:asciiTheme="minorHAnsi" w:hAnsiTheme="minorHAnsi" w:cstheme="minorHAnsi"/>
        </w:rPr>
        <w:t xml:space="preserve"> This is for the familiar reason that there are </w:t>
      </w:r>
      <w:r>
        <w:rPr>
          <w:rStyle w:val="TitleChar"/>
          <w:rFonts w:asciiTheme="minorHAnsi" w:hAnsiTheme="minorHAnsi" w:cstheme="minorHAnsi"/>
          <w:highlight w:val="green"/>
        </w:rPr>
        <w:t xml:space="preserve">so many people </w:t>
      </w:r>
      <w:r>
        <w:rPr>
          <w:rStyle w:val="TitleChar"/>
          <w:rFonts w:asciiTheme="minorHAnsi" w:hAnsiTheme="minorHAnsi" w:cstheme="minorHAnsi"/>
        </w:rPr>
        <w:t xml:space="preserve">who </w:t>
      </w:r>
      <w:r>
        <w:rPr>
          <w:rStyle w:val="TitleChar"/>
          <w:rFonts w:asciiTheme="minorHAnsi" w:hAnsiTheme="minorHAnsi" w:cstheme="minorHAnsi"/>
          <w:highlight w:val="green"/>
        </w:rPr>
        <w:t>could exist in the future</w:t>
      </w:r>
      <w:r>
        <w:rPr>
          <w:rStyle w:val="TitleChar"/>
          <w:rFonts w:asciiTheme="minorHAnsi" w:hAnsiTheme="minorHAnsi" w:cstheme="minorHAnsi"/>
        </w:rPr>
        <w:t xml:space="preserve"> – there are </w:t>
      </w:r>
      <w:r>
        <w:rPr>
          <w:rStyle w:val="TitleChar"/>
          <w:rFonts w:asciiTheme="minorHAnsi" w:hAnsiTheme="minorHAnsi" w:cstheme="minorHAnsi"/>
          <w:highlight w:val="green"/>
        </w:rPr>
        <w:t>trillions upon trillions</w:t>
      </w:r>
      <w:r>
        <w:rPr>
          <w:rStyle w:val="TitleChar"/>
          <w:rFonts w:asciiTheme="minorHAnsi" w:hAnsiTheme="minorHAnsi" w:cstheme="minorHAnsi"/>
        </w:rPr>
        <w:t xml:space="preserve">… upon trillions. There are so many possible future people that </w:t>
      </w:r>
      <w:r>
        <w:rPr>
          <w:rStyle w:val="TitleChar"/>
          <w:rFonts w:asciiTheme="minorHAnsi" w:hAnsiTheme="minorHAnsi" w:cstheme="minorHAnsi"/>
          <w:highlight w:val="green"/>
        </w:rPr>
        <w:t>reducing existential risk is</w:t>
      </w:r>
      <w:r>
        <w:rPr>
          <w:rStyle w:val="TitleChar"/>
          <w:rFonts w:asciiTheme="minorHAnsi" w:hAnsiTheme="minorHAnsi" w:cstheme="minorHAnsi"/>
        </w:rPr>
        <w:t xml:space="preserve"> arguably </w:t>
      </w:r>
      <w:r>
        <w:rPr>
          <w:rStyle w:val="TitleChar"/>
          <w:rFonts w:asciiTheme="minorHAnsi" w:hAnsiTheme="minorHAnsi" w:cstheme="minorHAnsi"/>
          <w:highlight w:val="green"/>
        </w:rPr>
        <w:t>the most important</w:t>
      </w:r>
      <w:r>
        <w:rPr>
          <w:rStyle w:val="TitleChar"/>
          <w:rFonts w:asciiTheme="minorHAnsi" w:hAnsiTheme="minorHAnsi" w:cstheme="minorHAnsi"/>
        </w:rPr>
        <w:t xml:space="preserve"> thing in the world, </w:t>
      </w:r>
      <w:r>
        <w:rPr>
          <w:rStyle w:val="TitleChar"/>
          <w:rFonts w:asciiTheme="minorHAnsi" w:hAnsiTheme="minorHAnsi" w:cstheme="minorHAnsi"/>
          <w:highlight w:val="green"/>
        </w:rPr>
        <w:t xml:space="preserve">even if the well-being of these possible people were given only 0.001% as much weight </w:t>
      </w:r>
      <w:r>
        <w:rPr>
          <w:rStyle w:val="TitleChar"/>
          <w:rFonts w:asciiTheme="minorHAnsi" w:hAnsiTheme="minorHAnsi" w:cstheme="minorHAnsi"/>
        </w:rPr>
        <w:t>as that of existing people.</w:t>
      </w:r>
      <w:r>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Style w:val="TitleChar"/>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Pr>
          <w:rStyle w:val="TitleChar"/>
          <w:rFonts w:asciiTheme="minorHAnsi" w:hAnsiTheme="minorHAnsi" w:cstheme="minorHAnsi"/>
        </w:rPr>
        <w:t>high quality</w:t>
      </w:r>
      <w:proofErr w:type="gramEnd"/>
      <w:r>
        <w:rPr>
          <w:rStyle w:val="TitleChar"/>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Style w:val="Emphasis"/>
          <w:rFonts w:asciiTheme="minorHAnsi" w:hAnsiTheme="minorHAnsi" w:cstheme="minorHAnsi"/>
        </w:rPr>
        <w:t>that is a huge mistake.</w:t>
      </w:r>
      <w:r>
        <w:rPr>
          <w:rFonts w:asciiTheme="minorHAnsi" w:hAnsiTheme="minorHAnsi" w:cstheme="minorHAnsi"/>
        </w:rPr>
        <w:t xml:space="preserve"> </w:t>
      </w:r>
      <w:r>
        <w:rPr>
          <w:rStyle w:val="TitleChar"/>
          <w:rFonts w:asciiTheme="minorHAnsi" w:hAnsiTheme="minorHAnsi" w:cstheme="minorHAnsi"/>
        </w:rPr>
        <w:t xml:space="preserve">Non-consequentialism is the view that there’s more that determines rightness than the goodness of consequences or outcomes; </w:t>
      </w:r>
      <w:r>
        <w:rPr>
          <w:rStyle w:val="Emphasis"/>
          <w:rFonts w:asciiTheme="minorHAnsi" w:hAnsiTheme="minorHAnsi" w:cstheme="minorHAnsi"/>
        </w:rPr>
        <w:t>it is not the view that the latter don’t matter</w:t>
      </w:r>
      <w:r>
        <w:rPr>
          <w:rStyle w:val="TitleChar"/>
          <w:rFonts w:asciiTheme="minorHAnsi" w:hAnsiTheme="minorHAnsi" w:cstheme="minorHAnsi"/>
        </w:rPr>
        <w:t>.</w:t>
      </w:r>
      <w:r>
        <w:rPr>
          <w:rFonts w:asciiTheme="minorHAnsi" w:hAnsiTheme="minorHAnsi" w:cstheme="minorHAnsi"/>
        </w:rPr>
        <w:t xml:space="preserve"> Even John Rawls wrote, “</w:t>
      </w:r>
      <w:r>
        <w:rPr>
          <w:rStyle w:val="TitleChar"/>
          <w:rFonts w:asciiTheme="minorHAnsi" w:hAnsiTheme="minorHAnsi" w:cstheme="minorHAnsi"/>
        </w:rPr>
        <w:t>All ethical doctrines worth our attention take consequences into account in judging rightness. One which did not would simply be irrational, crazy.</w:t>
      </w:r>
      <w:r>
        <w:rPr>
          <w:rFonts w:asciiTheme="minorHAnsi" w:hAnsiTheme="minorHAnsi" w:cstheme="minorHAnsi"/>
        </w:rPr>
        <w:t xml:space="preserve">” </w:t>
      </w:r>
      <w:r>
        <w:rPr>
          <w:rStyle w:val="Emphasis"/>
          <w:rFonts w:asciiTheme="minorHAnsi" w:hAnsiTheme="minorHAnsi" w:cstheme="minorHAnsi"/>
        </w:rPr>
        <w:t>Minimally plausible versions of deontology and virtue ethics must be concerned in part with promoting the good</w:t>
      </w:r>
      <w:r>
        <w:rPr>
          <w:rStyle w:val="TitleChar"/>
          <w:rFonts w:asciiTheme="minorHAnsi" w:hAnsiTheme="minorHAnsi" w:cstheme="minorHAnsi"/>
        </w:rPr>
        <w:t>, from an impartial point of view.</w:t>
      </w:r>
      <w:r>
        <w:rPr>
          <w:rFonts w:asciiTheme="minorHAnsi" w:hAnsiTheme="minorHAnsi" w:cstheme="minorHAnsi"/>
        </w:rPr>
        <w:t xml:space="preserve"> </w:t>
      </w:r>
      <w:r>
        <w:rPr>
          <w:rStyle w:val="TitleChar"/>
          <w:rFonts w:asciiTheme="minorHAnsi" w:hAnsiTheme="minorHAnsi" w:cstheme="minorHAnsi"/>
        </w:rPr>
        <w:t>They’d thus imply very strong reasons to reduce existential risk</w:t>
      </w:r>
      <w:r>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TitleChar"/>
          <w:rFonts w:asciiTheme="minorHAnsi" w:hAnsiTheme="minorHAnsi" w:cstheme="minorHAnsi"/>
        </w:rPr>
        <w:t>Even egoism, the view that each agent should maximize her own good, might imply strong reasons to reduce existential risk.</w:t>
      </w:r>
      <w:r>
        <w:rPr>
          <w:rFonts w:asciiTheme="minorHAnsi" w:hAnsiTheme="minorHAnsi" w:cstheme="minorHAnsi"/>
        </w:rPr>
        <w:t xml:space="preserve"> It will depend, among other things, on what one’s own good </w:t>
      </w:r>
      <w:proofErr w:type="gramStart"/>
      <w:r>
        <w:rPr>
          <w:rFonts w:asciiTheme="minorHAnsi" w:hAnsiTheme="minorHAnsi" w:cstheme="minorHAnsi"/>
        </w:rPr>
        <w:t>consists</w:t>
      </w:r>
      <w:proofErr w:type="gramEnd"/>
      <w:r>
        <w:rPr>
          <w:rFonts w:asciiTheme="minorHAnsi" w:hAnsiTheme="minorHAnsi" w:cstheme="min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Theme="minorHAnsi" w:hAnsiTheme="minorHAnsi" w:cstheme="minorHAnsi"/>
        </w:rPr>
        <w:t>actually desires</w:t>
      </w:r>
      <w:proofErr w:type="gramEnd"/>
      <w:r>
        <w:rPr>
          <w:rFonts w:asciiTheme="minorHAnsi" w:hAnsiTheme="minorHAnsi" w:cstheme="minorHAnsi"/>
        </w:rPr>
        <w:t xml:space="preserve"> to do that act). </w:t>
      </w:r>
      <w:r>
        <w:rPr>
          <w:rStyle w:val="TitleChar"/>
          <w:rFonts w:asciiTheme="minorHAnsi" w:hAnsiTheme="minorHAnsi" w:cstheme="minorHAnsi"/>
        </w:rPr>
        <w:t>To be minimally plausible, egoism will need to be paired with a more sophisticated account of well-being.</w:t>
      </w:r>
      <w:r>
        <w:rPr>
          <w:rFonts w:asciiTheme="minorHAnsi" w:hAnsiTheme="minorHAnsi" w:cstheme="minorHAnsi"/>
        </w:rPr>
        <w:t xml:space="preserve"> To see this, it is enough to consider, as Plato did, the possibility of a ring of invisibility – </w:t>
      </w:r>
      <w:r>
        <w:rPr>
          <w:rStyle w:val="TitleChar"/>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Theme="minorHAnsi" w:hAnsiTheme="minorHAnsi" w:cstheme="minorHAnsi"/>
        </w:rPr>
        <w:t xml:space="preserve">, in some robust way, where this would to a significant extent be a function of other-regarding concerns (see chapter 12 of this classic intro to ethics). But </w:t>
      </w:r>
      <w:r>
        <w:rPr>
          <w:rStyle w:val="TitleChar"/>
          <w:rFonts w:asciiTheme="minorHAnsi" w:hAnsiTheme="minorHAnsi" w:cstheme="minorHAnsi"/>
        </w:rPr>
        <w:t>once these elements are included, we can (roughly, as above) argue that this sort of egoism will imply strong reasons to reduce existential risk.</w:t>
      </w:r>
      <w:r>
        <w:rPr>
          <w:rFonts w:asciiTheme="minorHAnsi" w:hAnsiTheme="minorHAnsi" w:cstheme="minorHAnsi"/>
        </w:rPr>
        <w:t xml:space="preserve"> Add to </w:t>
      </w:r>
      <w:proofErr w:type="gramStart"/>
      <w:r>
        <w:rPr>
          <w:rFonts w:asciiTheme="minorHAnsi" w:hAnsiTheme="minorHAnsi" w:cstheme="minorHAnsi"/>
        </w:rPr>
        <w:t>all of</w:t>
      </w:r>
      <w:proofErr w:type="gramEnd"/>
      <w:r>
        <w:rPr>
          <w:rFonts w:asciiTheme="minorHAnsi" w:hAnsiTheme="minorHAnsi" w:cstheme="min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Style w:val="Emphasis"/>
          <w:rFonts w:asciiTheme="minorHAnsi" w:hAnsiTheme="minorHAnsi" w:cstheme="minorHAnsi"/>
          <w:highlight w:val="green"/>
        </w:rPr>
        <w:t xml:space="preserve">We should also </w:t>
      </w:r>
      <w:proofErr w:type="gramStart"/>
      <w:r>
        <w:rPr>
          <w:rStyle w:val="Emphasis"/>
          <w:rFonts w:asciiTheme="minorHAnsi" w:hAnsiTheme="minorHAnsi" w:cstheme="minorHAnsi"/>
          <w:highlight w:val="green"/>
        </w:rPr>
        <w:t>take into account</w:t>
      </w:r>
      <w:proofErr w:type="gramEnd"/>
      <w:r>
        <w:rPr>
          <w:rStyle w:val="Emphasis"/>
          <w:rFonts w:asciiTheme="minorHAnsi" w:hAnsiTheme="minorHAnsi" w:cstheme="minorHAnsi"/>
          <w:highlight w:val="green"/>
        </w:rPr>
        <w:t xml:space="preserve"> moral uncertainty.</w:t>
      </w:r>
      <w:r>
        <w:rPr>
          <w:rFonts w:asciiTheme="minorHAnsi" w:hAnsiTheme="minorHAnsi" w:cstheme="minorHAnsi"/>
        </w:rPr>
        <w:t xml:space="preserve"> </w:t>
      </w:r>
      <w:r>
        <w:rPr>
          <w:rStyle w:val="TitleChar"/>
          <w:rFonts w:asciiTheme="minorHAnsi" w:hAnsiTheme="minorHAnsi" w:cstheme="minorHAnsi"/>
        </w:rPr>
        <w:t>What is it reasonable for one to do, when one is uncertain not (only) about the empirical facts, but also about the moral facts?</w:t>
      </w:r>
      <w:r>
        <w:rPr>
          <w:rFonts w:asciiTheme="minorHAnsi" w:hAnsiTheme="minorHAnsi" w:cstheme="minorHAnsi"/>
        </w:rPr>
        <w:t xml:space="preserve"> I’ve just argued that </w:t>
      </w:r>
      <w:r>
        <w:rPr>
          <w:rStyle w:val="TitleChar"/>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Pr>
          <w:rFonts w:asciiTheme="minorHAnsi" w:hAnsiTheme="minorHAnsi" w:cstheme="minorHAnsi"/>
        </w:rPr>
        <w:t xml:space="preserve"> But </w:t>
      </w:r>
      <w:r>
        <w:rPr>
          <w:rStyle w:val="TitleChar"/>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Pr>
          <w:rFonts w:asciiTheme="minorHAnsi" w:hAnsiTheme="minorHAnsi" w:cstheme="minorHAnsi"/>
        </w:rPr>
        <w:t xml:space="preserve">(and 10% sure that one of these other ones is correct), </w:t>
      </w:r>
      <w:r>
        <w:rPr>
          <w:rStyle w:val="TitleChar"/>
          <w:rFonts w:asciiTheme="minorHAnsi" w:hAnsiTheme="minorHAnsi" w:cstheme="minorHAnsi"/>
        </w:rPr>
        <w:t xml:space="preserve">they would have </w:t>
      </w:r>
      <w:proofErr w:type="gramStart"/>
      <w:r>
        <w:rPr>
          <w:rStyle w:val="TitleChar"/>
          <w:rFonts w:asciiTheme="minorHAnsi" w:hAnsiTheme="minorHAnsi" w:cstheme="minorHAnsi"/>
        </w:rPr>
        <w:t>pretty strong</w:t>
      </w:r>
      <w:proofErr w:type="gramEnd"/>
      <w:r>
        <w:rPr>
          <w:rStyle w:val="TitleChar"/>
          <w:rFonts w:asciiTheme="minorHAnsi" w:hAnsiTheme="minorHAnsi" w:cstheme="minorHAnsi"/>
        </w:rPr>
        <w:t xml:space="preserve"> reason, from the standpoint of moral uncertainty, to reduce existential risk.</w:t>
      </w:r>
      <w:r>
        <w:rPr>
          <w:rFonts w:asciiTheme="minorHAnsi" w:hAnsiTheme="minorHAnsi" w:cstheme="minorHAnsi"/>
        </w:rPr>
        <w:t xml:space="preserve"> Perhaps most disturbingly still, </w:t>
      </w:r>
      <w:r>
        <w:rPr>
          <w:rStyle w:val="TitleChar"/>
          <w:rFonts w:asciiTheme="minorHAnsi" w:hAnsiTheme="minorHAnsi" w:cstheme="minorHAnsi"/>
          <w:highlight w:val="green"/>
        </w:rPr>
        <w:t xml:space="preserve">even if we are only 1% sure that </w:t>
      </w:r>
      <w:r>
        <w:rPr>
          <w:rStyle w:val="TitleChar"/>
          <w:rFonts w:asciiTheme="minorHAnsi" w:hAnsiTheme="minorHAnsi" w:cstheme="minorHAnsi"/>
        </w:rPr>
        <w:t xml:space="preserve">the </w:t>
      </w:r>
      <w:r>
        <w:rPr>
          <w:rStyle w:val="TitleChar"/>
          <w:rFonts w:asciiTheme="minorHAnsi" w:hAnsiTheme="minorHAnsi" w:cstheme="minorHAnsi"/>
          <w:highlight w:val="green"/>
        </w:rPr>
        <w:t xml:space="preserve">well-being </w:t>
      </w:r>
      <w:r>
        <w:rPr>
          <w:rStyle w:val="TitleChar"/>
          <w:rFonts w:asciiTheme="minorHAnsi" w:hAnsiTheme="minorHAnsi" w:cstheme="minorHAnsi"/>
        </w:rPr>
        <w:t xml:space="preserve">of possible future people </w:t>
      </w:r>
      <w:r>
        <w:rPr>
          <w:rStyle w:val="TitleChar"/>
          <w:rFonts w:asciiTheme="minorHAnsi" w:hAnsiTheme="minorHAnsi" w:cstheme="minorHAnsi"/>
          <w:highlight w:val="green"/>
        </w:rPr>
        <w:t xml:space="preserve">matters, </w:t>
      </w:r>
      <w:r>
        <w:rPr>
          <w:rStyle w:val="TitleChar"/>
          <w:rFonts w:asciiTheme="minorHAnsi" w:hAnsiTheme="minorHAnsi" w:cstheme="minorHAnsi"/>
        </w:rPr>
        <w:t xml:space="preserve">it is at least arguable that, </w:t>
      </w:r>
      <w:r>
        <w:rPr>
          <w:rStyle w:val="TitleChar"/>
          <w:rFonts w:asciiTheme="minorHAnsi" w:hAnsiTheme="minorHAnsi" w:cstheme="minorHAnsi"/>
          <w:highlight w:val="green"/>
        </w:rPr>
        <w:t xml:space="preserve">from </w:t>
      </w:r>
      <w:r>
        <w:rPr>
          <w:rStyle w:val="TitleChar"/>
          <w:rFonts w:asciiTheme="minorHAnsi" w:hAnsiTheme="minorHAnsi" w:cstheme="minorHAnsi"/>
        </w:rPr>
        <w:t xml:space="preserve">the standpoint of </w:t>
      </w:r>
      <w:r>
        <w:rPr>
          <w:rStyle w:val="TitleChar"/>
          <w:rFonts w:asciiTheme="minorHAnsi" w:hAnsiTheme="minorHAnsi" w:cstheme="minorHAnsi"/>
          <w:highlight w:val="green"/>
        </w:rPr>
        <w:t>moral uncertainty, reducing existential risk is the most important thing in the world.</w:t>
      </w:r>
      <w:r>
        <w:rPr>
          <w:rFonts w:asciiTheme="minorHAnsi" w:hAnsiTheme="minorHAnsi" w:cstheme="minorHAnsi"/>
        </w:rPr>
        <w:t xml:space="preserve"> Again, this is largely </w:t>
      </w:r>
      <w:proofErr w:type="gramStart"/>
      <w:r>
        <w:rPr>
          <w:rFonts w:asciiTheme="minorHAnsi" w:hAnsiTheme="minorHAnsi" w:cstheme="minorHAnsi"/>
        </w:rPr>
        <w:t>for the reason that</w:t>
      </w:r>
      <w:proofErr w:type="gramEnd"/>
      <w:r>
        <w:rPr>
          <w:rFonts w:asciiTheme="minorHAnsi" w:hAnsiTheme="minorHAnsi" w:cstheme="min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Style w:val="TitleChar"/>
          <w:rFonts w:asciiTheme="minorHAnsi" w:hAnsiTheme="minorHAnsi" w:cstheme="minorHAnsi"/>
        </w:rPr>
        <w:t>It is enough for my claim that there is moral agreement in the relevant sense if</w:t>
      </w:r>
      <w:r>
        <w:rPr>
          <w:rFonts w:asciiTheme="minorHAnsi" w:hAnsiTheme="minorHAnsi" w:cstheme="minorHAnsi"/>
        </w:rPr>
        <w:t xml:space="preserve">, at least given certain empirical claims about what future lives would most likely be like, </w:t>
      </w:r>
      <w:r>
        <w:rPr>
          <w:rStyle w:val="Emphasis"/>
          <w:rFonts w:asciiTheme="minorHAnsi" w:hAnsiTheme="minorHAnsi" w:cstheme="minorHAnsi"/>
          <w:highlight w:val="green"/>
        </w:rPr>
        <w:t xml:space="preserve">all minimally plausible moral views would converge </w:t>
      </w:r>
      <w:r>
        <w:rPr>
          <w:rStyle w:val="Emphasis"/>
          <w:rFonts w:asciiTheme="minorHAnsi" w:hAnsiTheme="minorHAnsi" w:cstheme="minorHAnsi"/>
        </w:rPr>
        <w:t xml:space="preserve">on the conclusion </w:t>
      </w:r>
      <w:r>
        <w:rPr>
          <w:rStyle w:val="Emphasis"/>
          <w:rFonts w:asciiTheme="minorHAnsi" w:hAnsiTheme="minorHAnsi" w:cstheme="minorHAnsi"/>
          <w:highlight w:val="green"/>
        </w:rPr>
        <w:t>that we should try to save the world</w:t>
      </w:r>
      <w:r>
        <w:rPr>
          <w:rStyle w:val="TitleChar"/>
          <w:rFonts w:asciiTheme="minorHAnsi" w:hAnsiTheme="minorHAnsi" w:cstheme="minorHAnsi"/>
          <w:highlight w:val="green"/>
        </w:rPr>
        <w:t>.</w:t>
      </w:r>
      <w:r>
        <w:rPr>
          <w:rFonts w:asciiTheme="minorHAnsi" w:hAnsiTheme="minorHAnsi" w:cstheme="minorHAnsi"/>
        </w:rPr>
        <w:t xml:space="preserve"> While there are some non-crazy </w:t>
      </w:r>
      <w:r>
        <w:rPr>
          <w:rStyle w:val="TitleChar"/>
          <w:rFonts w:asciiTheme="minorHAnsi" w:hAnsiTheme="minorHAnsi" w:cstheme="minorHAnsi"/>
        </w:rPr>
        <w:t>views that place significantly greater moral weight on avoiding suffering than on promoting happiness</w:t>
      </w:r>
      <w:r>
        <w:rPr>
          <w:rFonts w:asciiTheme="minorHAnsi" w:hAnsiTheme="minorHAnsi" w:cstheme="minorHAnsi"/>
        </w:rPr>
        <w:t xml:space="preserve">, for reasons others have offered (and for independent reasons I won’t get into here unless requested to), they nonetheless </w:t>
      </w:r>
      <w:r>
        <w:rPr>
          <w:rStyle w:val="TitleChar"/>
          <w:rFonts w:asciiTheme="minorHAnsi" w:hAnsiTheme="minorHAnsi" w:cstheme="minorHAnsi"/>
        </w:rPr>
        <w:t xml:space="preserve">seem to be </w:t>
      </w:r>
      <w:proofErr w:type="gramStart"/>
      <w:r>
        <w:rPr>
          <w:rStyle w:val="TitleChar"/>
          <w:rFonts w:asciiTheme="minorHAnsi" w:hAnsiTheme="minorHAnsi" w:cstheme="minorHAnsi"/>
        </w:rPr>
        <w:t>fairly implausible</w:t>
      </w:r>
      <w:proofErr w:type="gramEnd"/>
      <w:r>
        <w:rPr>
          <w:rStyle w:val="TitleChar"/>
          <w:rFonts w:asciiTheme="minorHAnsi" w:hAnsiTheme="minorHAnsi" w:cstheme="minorHAnsi"/>
        </w:rPr>
        <w:t xml:space="preserve"> views.</w:t>
      </w:r>
      <w:r>
        <w:rPr>
          <w:rFonts w:asciiTheme="minorHAnsi" w:hAnsiTheme="minorHAnsi" w:cstheme="minorHAnsi"/>
        </w:rPr>
        <w:t xml:space="preserve"> And </w:t>
      </w:r>
      <w:r>
        <w:rPr>
          <w:rStyle w:val="TitleChar"/>
          <w:rFonts w:asciiTheme="minorHAnsi" w:hAnsiTheme="minorHAnsi" w:cstheme="minorHAnsi"/>
        </w:rPr>
        <w:t xml:space="preserve">even if things did not go well for our ancestors, I am optimistic that they will overall go fantastically well for our </w:t>
      </w:r>
      <w:proofErr w:type="gramStart"/>
      <w:r>
        <w:rPr>
          <w:rStyle w:val="TitleChar"/>
          <w:rFonts w:asciiTheme="minorHAnsi" w:hAnsiTheme="minorHAnsi" w:cstheme="minorHAnsi"/>
        </w:rPr>
        <w:t>descendants, if</w:t>
      </w:r>
      <w:proofErr w:type="gramEnd"/>
      <w:r>
        <w:rPr>
          <w:rStyle w:val="TitleChar"/>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Pr>
          <w:rStyle w:val="TitleChar"/>
          <w:rFonts w:asciiTheme="minorHAnsi" w:hAnsiTheme="minorHAnsi" w:cstheme="minorHAnsi"/>
        </w:rPr>
        <w:t xml:space="preserve">Given the scientific and technological discoveries of the last two centuries, the world has never changed as fast. </w:t>
      </w:r>
      <w:r>
        <w:rPr>
          <w:rFonts w:asciiTheme="minorHAnsi" w:hAnsiTheme="minorHAnsi" w:cstheme="minorHAnsi"/>
        </w:rPr>
        <w:t xml:space="preserve">We shall soon have even greater powers to transform, not only our surroundings, but ourselves and our successors. </w:t>
      </w:r>
      <w:r>
        <w:rPr>
          <w:rStyle w:val="TitleChar"/>
          <w:rFonts w:asciiTheme="minorHAnsi" w:hAnsiTheme="minorHAnsi" w:cstheme="minorHAnsi"/>
        </w:rPr>
        <w:t xml:space="preserve">If we act wisely in the next few centuries, humanity will survive its most dangerous and decisive period. </w:t>
      </w:r>
      <w:r>
        <w:rPr>
          <w:rFonts w:asciiTheme="minorHAnsi" w:hAnsiTheme="minorHAnsi" w:cstheme="minorHAnsi"/>
        </w:rPr>
        <w:t xml:space="preserve">Our descendants could, if necessary, go elsewhere, spreading through this galaxy…. </w:t>
      </w:r>
      <w:r>
        <w:rPr>
          <w:rStyle w:val="TitleChar"/>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Pr>
          <w:rFonts w:asciiTheme="minorHAnsi" w:hAnsiTheme="minorHAnsi" w:cstheme="minorHAnsi"/>
        </w:rPr>
        <w:t>” (From chapter 36 of On What Matters</w:t>
      </w:r>
    </w:p>
    <w:p w14:paraId="529DBD2D" w14:textId="66CB0EED" w:rsidR="00020CB7" w:rsidRDefault="00020CB7" w:rsidP="005E17D7">
      <w:pPr>
        <w:pStyle w:val="Heading2"/>
      </w:pPr>
      <w:r>
        <w:t xml:space="preserve">DA </w:t>
      </w:r>
      <w:r w:rsidR="00402AEE">
        <w:t>–</w:t>
      </w:r>
      <w:r>
        <w:t xml:space="preserve"> </w:t>
      </w:r>
      <w:r w:rsidR="00CC05C6">
        <w:t xml:space="preserve">Innovation </w:t>
      </w:r>
    </w:p>
    <w:p w14:paraId="78654F3C" w14:textId="77777777" w:rsidR="00CC05C6" w:rsidRDefault="00CC05C6" w:rsidP="00CC05C6">
      <w:pPr>
        <w:pStyle w:val="Heading4"/>
      </w:pPr>
      <w:r>
        <w:rPr>
          <w:b w:val="0"/>
        </w:rPr>
        <w:t>Biotech industry strong now.</w:t>
      </w:r>
    </w:p>
    <w:p w14:paraId="619DB8DD" w14:textId="77777777" w:rsidR="00CC05C6" w:rsidRDefault="00CC05C6" w:rsidP="00CC05C6">
      <w:pPr>
        <w:rPr>
          <w:rStyle w:val="Style13ptBold"/>
        </w:rPr>
      </w:pPr>
      <w:proofErr w:type="spellStart"/>
      <w:r>
        <w:rPr>
          <w:rStyle w:val="Style13ptBold"/>
        </w:rPr>
        <w:t>Cancherini</w:t>
      </w:r>
      <w:proofErr w:type="spellEnd"/>
      <w:r>
        <w:rPr>
          <w:rStyle w:val="Style13ptBold"/>
        </w:rPr>
        <w:t xml:space="preserve"> et al. 4/30 [(Laura, Engagement Manager @ McKinsey &amp; Company, Joseph Lydon, Associate Partner @ McKinsey &amp; Company, Jorge Santos Da Silva, Senior Partner at McKinsey &amp; Company, and Alexandra </w:t>
      </w:r>
      <w:proofErr w:type="spellStart"/>
      <w:r>
        <w:rPr>
          <w:rStyle w:val="Style13ptBold"/>
        </w:rPr>
        <w:t>Zemp</w:t>
      </w:r>
      <w:proofErr w:type="spellEnd"/>
      <w:r>
        <w:rPr>
          <w:rStyle w:val="Style13ptBold"/>
        </w:rPr>
        <w:t xml:space="preserve">, Partner at McKinsey &amp; Company), “What’s ahead for biotech: Another wave or low </w:t>
      </w:r>
      <w:proofErr w:type="gramStart"/>
      <w:r>
        <w:rPr>
          <w:rStyle w:val="Style13ptBold"/>
        </w:rPr>
        <w:t>tide?“</w:t>
      </w:r>
      <w:proofErr w:type="gramEnd"/>
      <w:r>
        <w:rPr>
          <w:rStyle w:val="Style13ptBold"/>
        </w:rPr>
        <w:t>, McKinsey &amp; Company, 4-30-2021, https://www.mckinsey.com/industries/pharmaceuticals-and-medical-products/our- insights/</w:t>
      </w:r>
      <w:proofErr w:type="spellStart"/>
      <w:r>
        <w:rPr>
          <w:rStyle w:val="Style13ptBold"/>
        </w:rPr>
        <w:t>whats</w:t>
      </w:r>
      <w:proofErr w:type="spellEnd"/>
      <w:r>
        <w:rPr>
          <w:rStyle w:val="Style13ptBold"/>
        </w:rPr>
        <w:t xml:space="preserve">-ahead-for-biotech-another-wave-or-low-tide] TDI </w:t>
      </w:r>
    </w:p>
    <w:p w14:paraId="7AC9F117" w14:textId="77777777" w:rsidR="00CC05C6" w:rsidRDefault="00CC05C6" w:rsidP="00CC05C6">
      <w:r>
        <w:t xml:space="preserve">As the pandemic spread across the globe in early 2020, biotech leaders were initially pessimistic, reassessing their cash position and financing constraints. When McKinsey and </w:t>
      </w:r>
      <w:proofErr w:type="spellStart"/>
      <w:r>
        <w:t>BioCentury</w:t>
      </w:r>
      <w:proofErr w:type="spellEnd"/>
      <w: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 Belying this downbeat mood, biotech has in fact had one of its best years so far. </w:t>
      </w:r>
      <w:r>
        <w:rPr>
          <w:highlight w:val="green"/>
        </w:rPr>
        <w:t>By January 2021, venture capitalists had invested some 60 percent more than they had in January 2020,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w:t>
      </w:r>
      <w:r>
        <w:t xml:space="preserve"> (Exhibit 3).6 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t>biotechs</w:t>
      </w:r>
      <w:proofErr w:type="spellEnd"/>
      <w:r>
        <w:t xml:space="preserve"> may be part of their story. Fundamentals continue strong When we asked executives and investors why the biotech sector had stayed so resilient during the worst economic crisis in decades, they cited innovation as the main reason. The number of assets transitioning to clinical phases is still rising, and further waves of innovation are on the horizon, driven by the convergence of biological and technological advances. In the present day, many </w:t>
      </w:r>
      <w:proofErr w:type="spellStart"/>
      <w:r>
        <w:t>biotechs</w:t>
      </w:r>
      <w:proofErr w:type="spellEnd"/>
      <w:r>
        <w:t xml:space="preserve">, along with the wider pharmaceutical industry, are taking steps to address the COVID-19 pandemic. Together, </w:t>
      </w:r>
      <w:proofErr w:type="spellStart"/>
      <w:r>
        <w:t>biotechs</w:t>
      </w:r>
      <w:proofErr w:type="spellEnd"/>
      <w: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the world has been living through a time of mass education in science research and development. Biotech has also benefited from its innate financial resilience. Healthcare </w:t>
      </w:r>
      <w:proofErr w:type="gramStart"/>
      <w:r>
        <w:t>as a whole is</w:t>
      </w:r>
      <w:proofErr w:type="gramEnd"/>
      <w:r>
        <w:t xml:space="preserve"> less dependent on economic cycles than most other industries. Biotech is an innovator, actively identifying and addressing patients’ unmet needs. In addition, </w:t>
      </w:r>
      <w:proofErr w:type="spellStart"/>
      <w:r>
        <w:t>biotechs</w:t>
      </w:r>
      <w:proofErr w:type="spellEnd"/>
      <w:r>
        <w:t xml:space="preserve">’ top-line revenues have been less affected by lockdowns than is the case in most other industries. Another factor acting in the sector’s favor is that larger pharmaceutical companies still rely on </w:t>
      </w:r>
      <w:proofErr w:type="spellStart"/>
      <w:r>
        <w:t>biotechs</w:t>
      </w:r>
      <w:proofErr w:type="spellEnd"/>
      <w:r>
        <w:t xml:space="preserve"> as a source of innovation. With the top dozen pharma companies having more than $170 billion in excess reserves that could be available for spending on M&amp;A, the prospects for further financing and deal making look promising. For these and other reasons, many investors regard biotech as </w:t>
      </w:r>
      <w:proofErr w:type="gramStart"/>
      <w:r>
        <w:t>a safe haven</w:t>
      </w:r>
      <w:proofErr w:type="gramEnd"/>
      <w:r>
        <w:t xml:space="preserve">. One interviewee felt it had benefited from a halo effect during the pandemic. More innovation on the horizon </w:t>
      </w:r>
      <w:proofErr w:type="gramStart"/>
      <w:r>
        <w:t>The</w:t>
      </w:r>
      <w:proofErr w:type="gramEnd"/>
      <w:r>
        <w:t xml:space="preserve"> investors and executives we interviewed agreed that biotech innovation continues to increase in quality and quantity despite the macroeconomic environment. Evidence can be seen in the accelerating pace of assets transitioning across the development lifecycle. When we tracked the number of assets transitioning to Phase I, Phase II, and Phase III clinical trials, we found that Phase I and Phase II assets have transitioned 50 percent faster since 2018 than between 2013 and 2018, whereas Phase III assets have maintained much the same pace. There could be many reasons for this, but it is worth noting that </w:t>
      </w:r>
      <w:proofErr w:type="spellStart"/>
      <w:r>
        <w:t>biotechs</w:t>
      </w:r>
      <w:proofErr w:type="spellEnd"/>
      <w:r>
        <w:t xml:space="preserve"> with Phase I and Phase II assets as their lead assets have accounted for more than half of biotech IPOs. Having an early IPO gives a biotech earlier access to capital and leaves it with more scope to concentrate on science. Looking forward, the combination of advances in biological science and accelerating developments in technology and artificial intelligence has the potential to take innovation to a new level. A recent report from the McKinsey Global Institute analyzed the profound economic and social impact of biological innovation and found that biomolecules, biosystems, </w:t>
      </w:r>
      <w:proofErr w:type="spellStart"/>
      <w:r>
        <w:t>biomachines</w:t>
      </w:r>
      <w:proofErr w:type="spellEnd"/>
      <w: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032F465" w14:textId="77777777" w:rsidR="00CC05C6" w:rsidRDefault="00CC05C6" w:rsidP="00CC05C6">
      <w:pPr>
        <w:pStyle w:val="Heading4"/>
      </w:pPr>
      <w:r>
        <w:rPr>
          <w:b w:val="0"/>
        </w:rPr>
        <w:t>IPR key to innovation.</w:t>
      </w:r>
    </w:p>
    <w:p w14:paraId="2DD6960B" w14:textId="77777777" w:rsidR="00CC05C6" w:rsidRDefault="00CC05C6" w:rsidP="00CC05C6">
      <w:pPr>
        <w:rPr>
          <w:rStyle w:val="Style13ptBold"/>
        </w:rPr>
      </w:pPr>
      <w:r>
        <w:rPr>
          <w:rStyle w:val="Style13ptBold"/>
        </w:rPr>
        <w:t xml:space="preserve">Bacchus 20 [(James, member of the Herbert A. </w:t>
      </w:r>
      <w:proofErr w:type="spellStart"/>
      <w:r>
        <w:rPr>
          <w:rStyle w:val="Style13ptBold"/>
        </w:rPr>
        <w:t>Stiefel</w:t>
      </w:r>
      <w:proofErr w:type="spellEnd"/>
      <w:r>
        <w:rPr>
          <w:rStyle w:val="Style13ptBold"/>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 wto-waiver-intellectual-property-rights-covid-19-vaccines] TDI</w:t>
      </w:r>
    </w:p>
    <w:p w14:paraId="1C46E530" w14:textId="77777777" w:rsidR="00CC05C6" w:rsidRDefault="00CC05C6" w:rsidP="00CC05C6"/>
    <w:p w14:paraId="66D316F6" w14:textId="77777777" w:rsidR="00CC05C6" w:rsidRDefault="00CC05C6" w:rsidP="00CC05C6">
      <w:r>
        <w:t>At the heart of this emerging trade debate is a belief by many people worldwide that all medicines should be “global public goods.” There is little room in such a belief for consideration of any rights to IP.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all.”16 This view is myopic. Subordinating IP rights temporarily to pressing public needs during a pandemic or other global health emergency is one thing</w:t>
      </w:r>
      <w:r>
        <w:rPr>
          <w:highlight w:val="green"/>
        </w:rPr>
        <w:t xml:space="preserve">. Eliminating any consideration of “profitability” in all policymaking relating to “access to vaccines, essential tests and treatments, and all other medical goods, services and supplies” is quite another.17 To be sure, there is a superficial moral appeal in such a view. But does this moral appeal hold up if such a “human rights” approach does not result in meeting those urgent public needs? With the belief that medicines should be “public goods,” there </w:t>
      </w:r>
      <w:proofErr w:type="spellStart"/>
      <w:r>
        <w:rPr>
          <w:highlight w:val="green"/>
        </w:rPr>
        <w:t>isliterally</w:t>
      </w:r>
      <w:proofErr w:type="spellEnd"/>
      <w:r>
        <w:rPr>
          <w:highlight w:val="green"/>
        </w:rPr>
        <w:t xml:space="preserve"> no support in some quarters for the application of the WTO TRIPS Agreement to IP rights in medicines. Any protection of the IP </w:t>
      </w:r>
      <w:proofErr w:type="spellStart"/>
      <w:r>
        <w:rPr>
          <w:highlight w:val="green"/>
        </w:rPr>
        <w:t>rightsin</w:t>
      </w:r>
      <w:proofErr w:type="spellEnd"/>
      <w:r>
        <w:rPr>
          <w:highlight w:val="green"/>
        </w:rPr>
        <w:t xml:space="preserve"> such goods </w:t>
      </w:r>
      <w:proofErr w:type="gramStart"/>
      <w:r>
        <w:rPr>
          <w:highlight w:val="green"/>
        </w:rPr>
        <w:t>is</w:t>
      </w:r>
      <w:proofErr w:type="gramEnd"/>
      <w:r>
        <w:rPr>
          <w:highlight w:val="green"/>
        </w:rPr>
        <w:t xml:space="preserve"> viewed as a violation of human rights and of the overall public interest. This view, though, does not reflect the practical reality of a world in which many medicines would simply not exist if it were not for the existence of IP rights and the protections they are afforded. T</w:t>
      </w:r>
      <w:r>
        <w:t xml:space="preserve">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w:t>
      </w:r>
      <w:proofErr w:type="spellStart"/>
      <w:r>
        <w:t>rightsis</w:t>
      </w:r>
      <w:proofErr w:type="spellEnd"/>
      <w:r>
        <w:t xml:space="preserve"> that they are incentives for innovation, which is the main source for long‐term economic growth and enhancements in the quality of human life. IP rights spark innovation by “enabling innovators to capture enough of the benefits of their own innovative activity to justify taking considerable risks.”18 The knowledge from innovations inspired by IP rights spills over to inspire other innovations. The protection of IP rights promotes the diffusion, domestically and internationally, of innovative technologies and new know‐how.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Pr>
          <w:highlight w:val="green"/>
        </w:rPr>
        <w:t>Without IP rights as incentives, there would be less new knowledge and thus less innovation. In the short term, undermining private IP rights may accelerate distribution of goods and services—where the novel knowledge that went into making them already exists. But in the long term, undermining private IP rights would eliminate the incentives that inspire innovation, thus preventing the discovery and development of knowledge for new goods and services tha</w:t>
      </w:r>
      <w:r>
        <w:t>t the world needs. This widespread dismissal of the link between private IP rights and innovation is perhaps best reflected in the fact that although the United Nations Sustainable Development Goals for 2030 aspire to “foster innovation,” they make no mention of IP rights.19 As Stephen Ezell and Nigel Cory of the Information Technology and Innovation Foundation wrote, “A fundamental fault line in the debate over intellectual property pertains to the need to achieve a reasoned balance between access and exclusive rights.”20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rights.”21 Yet, where social and economic welfare is at stake, WTO members have sought to strike a balance in these rules between upholding IP rights and fulfilling immediate domestic needs.</w:t>
      </w:r>
    </w:p>
    <w:p w14:paraId="4B24C1DE" w14:textId="77777777" w:rsidR="00CC05C6" w:rsidRDefault="00CC05C6" w:rsidP="00CC05C6"/>
    <w:p w14:paraId="5C2E4E11" w14:textId="77777777" w:rsidR="00CC05C6" w:rsidRDefault="00CC05C6" w:rsidP="00CC05C6">
      <w:pPr>
        <w:pStyle w:val="Heading4"/>
      </w:pPr>
      <w:r>
        <w:rPr>
          <w:b w:val="0"/>
        </w:rPr>
        <w:t>Biopharmaceutical innovation is key to prevent future pandemics and bioterror.</w:t>
      </w:r>
    </w:p>
    <w:p w14:paraId="7775DC02" w14:textId="77777777" w:rsidR="00CC05C6" w:rsidRDefault="00CC05C6" w:rsidP="00CC05C6">
      <w:pPr>
        <w:rPr>
          <w:rStyle w:val="Style13ptBold"/>
        </w:rPr>
      </w:pPr>
      <w:r>
        <w:rPr>
          <w:rStyle w:val="Style13ptBold"/>
        </w:rPr>
        <w:t xml:space="preserve">Marjanovic and </w:t>
      </w:r>
      <w:proofErr w:type="spellStart"/>
      <w:r>
        <w:rPr>
          <w:rStyle w:val="Style13ptBold"/>
        </w:rPr>
        <w:t>Feijao</w:t>
      </w:r>
      <w:proofErr w:type="spellEnd"/>
      <w:r>
        <w:rPr>
          <w:rStyle w:val="Style13ptBold"/>
        </w:rPr>
        <w:t xml:space="preserve"> 20 [(Sonja Marjanovic, Ph.D., Judge Business School, University of Cambridge. Carolina </w:t>
      </w:r>
      <w:proofErr w:type="spellStart"/>
      <w:r>
        <w:rPr>
          <w:rStyle w:val="Style13ptBold"/>
        </w:rPr>
        <w:t>Feijao</w:t>
      </w:r>
      <w:proofErr w:type="spellEnd"/>
      <w:r>
        <w:rPr>
          <w:rStyle w:val="Style13ptBold"/>
        </w:rPr>
        <w:t xml:space="preserve">, Ph.D. in biochemistry, University of Cambridge; M.Sc. in quantitative biology, Imperial College London; B.Sc. in biology, University of Lisbon.) "How to Best Enable Pharma Innovation Beyond the COVID-19 Crisis," RAND Corporation, 05-2020, https://www.rand.org/pubs/perspectives/PEA407-1.html] TDI </w:t>
      </w:r>
    </w:p>
    <w:p w14:paraId="7F861FE6" w14:textId="77777777" w:rsidR="00CC05C6" w:rsidRDefault="00CC05C6" w:rsidP="00CC05C6">
      <w:r>
        <w:t xml:space="preserve">As key actors in the healthcare innovation landscape, pharmaceutical and life sciences companies have been called on to develop medicines, </w:t>
      </w:r>
      <w:proofErr w:type="gramStart"/>
      <w:r>
        <w:t>vaccines</w:t>
      </w:r>
      <w:proofErr w:type="gramEnd"/>
      <w:r>
        <w:t xml:space="preserve"> and diagnostics for pressing public health challenges. The COVID- 19 crisis is one such challenge, but there are many others. For example, MERS, SARS, Ebola, Zika and avian and swine flu are also infectious diseases that represent public health threats. Infectious agents such as anthrax, smallpox and tularemia could present threats in a bioterrorism context.1 </w:t>
      </w:r>
      <w:r>
        <w:rPr>
          <w:highlight w:val="green"/>
        </w:rPr>
        <w:t>The general threat to public health that is posed by antimicrobial resistance is also well-</w:t>
      </w:r>
      <w:proofErr w:type="spellStart"/>
      <w:r>
        <w:rPr>
          <w:highlight w:val="green"/>
        </w:rPr>
        <w:t>recognised</w:t>
      </w:r>
      <w:proofErr w:type="spellEnd"/>
      <w:r>
        <w:rPr>
          <w:highlight w:val="green"/>
        </w:rPr>
        <w:t xml:space="preserve"> as an area in need of pharmaceutical innovation. Innovating in response to these challenges does not always align well with pharmaceutical industry commercial models, shareholder expectations and competition within the industry. However, the expertise, </w:t>
      </w:r>
      <w:proofErr w:type="gramStart"/>
      <w:r>
        <w:rPr>
          <w:highlight w:val="green"/>
        </w:rPr>
        <w:t>networks</w:t>
      </w:r>
      <w:proofErr w:type="gramEnd"/>
      <w:r>
        <w:rPr>
          <w:highlight w:val="green"/>
        </w:rPr>
        <w:t xml:space="preserve"> and infrastructure that industry has within its reach, as well as public expectations and the moral imperative, make pharmaceutical companies and the wider life sciences sector an indispensable </w:t>
      </w:r>
      <w:proofErr w:type="spellStart"/>
      <w:r>
        <w:rPr>
          <w:highlight w:val="green"/>
        </w:rPr>
        <w:t>partnerin</w:t>
      </w:r>
      <w:proofErr w:type="spellEnd"/>
      <w:r>
        <w:rPr>
          <w:highlight w:val="green"/>
        </w:rPr>
        <w:t xml:space="preserve"> the search for solutions that save lives.</w:t>
      </w:r>
      <w:r>
        <w:t xml:space="preserve"> This perspective argues for the need to establish more sustainable and scalable ways of </w:t>
      </w:r>
      <w:proofErr w:type="spellStart"/>
      <w:r>
        <w:t>incentivising</w:t>
      </w:r>
      <w:proofErr w:type="spellEnd"/>
      <w:r>
        <w:t xml:space="preserve"> pharmaceutical innovation in response to infectious disease threats to public health. It considers both past and current examples of efforts to </w:t>
      </w:r>
      <w:proofErr w:type="spellStart"/>
      <w:r>
        <w:t>mobilise</w:t>
      </w:r>
      <w:proofErr w:type="spellEnd"/>
      <w: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we are seeing industry-wide efforts unfold at unprecedented scale and pace. Whereas there is always scope for more activity, industry is currently contributing </w:t>
      </w:r>
      <w:proofErr w:type="gramStart"/>
      <w:r>
        <w:t>in</w:t>
      </w:r>
      <w:proofErr w:type="gramEnd"/>
      <w:r>
        <w:t xml:space="preserve"> a variety of ways. Examples include pharmaceutical companies donating existing compounds to assess their utility in the fight against COVID19; screening existing compound libraries in-house or with partners to see if they can be repurposed; accelerating </w:t>
      </w:r>
      <w:proofErr w:type="spellStart"/>
      <w:r>
        <w:t>trialsfor</w:t>
      </w:r>
      <w:proofErr w:type="spellEnd"/>
      <w:r>
        <w:t xml:space="preserve">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t>realised</w:t>
      </w:r>
      <w:proofErr w:type="spellEnd"/>
      <w:r>
        <w:t xml:space="preserve">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t>mobilising</w:t>
      </w:r>
      <w:proofErr w:type="spellEnd"/>
      <w:r>
        <w:t xml:space="preserve"> substantial efforts to rise to the COVID-19 challenge at hand. However, we need to consider how pharmaceutical innovation for responding to emerging infectious diseases can best be enabled beyond the current crisis. </w:t>
      </w:r>
      <w:r>
        <w:rPr>
          <w:highlight w:val="green"/>
        </w:rPr>
        <w:t>Many public health threats (including those associated with other infectious diseases, bioterrorism agents and antimicrobial resistance) are urgently in need of pharmaceutical innovation, even if their impacts are not as visible to society as COVID-19 is in the immediate term. The pharmaceutical industry has responded to previous public health emergencies associated with infectious disease in recent times –</w:t>
      </w:r>
      <w:r>
        <w:t xml:space="preserve"> for example those associated with Ebola and Zika outbreaks.11 However, it has done so to a lesser scale than for COVID-19 and with contributions from fewer companies. Similarly, levels of activity in response to the threat of antimicrobial resistance are still low.12 There are important policy questions as to whether – and how – industry could engage with such public health threats to an even greater extent under improved innovation conditions.</w:t>
      </w:r>
    </w:p>
    <w:p w14:paraId="5782BF67" w14:textId="77777777" w:rsidR="00CC05C6" w:rsidRDefault="00CC05C6" w:rsidP="00CC05C6"/>
    <w:p w14:paraId="4DF5AE34" w14:textId="77777777" w:rsidR="00CC05C6" w:rsidRDefault="00CC05C6" w:rsidP="00CC05C6">
      <w:pPr>
        <w:pStyle w:val="Heading4"/>
      </w:pPr>
      <w:r>
        <w:rPr>
          <w:b w:val="0"/>
        </w:rPr>
        <w:t>Bioterror causes extinction.</w:t>
      </w:r>
    </w:p>
    <w:p w14:paraId="6528EE49" w14:textId="77777777" w:rsidR="00CC05C6" w:rsidRDefault="00CC05C6" w:rsidP="00CC05C6">
      <w:pPr>
        <w:rPr>
          <w:rStyle w:val="Style13ptBold"/>
        </w:rPr>
      </w:pPr>
      <w:r>
        <w:rPr>
          <w:rStyle w:val="Style13ptBold"/>
        </w:rPr>
        <w:t>Millett &amp; Snyder-Beattie ‘17 [(Piers Millett: Ph.D., Senior Research Fellow, Future of Humanity Institute, University of Oxford. Andrew Snyder-Beattie: M.S., Director of Research, Future of Humanity Institute, University of Oxford.) " Existential Risk and Cost-Effective Biosecurity," Health Security, 15(4), 08-01-2017, https://www.liebertpub.com/doi/full/10.1089/hs.2017.0028] TDI</w:t>
      </w:r>
    </w:p>
    <w:p w14:paraId="6E4A47D9" w14:textId="77777777" w:rsidR="00CC05C6" w:rsidRDefault="00CC05C6" w:rsidP="00CC05C6">
      <w:r>
        <w:rPr>
          <w:highlight w:val="green"/>
        </w:rPr>
        <w:t>In the decades to come, advanced bioweapons could threaten human existence</w:t>
      </w:r>
      <w:r>
        <w:t xml:space="preserve">. Although the probability of human extinction from bioweapons may be low, the expected value of reducing the risk could still be large, since such risks jeopardize the existence of all future generations. </w:t>
      </w:r>
      <w:r>
        <w:rPr>
          <w:highlight w:val="green"/>
        </w:rPr>
        <w:t>We provide an overview of biotechnological extinction risk, make some rough initial estimates for how severe the risks might be, and compare the cost-effectiveness of reducing these extinction-level risks with existing biosecurity work.</w:t>
      </w:r>
      <w:r>
        <w:t xml:space="preserve"> We find that reducing human extinction risk can be more cost-effective than reducing smaller- 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Historically, disease events have been responsible for the greatest death tolls on humanity</w:t>
      </w:r>
      <w:r>
        <w:rPr>
          <w:highlight w:val="green"/>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w:t>
      </w:r>
      <w:r>
        <w:t xml:space="preserve">.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 There are also historical examples of large human populations being almost entirely wiped out by disease, especially when multiple diseases were simultaneously introduced into a population without immunity. The most striking examples of total population collapse include native American tribes exposed to European diseases, such as the </w:t>
      </w:r>
      <w:proofErr w:type="spellStart"/>
      <w:r>
        <w:t>Massachusett</w:t>
      </w:r>
      <w:proofErr w:type="spellEnd"/>
      <w:r>
        <w:t xml:space="preserve"> (86% loss of population), </w:t>
      </w:r>
      <w:proofErr w:type="spellStart"/>
      <w:r>
        <w:t>Quiripi-Unquachog</w:t>
      </w:r>
      <w:proofErr w:type="spellEnd"/>
      <w:r>
        <w:t xml:space="preserve"> (95% loss of population), and the Western Abenaki (which suffered a staggering 98% loss of population).9 In the modern context, no single disease currently exists that combines the worst-case levels of transmissibility, lethality, resistance to countermeasures, and global reach. But many diseases are proof of principle that each worst-case attribute can be realized independently. For </w:t>
      </w:r>
      <w:proofErr w:type="spellStart"/>
      <w:proofErr w:type="gramStart"/>
      <w:r>
        <w:t>example,some</w:t>
      </w:r>
      <w:proofErr w:type="spellEnd"/>
      <w:proofErr w:type="gramEnd"/>
      <w:r>
        <w:t xml:space="preserv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w:t>
      </w:r>
      <w:proofErr w:type="spellStart"/>
      <w:r>
        <w:t>ofstate</w:t>
      </w:r>
      <w:proofErr w:type="spellEnd"/>
      <w:r>
        <w:t xml:space="preserv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 The possibility of a war between great powers could also increase the pressure to use such weapons—during the World Wars, bioweapons were used across multiple continents, with Germany targeting animals in WWI,26 and Japan using plague to cause an epidemic in China during WWII.27 </w:t>
      </w:r>
    </w:p>
    <w:p w14:paraId="32B34E2A" w14:textId="77777777" w:rsidR="00CC05C6" w:rsidRDefault="00CC05C6" w:rsidP="00CC05C6"/>
    <w:p w14:paraId="67C4DE75" w14:textId="77777777" w:rsidR="00314672" w:rsidRPr="00314672" w:rsidRDefault="00314672" w:rsidP="00314672"/>
    <w:p w14:paraId="39FF97C3" w14:textId="15FAB9AD" w:rsidR="005E17D7" w:rsidRPr="005E17D7" w:rsidRDefault="005E17D7" w:rsidP="005E17D7"/>
    <w:p w14:paraId="202F3304" w14:textId="77777777" w:rsidR="00E8519C" w:rsidRDefault="00E8519C" w:rsidP="00AA2397">
      <w:pPr>
        <w:pStyle w:val="Heading2"/>
      </w:pPr>
    </w:p>
    <w:p w14:paraId="11C94A25" w14:textId="01CFE920" w:rsidR="00AA2397" w:rsidRDefault="004502EA" w:rsidP="00AA2397">
      <w:pPr>
        <w:pStyle w:val="Heading2"/>
      </w:pPr>
      <w:r>
        <w:t>Case</w:t>
      </w:r>
    </w:p>
    <w:p w14:paraId="7E485E2D" w14:textId="79876385" w:rsidR="00612273" w:rsidRDefault="00612273" w:rsidP="00612273">
      <w:pPr>
        <w:pStyle w:val="ListParagraph"/>
        <w:numPr>
          <w:ilvl w:val="0"/>
          <w:numId w:val="11"/>
        </w:numPr>
        <w:rPr>
          <w:rStyle w:val="Style13ptBold"/>
        </w:rPr>
      </w:pPr>
      <w:r>
        <w:rPr>
          <w:rStyle w:val="Style13ptBold"/>
        </w:rPr>
        <w:t>Theory</w:t>
      </w:r>
    </w:p>
    <w:p w14:paraId="5A01D914" w14:textId="465D5A0F" w:rsidR="00612273" w:rsidRDefault="00612273" w:rsidP="00612273">
      <w:pPr>
        <w:pStyle w:val="ListParagraph"/>
        <w:numPr>
          <w:ilvl w:val="1"/>
          <w:numId w:val="11"/>
        </w:numPr>
        <w:rPr>
          <w:rStyle w:val="Style13ptBold"/>
        </w:rPr>
      </w:pPr>
      <w:r>
        <w:rPr>
          <w:rStyle w:val="Style13ptBold"/>
        </w:rPr>
        <w:t xml:space="preserve">Interpretation: The affirmative must specify how much they are going to reduce it by </w:t>
      </w:r>
    </w:p>
    <w:p w14:paraId="0654CEE3" w14:textId="0BBA5914" w:rsidR="00612273" w:rsidRDefault="00612273" w:rsidP="00612273">
      <w:pPr>
        <w:pStyle w:val="ListParagraph"/>
        <w:numPr>
          <w:ilvl w:val="1"/>
          <w:numId w:val="11"/>
        </w:numPr>
        <w:rPr>
          <w:rStyle w:val="Style13ptBold"/>
        </w:rPr>
      </w:pPr>
      <w:r>
        <w:rPr>
          <w:rStyle w:val="Style13ptBold"/>
        </w:rPr>
        <w:t xml:space="preserve">Standards: </w:t>
      </w:r>
    </w:p>
    <w:p w14:paraId="06F8129C" w14:textId="5F25C050" w:rsidR="00612273" w:rsidRDefault="00612273" w:rsidP="00612273">
      <w:pPr>
        <w:pStyle w:val="ListParagraph"/>
        <w:numPr>
          <w:ilvl w:val="2"/>
          <w:numId w:val="11"/>
        </w:numPr>
        <w:rPr>
          <w:rStyle w:val="Style13ptBold"/>
        </w:rPr>
      </w:pPr>
      <w:r>
        <w:rPr>
          <w:rStyle w:val="Style13ptBold"/>
        </w:rPr>
        <w:t xml:space="preserve">Fairness: </w:t>
      </w:r>
      <w:r w:rsidR="001F1858">
        <w:rPr>
          <w:rStyle w:val="Style13ptBold"/>
        </w:rPr>
        <w:t xml:space="preserve">Reduce is a broad term and this word is susceptible to change. It forces the Neg to question what DA’s or CP’s to </w:t>
      </w:r>
      <w:proofErr w:type="gramStart"/>
      <w:r w:rsidR="001F1858">
        <w:rPr>
          <w:rStyle w:val="Style13ptBold"/>
        </w:rPr>
        <w:t>actually read</w:t>
      </w:r>
      <w:proofErr w:type="gramEnd"/>
      <w:r w:rsidR="001F1858">
        <w:rPr>
          <w:rStyle w:val="Style13ptBold"/>
        </w:rPr>
        <w:t xml:space="preserve"> </w:t>
      </w:r>
    </w:p>
    <w:p w14:paraId="464FA1B1" w14:textId="765DE8EF" w:rsidR="001F1858" w:rsidRDefault="001F1858" w:rsidP="001F1858">
      <w:pPr>
        <w:pStyle w:val="ListParagraph"/>
        <w:numPr>
          <w:ilvl w:val="3"/>
          <w:numId w:val="11"/>
        </w:numPr>
        <w:rPr>
          <w:rStyle w:val="Style13ptBold"/>
        </w:rPr>
      </w:pPr>
      <w:r>
        <w:rPr>
          <w:rStyle w:val="Style13ptBold"/>
        </w:rPr>
        <w:t xml:space="preserve">The </w:t>
      </w:r>
      <w:proofErr w:type="spellStart"/>
      <w:r>
        <w:rPr>
          <w:rStyle w:val="Style13ptBold"/>
        </w:rPr>
        <w:t>Aff</w:t>
      </w:r>
      <w:proofErr w:type="spellEnd"/>
      <w:r>
        <w:rPr>
          <w:rStyle w:val="Style13ptBold"/>
        </w:rPr>
        <w:t xml:space="preserve"> can literally just say that the reduction of this is not significant therefore, </w:t>
      </w:r>
      <w:r w:rsidR="006C2434">
        <w:rPr>
          <w:rStyle w:val="Style13ptBold"/>
        </w:rPr>
        <w:t>it is not enough to trigger the negatives DA impacts that’s unfair and bad for the debate round</w:t>
      </w:r>
    </w:p>
    <w:p w14:paraId="0BBE05C6" w14:textId="181EB732" w:rsidR="006C2434" w:rsidRDefault="006C2434" w:rsidP="001F1858">
      <w:pPr>
        <w:pStyle w:val="ListParagraph"/>
        <w:numPr>
          <w:ilvl w:val="3"/>
          <w:numId w:val="11"/>
        </w:numPr>
        <w:rPr>
          <w:rStyle w:val="Style13ptBold"/>
        </w:rPr>
      </w:pPr>
      <w:r>
        <w:rPr>
          <w:rStyle w:val="Style13ptBold"/>
        </w:rPr>
        <w:t xml:space="preserve">Topic Education: </w:t>
      </w:r>
      <w:proofErr w:type="gramStart"/>
      <w:r>
        <w:rPr>
          <w:rStyle w:val="Style13ptBold"/>
        </w:rPr>
        <w:t>In order to</w:t>
      </w:r>
      <w:proofErr w:type="gramEnd"/>
      <w:r>
        <w:rPr>
          <w:rStyle w:val="Style13ptBold"/>
        </w:rPr>
        <w:t xml:space="preserve"> understand the topic and Data Analysis we need to specify by how much </w:t>
      </w:r>
    </w:p>
    <w:p w14:paraId="7C333600" w14:textId="159DF799" w:rsidR="006C2434" w:rsidRDefault="006C2434" w:rsidP="006C2434">
      <w:pPr>
        <w:pStyle w:val="ListParagraph"/>
        <w:numPr>
          <w:ilvl w:val="3"/>
          <w:numId w:val="11"/>
        </w:numPr>
        <w:rPr>
          <w:rStyle w:val="Style13ptBold"/>
        </w:rPr>
      </w:pPr>
      <w:r>
        <w:rPr>
          <w:rStyle w:val="Style13ptBold"/>
        </w:rPr>
        <w:t xml:space="preserve">This does not necessarily need to be in their plan however but not stating the reduction and how much to state the reduction leaves the negative scratching their heads – it’s a must </w:t>
      </w:r>
    </w:p>
    <w:p w14:paraId="6830699E" w14:textId="5F0B0CDE" w:rsidR="006C2434" w:rsidRDefault="006C2434" w:rsidP="006C2434">
      <w:pPr>
        <w:pStyle w:val="ListParagraph"/>
        <w:numPr>
          <w:ilvl w:val="2"/>
          <w:numId w:val="11"/>
        </w:numPr>
        <w:rPr>
          <w:rStyle w:val="Style13ptBold"/>
        </w:rPr>
      </w:pPr>
      <w:r>
        <w:rPr>
          <w:rStyle w:val="Style13ptBold"/>
        </w:rPr>
        <w:t xml:space="preserve">Judge, if the </w:t>
      </w:r>
      <w:proofErr w:type="spellStart"/>
      <w:r>
        <w:rPr>
          <w:rStyle w:val="Style13ptBold"/>
        </w:rPr>
        <w:t>Aff</w:t>
      </w:r>
      <w:proofErr w:type="spellEnd"/>
      <w:r>
        <w:rPr>
          <w:rStyle w:val="Style13ptBold"/>
        </w:rPr>
        <w:t xml:space="preserve"> does not specify in the 1AR, vote neg on presumption and vote neg on solvency deficit we don’t know if a small or large reduction is enough to solve </w:t>
      </w:r>
    </w:p>
    <w:p w14:paraId="45F99A1B" w14:textId="517CAA86" w:rsidR="00986A8A" w:rsidRDefault="00CC01D0" w:rsidP="00CC01D0">
      <w:pPr>
        <w:pStyle w:val="Heading4"/>
        <w:numPr>
          <w:ilvl w:val="3"/>
          <w:numId w:val="11"/>
        </w:numPr>
        <w:rPr>
          <w:rStyle w:val="Style13ptBold"/>
        </w:rPr>
      </w:pPr>
      <w:r>
        <w:rPr>
          <w:rStyle w:val="Style13ptBold"/>
        </w:rPr>
        <w:t xml:space="preserve">Analytics: </w:t>
      </w:r>
    </w:p>
    <w:p w14:paraId="36A6B8C3" w14:textId="042681B4" w:rsidR="00CC01D0" w:rsidRPr="00CC01D0" w:rsidRDefault="00CC01D0" w:rsidP="00CC01D0">
      <w:pPr>
        <w:pStyle w:val="ListParagraph"/>
        <w:numPr>
          <w:ilvl w:val="4"/>
          <w:numId w:val="11"/>
        </w:numPr>
      </w:pPr>
      <w:r>
        <w:t xml:space="preserve">Their innovation is high now card is outdated – 2019 is 2 years ago </w:t>
      </w:r>
    </w:p>
    <w:p w14:paraId="5BD9E6EB" w14:textId="3661B00B" w:rsidR="00CC01D0" w:rsidRDefault="00555A65" w:rsidP="00E24E17">
      <w:pPr>
        <w:pStyle w:val="Heading4"/>
      </w:pPr>
      <w:r>
        <w:t xml:space="preserve">Turn – The </w:t>
      </w:r>
      <w:proofErr w:type="spellStart"/>
      <w:r>
        <w:t>Aff</w:t>
      </w:r>
      <w:proofErr w:type="spellEnd"/>
      <w:r>
        <w:t xml:space="preserve"> harms small businesses and reduces </w:t>
      </w:r>
      <w:r w:rsidR="00425BCB">
        <w:t xml:space="preserve">Biotech </w:t>
      </w:r>
      <w:r>
        <w:t xml:space="preserve">Innovation </w:t>
      </w:r>
    </w:p>
    <w:p w14:paraId="5CAB711C" w14:textId="6AB661F3" w:rsidR="00625373" w:rsidRPr="00625373" w:rsidRDefault="00625373" w:rsidP="00625373">
      <w:pPr>
        <w:pStyle w:val="NormalWeb"/>
        <w:ind w:left="567" w:hanging="567"/>
      </w:pPr>
      <w:r>
        <w:t xml:space="preserve">“Why Is a Significant Period of Data Exclusivity Necessary in a Pathway for Biosimilars?” </w:t>
      </w:r>
      <w:r>
        <w:rPr>
          <w:i/>
          <w:iCs/>
        </w:rPr>
        <w:t>BIO</w:t>
      </w:r>
      <w:r>
        <w:t xml:space="preserve">, archive.bio.org/articles/why-significant-period-data-exclusivity-necessary-pathway-biosimilars. </w:t>
      </w:r>
    </w:p>
    <w:p w14:paraId="138ADA36" w14:textId="2731A9B5" w:rsidR="00986A8A" w:rsidRDefault="00986A8A" w:rsidP="00986A8A">
      <w:pPr>
        <w:rPr>
          <w:rStyle w:val="StyleUnderline"/>
        </w:rPr>
      </w:pPr>
      <w:r w:rsidRPr="00425BCB">
        <w:rPr>
          <w:sz w:val="8"/>
        </w:rPr>
        <w:t>Biotechnology</w:t>
      </w:r>
      <w:r w:rsidRPr="00986A8A">
        <w:rPr>
          <w:rStyle w:val="StyleUnderline"/>
        </w:rPr>
        <w:t xml:space="preserve"> </w:t>
      </w:r>
      <w:r w:rsidRPr="00555A65">
        <w:rPr>
          <w:rStyle w:val="StyleUnderline"/>
          <w:highlight w:val="green"/>
        </w:rPr>
        <w:t>companies must have</w:t>
      </w:r>
      <w:r w:rsidRPr="00986A8A">
        <w:rPr>
          <w:rStyle w:val="StyleUnderline"/>
        </w:rPr>
        <w:t xml:space="preserve"> some </w:t>
      </w:r>
      <w:r w:rsidRPr="00555A65">
        <w:rPr>
          <w:rStyle w:val="StyleUnderline"/>
          <w:highlight w:val="green"/>
        </w:rPr>
        <w:t>certainty that they can protect their investment in the development of</w:t>
      </w:r>
      <w:r w:rsidRPr="00555A65">
        <w:rPr>
          <w:rStyle w:val="StyleUnderline"/>
          <w:highlight w:val="green"/>
        </w:rPr>
        <w:t xml:space="preserve"> </w:t>
      </w:r>
      <w:r w:rsidRPr="00555A65">
        <w:rPr>
          <w:rStyle w:val="StyleUnderline"/>
          <w:highlight w:val="green"/>
        </w:rPr>
        <w:t>new breakthrough therapies</w:t>
      </w:r>
      <w:r w:rsidRPr="00986A8A">
        <w:rPr>
          <w:rStyle w:val="StyleUnderline"/>
        </w:rPr>
        <w:t xml:space="preserve"> </w:t>
      </w:r>
      <w:r w:rsidRPr="00425BCB">
        <w:rPr>
          <w:sz w:val="8"/>
        </w:rPr>
        <w:t xml:space="preserve">for a substantial </w:t>
      </w:r>
      <w:proofErr w:type="gramStart"/>
      <w:r w:rsidRPr="00425BCB">
        <w:rPr>
          <w:sz w:val="8"/>
        </w:rPr>
        <w:t>period of time</w:t>
      </w:r>
      <w:proofErr w:type="gramEnd"/>
      <w:r w:rsidRPr="00425BCB">
        <w:rPr>
          <w:sz w:val="8"/>
        </w:rPr>
        <w:t xml:space="preserve"> in order to secure the necessary resources from</w:t>
      </w:r>
      <w:r w:rsidRPr="00425BCB">
        <w:rPr>
          <w:sz w:val="8"/>
        </w:rPr>
        <w:t xml:space="preserve"> </w:t>
      </w:r>
      <w:r w:rsidRPr="00425BCB">
        <w:rPr>
          <w:sz w:val="8"/>
        </w:rPr>
        <w:t xml:space="preserve">venture capital firms and other funding sources. Thus, </w:t>
      </w:r>
      <w:proofErr w:type="gramStart"/>
      <w:r w:rsidRPr="00425BCB">
        <w:rPr>
          <w:sz w:val="8"/>
        </w:rPr>
        <w:t>in order to</w:t>
      </w:r>
      <w:proofErr w:type="gramEnd"/>
      <w:r w:rsidRPr="00425BCB">
        <w:rPr>
          <w:sz w:val="8"/>
        </w:rPr>
        <w:t xml:space="preserve"> preserve incentives for biome</w:t>
      </w:r>
      <w:r w:rsidRPr="00425BCB">
        <w:rPr>
          <w:rFonts w:ascii="Roboto" w:hAnsi="Roboto"/>
          <w:color w:val="6D6D6D"/>
          <w:sz w:val="8"/>
        </w:rPr>
        <w:t xml:space="preserve">dical </w:t>
      </w:r>
      <w:r w:rsidRPr="00425BCB">
        <w:rPr>
          <w:sz w:val="8"/>
        </w:rPr>
        <w:t>innovation,</w:t>
      </w:r>
      <w:r w:rsidRPr="00425BCB">
        <w:rPr>
          <w:sz w:val="8"/>
        </w:rPr>
        <w:t xml:space="preserve"> </w:t>
      </w:r>
      <w:r w:rsidRPr="00425BCB">
        <w:rPr>
          <w:sz w:val="8"/>
        </w:rPr>
        <w:t>any statutory pathway for follow-on biologics (FOBs) must include a substantial period of data exclusivity. Such non-patent exclusivity is necessary because, due to the very nature of a FOBs regime, the patent system may not provide innovator biologics with effective protection against follow-on manufacturers prematurely entering the market</w:t>
      </w:r>
      <w:r w:rsidRPr="00425BCB">
        <w:rPr>
          <w:rFonts w:ascii="Roboto" w:hAnsi="Roboto"/>
          <w:color w:val="6D6D6D"/>
          <w:sz w:val="8"/>
        </w:rPr>
        <w:t>. For biologics to receive the same length of effective market protection as small molecule drugs receive under the Hatch-Waxman Act, the period of data exclusivity in any FOBs framework must be no less than 14 years.</w:t>
      </w:r>
      <w:r w:rsidRPr="00425BCB">
        <w:rPr>
          <w:rFonts w:ascii="Roboto" w:hAnsi="Roboto"/>
          <w:color w:val="6D6D6D"/>
          <w:sz w:val="8"/>
        </w:rPr>
        <w:t xml:space="preserve"> </w:t>
      </w:r>
      <w:r w:rsidRPr="00425BCB">
        <w:rPr>
          <w:rFonts w:ascii="Roboto" w:hAnsi="Roboto"/>
          <w:color w:val="6D6D6D"/>
          <w:sz w:val="8"/>
        </w:rPr>
        <w:t>Anything less could skew investment away from biologics research and development.</w:t>
      </w:r>
      <w:r w:rsidRPr="00425BCB">
        <w:rPr>
          <w:rFonts w:ascii="Roboto" w:hAnsi="Roboto"/>
          <w:color w:val="6D6D6D"/>
          <w:sz w:val="8"/>
        </w:rPr>
        <w:t xml:space="preserve"> </w:t>
      </w:r>
      <w:r w:rsidRPr="00425BCB">
        <w:rPr>
          <w:rFonts w:ascii="Roboto" w:hAnsi="Roboto"/>
          <w:color w:val="6D6D6D"/>
          <w:sz w:val="8"/>
        </w:rPr>
        <w:t>The similarity standard for FOBs creates a “protection gap” that may allow for abbreviated regulatory approval while eluding an innovator’s patents.</w:t>
      </w:r>
      <w:r w:rsidRPr="00425BCB">
        <w:rPr>
          <w:rFonts w:ascii="Roboto" w:hAnsi="Roboto"/>
          <w:color w:val="6D6D6D"/>
          <w:sz w:val="8"/>
        </w:rPr>
        <w:t xml:space="preserve"> </w:t>
      </w:r>
      <w:r w:rsidRPr="00425BCB">
        <w:rPr>
          <w:rFonts w:ascii="Roboto" w:hAnsi="Roboto"/>
          <w:color w:val="6D6D6D"/>
          <w:sz w:val="8"/>
        </w:rPr>
        <w:t xml:space="preserve">That likelihood exists because of the confluence of two critical factors </w:t>
      </w:r>
      <w:proofErr w:type="gramStart"/>
      <w:r w:rsidRPr="00425BCB">
        <w:rPr>
          <w:rFonts w:ascii="Roboto" w:hAnsi="Roboto"/>
          <w:color w:val="6D6D6D"/>
          <w:sz w:val="8"/>
        </w:rPr>
        <w:t>not present</w:t>
      </w:r>
      <w:proofErr w:type="gramEnd"/>
      <w:r w:rsidRPr="00425BCB">
        <w:rPr>
          <w:rFonts w:ascii="Roboto" w:hAnsi="Roboto"/>
          <w:color w:val="6D6D6D"/>
          <w:sz w:val="8"/>
        </w:rPr>
        <w:t xml:space="preserve"> in the Hatch-Waxman Act construct for generic small molecule drugs.</w:t>
      </w:r>
      <w:r w:rsidRPr="00425BCB">
        <w:rPr>
          <w:rFonts w:ascii="Roboto" w:hAnsi="Roboto"/>
          <w:color w:val="6D6D6D"/>
          <w:sz w:val="8"/>
        </w:rPr>
        <w:t xml:space="preserve"> </w:t>
      </w:r>
      <w:r w:rsidRPr="00425BCB">
        <w:rPr>
          <w:rFonts w:ascii="Roboto" w:hAnsi="Roboto"/>
          <w:color w:val="6D6D6D"/>
          <w:sz w:val="8"/>
        </w:rPr>
        <w:t xml:space="preserve">First, unlike a generic drug which must be the same as an innovator product, </w:t>
      </w:r>
      <w:proofErr w:type="gramStart"/>
      <w:r w:rsidRPr="00425BCB">
        <w:rPr>
          <w:rFonts w:ascii="Roboto" w:hAnsi="Roboto"/>
          <w:color w:val="6D6D6D"/>
          <w:sz w:val="8"/>
        </w:rPr>
        <w:t>a</w:t>
      </w:r>
      <w:proofErr w:type="gramEnd"/>
      <w:r w:rsidRPr="00425BCB">
        <w:rPr>
          <w:rFonts w:ascii="Roboto" w:hAnsi="Roboto"/>
          <w:color w:val="6D6D6D"/>
          <w:sz w:val="8"/>
        </w:rPr>
        <w:t xml:space="preserve"> FOB may be only “similar’ to the corresponding innovator product, and thus the innovator’s patents may not be infringed.</w:t>
      </w:r>
      <w:r w:rsidRPr="00425BCB">
        <w:rPr>
          <w:rFonts w:ascii="Roboto" w:hAnsi="Roboto"/>
          <w:color w:val="6D6D6D"/>
          <w:sz w:val="8"/>
        </w:rPr>
        <w:t xml:space="preserve"> </w:t>
      </w:r>
      <w:r w:rsidRPr="00425BCB">
        <w:rPr>
          <w:rFonts w:ascii="Roboto" w:hAnsi="Roboto"/>
          <w:color w:val="6D6D6D"/>
          <w:sz w:val="8"/>
        </w:rPr>
        <w:t>Second, because of the nature of biologic products – large molecules produced by living cells and organisms – patent protection is often narrower and easier to “design around” than that of small molecule drugs, and the trend is towards increasingly narrow patents.</w:t>
      </w:r>
      <w:r w:rsidRPr="00425BCB">
        <w:rPr>
          <w:rFonts w:ascii="Roboto" w:hAnsi="Roboto"/>
          <w:color w:val="6D6D6D"/>
          <w:sz w:val="8"/>
        </w:rPr>
        <w:t xml:space="preserve"> </w:t>
      </w:r>
      <w:r w:rsidRPr="00425BCB">
        <w:rPr>
          <w:rFonts w:ascii="Roboto" w:hAnsi="Roboto"/>
          <w:color w:val="6D6D6D"/>
          <w:sz w:val="8"/>
        </w:rPr>
        <w:t>Strong data exclusivity will preserve the balance that Congress previously found necessary to stimulate innovation in the pharmaceutical industry.</w:t>
      </w:r>
      <w:r w:rsidRPr="00425BCB">
        <w:rPr>
          <w:rFonts w:ascii="Roboto" w:hAnsi="Roboto"/>
          <w:color w:val="6D6D6D"/>
          <w:sz w:val="8"/>
        </w:rPr>
        <w:t xml:space="preserve"> </w:t>
      </w:r>
      <w:r w:rsidRPr="00425BCB">
        <w:rPr>
          <w:rFonts w:ascii="Roboto" w:hAnsi="Roboto"/>
          <w:color w:val="6D6D6D"/>
          <w:sz w:val="8"/>
        </w:rPr>
        <w:t>In 1984, Congress enacted patent term restoration provisions to provide pharmaceuticals with up to 14 years of patent protection following marketing approval.</w:t>
      </w:r>
      <w:r w:rsidRPr="00425BCB">
        <w:rPr>
          <w:rFonts w:ascii="Roboto" w:hAnsi="Roboto"/>
          <w:color w:val="6D6D6D"/>
          <w:sz w:val="8"/>
        </w:rPr>
        <w:t xml:space="preserve"> </w:t>
      </w:r>
      <w:r w:rsidRPr="00425BCB">
        <w:rPr>
          <w:rFonts w:ascii="Roboto" w:hAnsi="Roboto"/>
          <w:color w:val="6D6D6D"/>
          <w:sz w:val="8"/>
        </w:rPr>
        <w:t xml:space="preserve">This </w:t>
      </w:r>
      <w:proofErr w:type="gramStart"/>
      <w:r w:rsidRPr="00425BCB">
        <w:rPr>
          <w:rFonts w:ascii="Roboto" w:hAnsi="Roboto"/>
          <w:color w:val="6D6D6D"/>
          <w:sz w:val="8"/>
        </w:rPr>
        <w:t>time period</w:t>
      </w:r>
      <w:proofErr w:type="gramEnd"/>
      <w:r w:rsidRPr="00425BCB">
        <w:rPr>
          <w:rFonts w:ascii="Roboto" w:hAnsi="Roboto"/>
          <w:color w:val="6D6D6D"/>
          <w:sz w:val="8"/>
        </w:rPr>
        <w:t xml:space="preserve"> was selected so that "research intensive companies will have the necessary incentive to increase their research and development activities." H.R. Rep. No. 98-857, at 41 (1984).</w:t>
      </w:r>
      <w:r w:rsidRPr="00425BCB">
        <w:rPr>
          <w:rFonts w:ascii="Roboto" w:hAnsi="Roboto"/>
          <w:color w:val="6D6D6D"/>
          <w:sz w:val="8"/>
        </w:rPr>
        <w:t xml:space="preserve"> </w:t>
      </w:r>
      <w:r w:rsidRPr="00425BCB">
        <w:rPr>
          <w:rFonts w:ascii="Roboto" w:hAnsi="Roboto"/>
          <w:color w:val="6D6D6D"/>
          <w:sz w:val="8"/>
        </w:rPr>
        <w:t xml:space="preserve">As a result, the average </w:t>
      </w:r>
      <w:proofErr w:type="gramStart"/>
      <w:r w:rsidRPr="00425BCB">
        <w:rPr>
          <w:rFonts w:ascii="Roboto" w:hAnsi="Roboto"/>
          <w:color w:val="6D6D6D"/>
          <w:sz w:val="8"/>
        </w:rPr>
        <w:t>period of time</w:t>
      </w:r>
      <w:proofErr w:type="gramEnd"/>
      <w:r w:rsidRPr="00425BCB">
        <w:rPr>
          <w:rFonts w:ascii="Roboto" w:hAnsi="Roboto"/>
          <w:color w:val="6D6D6D"/>
          <w:sz w:val="8"/>
        </w:rPr>
        <w:t xml:space="preserve"> for marketing a drug product with patent protection now is 11.5 years, and new drugs are, on average, marketed in the U.S. for 13.5 years before the entry of generic competition.</w:t>
      </w:r>
      <w:r w:rsidRPr="00425BCB">
        <w:rPr>
          <w:rFonts w:ascii="Roboto" w:hAnsi="Roboto"/>
          <w:color w:val="6D6D6D"/>
          <w:sz w:val="8"/>
        </w:rPr>
        <w:t xml:space="preserve"> </w:t>
      </w:r>
      <w:r w:rsidRPr="00425BCB">
        <w:rPr>
          <w:rFonts w:ascii="Roboto" w:hAnsi="Roboto"/>
          <w:color w:val="6D6D6D"/>
          <w:sz w:val="8"/>
        </w:rPr>
        <w:t>Any FOBs pathway should at least guarantee that same degree of effective market protection through data exclusivity.</w:t>
      </w:r>
      <w:r w:rsidRPr="00425BCB">
        <w:rPr>
          <w:rFonts w:ascii="Roboto" w:hAnsi="Roboto"/>
          <w:color w:val="6D6D6D"/>
          <w:sz w:val="8"/>
        </w:rPr>
        <w:t xml:space="preserve"> </w:t>
      </w:r>
      <w:r w:rsidRPr="00425BCB">
        <w:rPr>
          <w:rFonts w:ascii="Roboto" w:hAnsi="Roboto"/>
          <w:color w:val="6D6D6D"/>
          <w:sz w:val="8"/>
        </w:rPr>
        <w:t>Further, the breakeven point for a biologic occurs after it has been on the market between 12.9 and 16.2 years</w:t>
      </w:r>
      <w:r w:rsidRPr="00E1101E">
        <w:rPr>
          <w:rStyle w:val="StyleUnderline"/>
        </w:rPr>
        <w:t>.</w:t>
      </w:r>
      <w:r w:rsidRPr="00E1101E">
        <w:rPr>
          <w:rStyle w:val="StyleUnderline"/>
        </w:rPr>
        <w:t xml:space="preserve"> </w:t>
      </w:r>
      <w:r w:rsidRPr="00425BCB">
        <w:rPr>
          <w:sz w:val="8"/>
        </w:rPr>
        <w:t>Indeed, if the data exclusivity period for biologics is less than the number of years available to drugs under patent term restoration (that is, 14 years), then, because of the patent protection gap and the higher risks of biologics development, it will skew investment away from biomedical innovation.</w:t>
      </w:r>
      <w:r w:rsidRPr="00425BCB">
        <w:rPr>
          <w:sz w:val="8"/>
        </w:rPr>
        <w:t xml:space="preserve"> </w:t>
      </w:r>
      <w:r w:rsidRPr="00425BCB">
        <w:rPr>
          <w:sz w:val="8"/>
        </w:rPr>
        <w:t>A 14-year period of data exclusivity serves as an insurance policy that provides innovators with some certainty of protection.</w:t>
      </w:r>
      <w:r w:rsidRPr="00425BCB">
        <w:rPr>
          <w:sz w:val="8"/>
        </w:rPr>
        <w:t xml:space="preserve"> </w:t>
      </w:r>
      <w:r w:rsidRPr="00425BCB">
        <w:rPr>
          <w:sz w:val="8"/>
        </w:rPr>
        <w:t>Data exclusivity would run concurrently with the patent term for the product.</w:t>
      </w:r>
      <w:r w:rsidRPr="00425BCB">
        <w:rPr>
          <w:sz w:val="8"/>
        </w:rPr>
        <w:t xml:space="preserve"> </w:t>
      </w:r>
      <w:r w:rsidRPr="00425BCB">
        <w:rPr>
          <w:sz w:val="8"/>
        </w:rPr>
        <w:t>It therefore would create actual protection only in those instances where the follow-on manufacturer would be able to work around the patents held by the innovator but still gain abbreviated approval of its FOB.</w:t>
      </w:r>
      <w:r w:rsidRPr="00425BCB">
        <w:rPr>
          <w:sz w:val="8"/>
        </w:rPr>
        <w:t xml:space="preserve"> </w:t>
      </w:r>
      <w:r w:rsidRPr="00425BCB">
        <w:rPr>
          <w:sz w:val="8"/>
        </w:rPr>
        <w:t>Data exclusivity of 14 years is an essential incentive for biotechnology investment.</w:t>
      </w:r>
      <w:r w:rsidRPr="00E24E17">
        <w:rPr>
          <w:rStyle w:val="StyleUnderline"/>
        </w:rPr>
        <w:t xml:space="preserve"> </w:t>
      </w:r>
      <w:proofErr w:type="gramStart"/>
      <w:r w:rsidRPr="00E24E17">
        <w:rPr>
          <w:rStyle w:val="StyleUnderline"/>
        </w:rPr>
        <w:t xml:space="preserve">The </w:t>
      </w:r>
      <w:r w:rsidRPr="00425BCB">
        <w:rPr>
          <w:rStyle w:val="StyleUnderline"/>
          <w:highlight w:val="green"/>
        </w:rPr>
        <w:t>majority of</w:t>
      </w:r>
      <w:proofErr w:type="gramEnd"/>
      <w:r w:rsidRPr="00425BCB">
        <w:rPr>
          <w:rStyle w:val="StyleUnderline"/>
          <w:highlight w:val="green"/>
        </w:rPr>
        <w:t xml:space="preserve"> biotech</w:t>
      </w:r>
      <w:r w:rsidRPr="00E24E17">
        <w:rPr>
          <w:rStyle w:val="StyleUnderline"/>
        </w:rPr>
        <w:t xml:space="preserve">nology </w:t>
      </w:r>
      <w:r w:rsidRPr="00425BCB">
        <w:rPr>
          <w:rStyle w:val="StyleUnderline"/>
          <w:highlight w:val="green"/>
        </w:rPr>
        <w:t>companie</w:t>
      </w:r>
      <w:r w:rsidRPr="00E24E17">
        <w:rPr>
          <w:rStyle w:val="StyleUnderline"/>
        </w:rPr>
        <w:t>s are small</w:t>
      </w:r>
      <w:r w:rsidRPr="00425BCB">
        <w:rPr>
          <w:rStyle w:val="StyleUnderline"/>
          <w:highlight w:val="green"/>
        </w:rPr>
        <w:t>, private start-ups, heavily reliant on venture capital investment</w:t>
      </w:r>
      <w:r w:rsidRPr="00E24E17">
        <w:rPr>
          <w:rStyle w:val="StyleUnderline"/>
        </w:rPr>
        <w:t>.</w:t>
      </w:r>
      <w:r w:rsidRPr="00E24E17">
        <w:rPr>
          <w:rStyle w:val="StyleUnderline"/>
        </w:rPr>
        <w:t xml:space="preserve"> </w:t>
      </w:r>
      <w:r w:rsidRPr="00425BCB">
        <w:rPr>
          <w:rStyle w:val="StyleUnderline"/>
          <w:highlight w:val="green"/>
        </w:rPr>
        <w:t>Yet these companies hold two-thirds of the industry’s innovative clinical pipeline.</w:t>
      </w:r>
      <w:r w:rsidRPr="00425BCB">
        <w:rPr>
          <w:rStyle w:val="StyleUnderline"/>
          <w:highlight w:val="green"/>
        </w:rPr>
        <w:t xml:space="preserve"> </w:t>
      </w:r>
      <w:r w:rsidRPr="00425BCB">
        <w:rPr>
          <w:rStyle w:val="StyleUnderline"/>
          <w:highlight w:val="green"/>
        </w:rPr>
        <w:t>Biologics research and development also is a high-risk endeavor, with higher capital costs, higher material costs, greater manufacturing costs and uncertainties, longer development times, and lower late-stage success rates than compared to small molecule drugs. A failure to include substantial data exclusivity as part of a statutory framework for FOBs would undermine incentives to invest in biomedical innovation and thus would slow progress in the development of breakthrough therapies to improve the health and lives of patients suffering from currently untreatable conditions</w:t>
      </w:r>
      <w:r w:rsidRPr="00E24E17">
        <w:rPr>
          <w:rStyle w:val="StyleUnderline"/>
        </w:rPr>
        <w:t>.</w:t>
      </w:r>
      <w:r w:rsidRPr="00E24E17">
        <w:rPr>
          <w:rStyle w:val="StyleUnderline"/>
        </w:rPr>
        <w:t xml:space="preserve"> </w:t>
      </w:r>
    </w:p>
    <w:p w14:paraId="11D4FA89" w14:textId="77777777" w:rsidR="007F440F" w:rsidRDefault="007F440F" w:rsidP="007F440F">
      <w:pPr>
        <w:pStyle w:val="paragraph"/>
        <w:spacing w:before="0" w:beforeAutospacing="0" w:after="0" w:afterAutospacing="0"/>
        <w:jc w:val="center"/>
        <w:textAlignment w:val="baseline"/>
        <w:rPr>
          <w:rFonts w:ascii="Segoe UI" w:hAnsi="Segoe UI" w:cs="Segoe UI"/>
          <w:b/>
          <w:bCs/>
          <w:sz w:val="18"/>
          <w:szCs w:val="18"/>
        </w:rPr>
      </w:pPr>
      <w:r>
        <w:rPr>
          <w:rStyle w:val="normaltextrun"/>
          <w:rFonts w:eastAsiaTheme="majorEastAsia" w:cs="Calibri"/>
          <w:b/>
          <w:bCs/>
          <w:color w:val="000000"/>
          <w:sz w:val="32"/>
          <w:szCs w:val="32"/>
          <w:u w:val="single"/>
        </w:rPr>
        <w:t>TRIPS Waiver for LDCs was extended until 2033</w:t>
      </w:r>
      <w:r>
        <w:rPr>
          <w:rStyle w:val="eop"/>
          <w:b/>
          <w:bCs/>
          <w:color w:val="000000"/>
          <w:sz w:val="32"/>
          <w:szCs w:val="32"/>
        </w:rPr>
        <w:t> </w:t>
      </w:r>
    </w:p>
    <w:p w14:paraId="329C26CC" w14:textId="77777777" w:rsidR="007F440F" w:rsidRDefault="007F440F" w:rsidP="007F440F">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color w:val="000000"/>
          <w:szCs w:val="26"/>
        </w:rPr>
        <w:t>WTO 15</w:t>
      </w:r>
      <w:r>
        <w:rPr>
          <w:rStyle w:val="normaltextrun"/>
          <w:rFonts w:eastAsiaTheme="majorEastAsia" w:cs="Calibri"/>
          <w:b/>
          <w:bCs/>
          <w:color w:val="000000"/>
          <w:sz w:val="22"/>
          <w:szCs w:val="22"/>
        </w:rPr>
        <w:t> </w:t>
      </w:r>
      <w:r>
        <w:rPr>
          <w:rStyle w:val="normaltextrun"/>
          <w:rFonts w:eastAsiaTheme="majorEastAsia" w:cs="Calibri"/>
          <w:color w:val="000000"/>
          <w:sz w:val="22"/>
          <w:szCs w:val="22"/>
        </w:rPr>
        <w:t>[World Trade Organization, “WTO members agree to extend drug patent exemption for poorest members,” WTO. 2015. </w:t>
      </w:r>
      <w:hyperlink r:id="rId5" w:tgtFrame="_blank" w:history="1">
        <w:r>
          <w:rPr>
            <w:rStyle w:val="normaltextrun"/>
            <w:rFonts w:eastAsiaTheme="majorEastAsia" w:cs="Calibri"/>
            <w:color w:val="000000"/>
            <w:sz w:val="22"/>
            <w:szCs w:val="22"/>
          </w:rPr>
          <w:t>https://www.wto.org/english/news_e/news15_e/trip_06nov15_e.htm</w:t>
        </w:r>
      </w:hyperlink>
      <w:r>
        <w:rPr>
          <w:rStyle w:val="normaltextrun"/>
          <w:rFonts w:eastAsiaTheme="majorEastAsia" w:cs="Calibri"/>
          <w:color w:val="000000"/>
          <w:sz w:val="22"/>
          <w:szCs w:val="22"/>
        </w:rPr>
        <w:t> ] /</w:t>
      </w:r>
      <w:proofErr w:type="spellStart"/>
      <w:r>
        <w:rPr>
          <w:rStyle w:val="spellingerror"/>
          <w:rFonts w:ascii="Calibri" w:hAnsi="Calibri" w:cs="Calibri"/>
          <w:color w:val="000000"/>
          <w:sz w:val="22"/>
          <w:szCs w:val="22"/>
        </w:rPr>
        <w:t>TriumphDebate</w:t>
      </w:r>
      <w:proofErr w:type="spellEnd"/>
      <w:r>
        <w:rPr>
          <w:rStyle w:val="eop"/>
          <w:color w:val="000000"/>
          <w:szCs w:val="22"/>
        </w:rPr>
        <w:t> </w:t>
      </w:r>
    </w:p>
    <w:p w14:paraId="2B892F76" w14:textId="77777777" w:rsidR="007F440F" w:rsidRDefault="007F440F" w:rsidP="007F440F">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color w:val="000000"/>
          <w:sz w:val="22"/>
          <w:szCs w:val="22"/>
          <w:u w:val="single"/>
          <w:shd w:val="clear" w:color="auto" w:fill="00FF00"/>
        </w:rPr>
        <w:t>The Council’s decision extends until January 2033 the period during which key provisions of the WTO’s intellectual property agreement, the TRIPS Agreement, do not apply to pharmaceutical products in LDCs.</w:t>
      </w:r>
      <w:r>
        <w:rPr>
          <w:rStyle w:val="normaltextrun"/>
          <w:rFonts w:eastAsiaTheme="majorEastAsia" w:cs="Calibri"/>
          <w:color w:val="000000"/>
          <w:sz w:val="16"/>
          <w:szCs w:val="16"/>
        </w:rPr>
        <w:t> This means LDCs can choose </w:t>
      </w:r>
      <w:proofErr w:type="gramStart"/>
      <w:r>
        <w:rPr>
          <w:rStyle w:val="normaltextrun"/>
          <w:rFonts w:eastAsiaTheme="majorEastAsia" w:cs="Calibri"/>
          <w:color w:val="000000"/>
          <w:sz w:val="16"/>
          <w:szCs w:val="16"/>
        </w:rPr>
        <w:t>whether or not</w:t>
      </w:r>
      <w:proofErr w:type="gramEnd"/>
      <w:r>
        <w:rPr>
          <w:rStyle w:val="normaltextrun"/>
          <w:rFonts w:eastAsiaTheme="majorEastAsia" w:cs="Calibri"/>
          <w:color w:val="000000"/>
          <w:sz w:val="16"/>
          <w:szCs w:val="16"/>
        </w:rPr>
        <w:t> to protect pharmaceutical patents and clinical trial data before 2033. The decision also keeps open the option for further extensions beyond that date. The latest extension, the second specifically applied to pharmaceutical products for LDCs, is in line with directions set by WTO ministers in the 2001 Doha Declaration on the TRIPS Agreement and Public Health. It also follows the adoption of the new UN Sustainable Development Goals (SDGs), which affirm the right of developing countries to utilize TRIPS Agreement flexibilities to ensure access to medicines for all. WTO Director-General Roberto </w:t>
      </w:r>
      <w:proofErr w:type="spellStart"/>
      <w:r>
        <w:rPr>
          <w:rStyle w:val="spellingerror"/>
          <w:rFonts w:ascii="Calibri" w:hAnsi="Calibri" w:cs="Calibri"/>
          <w:color w:val="000000"/>
          <w:sz w:val="16"/>
          <w:szCs w:val="16"/>
        </w:rPr>
        <w:t>Azevêdo</w:t>
      </w:r>
      <w:proofErr w:type="spellEnd"/>
      <w:r>
        <w:rPr>
          <w:rStyle w:val="normaltextrun"/>
          <w:rFonts w:eastAsiaTheme="majorEastAsia" w:cs="Calibri"/>
          <w:color w:val="000000"/>
          <w:sz w:val="16"/>
          <w:szCs w:val="16"/>
        </w:rPr>
        <w:t> hailed the TRIPS Council's decision. </w:t>
      </w:r>
      <w:r>
        <w:rPr>
          <w:rStyle w:val="normaltextrun"/>
          <w:rFonts w:eastAsiaTheme="majorEastAsia" w:cs="Calibri"/>
          <w:b/>
          <w:bCs/>
          <w:color w:val="000000"/>
          <w:sz w:val="22"/>
          <w:szCs w:val="22"/>
          <w:u w:val="single"/>
        </w:rPr>
        <w:t>“This decision by the TRIPS Council represents a clear and unambiguous signal that WTO members are committed to addressing the needs of the organization's poorest members</w:t>
      </w:r>
      <w:r>
        <w:rPr>
          <w:rStyle w:val="normaltextrun"/>
          <w:rFonts w:eastAsiaTheme="majorEastAsia" w:cs="Calibri"/>
          <w:color w:val="000000"/>
          <w:sz w:val="16"/>
          <w:szCs w:val="16"/>
        </w:rPr>
        <w:t>. With the concerns of least developed countries at </w:t>
      </w:r>
      <w:proofErr w:type="spellStart"/>
      <w:r>
        <w:rPr>
          <w:rStyle w:val="spellingerror"/>
          <w:rFonts w:ascii="Calibri" w:hAnsi="Calibri" w:cs="Calibri"/>
          <w:color w:val="000000"/>
          <w:sz w:val="16"/>
          <w:szCs w:val="16"/>
        </w:rPr>
        <w:t>centre</w:t>
      </w:r>
      <w:proofErr w:type="spellEnd"/>
      <w:r>
        <w:rPr>
          <w:rStyle w:val="normaltextrun"/>
          <w:rFonts w:eastAsiaTheme="majorEastAsia" w:cs="Calibri"/>
          <w:color w:val="000000"/>
          <w:sz w:val="16"/>
          <w:szCs w:val="16"/>
        </w:rPr>
        <w:t> stage next month at our Nairobi Ministerial Conference, now is the time for WTO to build upon this momentum in other areas of our work,” said Director-General </w:t>
      </w:r>
      <w:proofErr w:type="spellStart"/>
      <w:r>
        <w:rPr>
          <w:rStyle w:val="spellingerror"/>
          <w:rFonts w:ascii="Calibri" w:hAnsi="Calibri" w:cs="Calibri"/>
          <w:color w:val="000000"/>
          <w:sz w:val="16"/>
          <w:szCs w:val="16"/>
        </w:rPr>
        <w:t>Azevêdo</w:t>
      </w:r>
      <w:proofErr w:type="spellEnd"/>
      <w:r>
        <w:rPr>
          <w:rStyle w:val="normaltextrun"/>
          <w:rFonts w:eastAsiaTheme="majorEastAsia" w:cs="Calibri"/>
          <w:color w:val="000000"/>
          <w:sz w:val="16"/>
          <w:szCs w:val="16"/>
        </w:rPr>
        <w:t>. WTO members, speaking in the TRIPS Council, unanimously welcomed the decision. A wide spectrum of members recalled the benefits of this extension for public health outcomes in LDCs, </w:t>
      </w:r>
      <w:proofErr w:type="gramStart"/>
      <w:r>
        <w:rPr>
          <w:rStyle w:val="normaltextrun"/>
          <w:rFonts w:eastAsiaTheme="majorEastAsia" w:cs="Calibri"/>
          <w:color w:val="000000"/>
          <w:sz w:val="16"/>
          <w:szCs w:val="16"/>
        </w:rPr>
        <w:t>in light of</w:t>
      </w:r>
      <w:proofErr w:type="gramEnd"/>
      <w:r>
        <w:rPr>
          <w:rStyle w:val="normaltextrun"/>
          <w:rFonts w:eastAsiaTheme="majorEastAsia" w:cs="Calibri"/>
          <w:color w:val="000000"/>
          <w:sz w:val="16"/>
          <w:szCs w:val="16"/>
        </w:rPr>
        <w:t> the continuing challenges faced by these countries. Ambassador Shameem Ahsan of Bangladesh, coordinator of the LDC group in the WTO, described the decision as “historic,” adding that it </w:t>
      </w:r>
      <w:r>
        <w:rPr>
          <w:rStyle w:val="normaltextrun"/>
          <w:rFonts w:eastAsiaTheme="majorEastAsia" w:cs="Calibri"/>
          <w:b/>
          <w:bCs/>
          <w:color w:val="000000"/>
          <w:sz w:val="22"/>
          <w:szCs w:val="22"/>
          <w:u w:val="single"/>
          <w:shd w:val="clear" w:color="auto" w:fill="00FF00"/>
        </w:rPr>
        <w:t>“will assure the LDCs the necessary legal certainty to procure or to produce generic medicines for those who need it most but do not have any access.”</w:t>
      </w:r>
      <w:r>
        <w:rPr>
          <w:rStyle w:val="normaltextrun"/>
          <w:rFonts w:eastAsiaTheme="majorEastAsia" w:cs="Calibri"/>
          <w:color w:val="000000"/>
          <w:sz w:val="16"/>
          <w:szCs w:val="16"/>
        </w:rPr>
        <w:t> This step, responding to a request tabled by LDC members of the WTO (IP/C/W/605), comes just a month after the UN General Assembly adopted the SDGs as a framework for global action up to 2030. SDG Goal 3 on ensuring healthy lives and promoting well-being for all at all ages includes the target of providing “access to affordable essential medicines and vaccines”, and in that context recalls the affirmation in the Doha Declaration on the right of developing countries to use to the full the provisions in the TRIPS Agreement regarding flexibilities to protect public health, and</w:t>
      </w:r>
      <w:proofErr w:type="gramStart"/>
      <w:r>
        <w:rPr>
          <w:rStyle w:val="normaltextrun"/>
          <w:rFonts w:eastAsiaTheme="majorEastAsia" w:cs="Calibri"/>
          <w:color w:val="000000"/>
          <w:sz w:val="16"/>
          <w:szCs w:val="16"/>
        </w:rPr>
        <w:t>, in particular, provide</w:t>
      </w:r>
      <w:proofErr w:type="gramEnd"/>
      <w:r>
        <w:rPr>
          <w:rStyle w:val="normaltextrun"/>
          <w:rFonts w:eastAsiaTheme="majorEastAsia" w:cs="Calibri"/>
          <w:color w:val="000000"/>
          <w:sz w:val="16"/>
          <w:szCs w:val="16"/>
        </w:rPr>
        <w:t> access to medicines for all. The need to take full account of the special needs and circumstances of the LDCs is recognized expressly in the TRIPS Agreement itself, and this recognition runs through many areas of the WTO’s work. LDC members are already exempted from applying all substantive TRIPS standards until 2021, a period that may also be extended. Today’s decision is expected to be followed by a related General Council decision, on the recommendation of the TRIPS Council. The General Council is expected to extend an existing waiver for LDCs concerning exclusive marketing rights for pharmaceuticals, and to agree to a new waiver for LDCs regarding ‘mailbox’ measures for receiving patent applications in this field. These two waivers will complement and buttress the effect of the decision to exclude obligations concerning pharmaceutical </w:t>
      </w:r>
      <w:proofErr w:type="gramStart"/>
      <w:r>
        <w:rPr>
          <w:rStyle w:val="normaltextrun"/>
          <w:rFonts w:eastAsiaTheme="majorEastAsia" w:cs="Calibri"/>
          <w:color w:val="000000"/>
          <w:sz w:val="16"/>
          <w:szCs w:val="16"/>
        </w:rPr>
        <w:t>patenting, and</w:t>
      </w:r>
      <w:proofErr w:type="gramEnd"/>
      <w:r>
        <w:rPr>
          <w:rStyle w:val="normaltextrun"/>
          <w:rFonts w:eastAsiaTheme="majorEastAsia" w:cs="Calibri"/>
          <w:color w:val="000000"/>
          <w:sz w:val="16"/>
          <w:szCs w:val="16"/>
        </w:rPr>
        <w:t> will also run until 2033. Further information on TRIPS and public health is available here. Information on intellectual property in the WTO, </w:t>
      </w:r>
      <w:proofErr w:type="gramStart"/>
      <w:r>
        <w:rPr>
          <w:rStyle w:val="normaltextrun"/>
          <w:rFonts w:eastAsiaTheme="majorEastAsia" w:cs="Calibri"/>
          <w:color w:val="000000"/>
          <w:sz w:val="16"/>
          <w:szCs w:val="16"/>
        </w:rPr>
        <w:t>news</w:t>
      </w:r>
      <w:proofErr w:type="gramEnd"/>
      <w:r>
        <w:rPr>
          <w:rStyle w:val="normaltextrun"/>
          <w:rFonts w:eastAsiaTheme="majorEastAsia" w:cs="Calibri"/>
          <w:color w:val="000000"/>
          <w:sz w:val="16"/>
          <w:szCs w:val="16"/>
        </w:rPr>
        <w:t> and official records of the activities of the TRIPS Council, and details of the WTO’s work with other international organizations in the field can be accessed here.</w:t>
      </w:r>
      <w:r>
        <w:rPr>
          <w:rStyle w:val="eop"/>
          <w:color w:val="000000"/>
          <w:sz w:val="16"/>
          <w:szCs w:val="16"/>
        </w:rPr>
        <w:t> </w:t>
      </w:r>
    </w:p>
    <w:p w14:paraId="48EE830E" w14:textId="77777777" w:rsidR="007F440F" w:rsidRDefault="007F440F" w:rsidP="007F440F">
      <w:pPr>
        <w:pStyle w:val="paragraph"/>
        <w:spacing w:before="0" w:beforeAutospacing="0" w:after="0" w:afterAutospacing="0"/>
        <w:textAlignment w:val="baseline"/>
        <w:rPr>
          <w:rFonts w:ascii="Segoe UI" w:hAnsi="Segoe UI" w:cs="Segoe UI"/>
          <w:sz w:val="18"/>
          <w:szCs w:val="18"/>
        </w:rPr>
      </w:pPr>
      <w:r>
        <w:rPr>
          <w:rStyle w:val="pagebreaktextspan"/>
          <w:rFonts w:ascii="Segoe UI" w:hAnsi="Segoe UI" w:cs="Segoe UI"/>
          <w:color w:val="666666"/>
          <w:sz w:val="18"/>
          <w:szCs w:val="18"/>
          <w:shd w:val="clear" w:color="auto" w:fill="FFFFFF"/>
        </w:rPr>
        <w:t>Page Break</w:t>
      </w:r>
      <w:r>
        <w:rPr>
          <w:rStyle w:val="eop"/>
          <w:color w:val="000000"/>
          <w:szCs w:val="22"/>
        </w:rPr>
        <w:t> </w:t>
      </w:r>
    </w:p>
    <w:p w14:paraId="22E38750" w14:textId="77777777" w:rsidR="007F440F" w:rsidRDefault="007F440F" w:rsidP="007F440F">
      <w:pPr>
        <w:pStyle w:val="paragraph"/>
        <w:spacing w:before="0" w:beforeAutospacing="0" w:after="0" w:afterAutospacing="0"/>
        <w:textAlignment w:val="baseline"/>
        <w:rPr>
          <w:rStyle w:val="Heading4Char"/>
        </w:rPr>
      </w:pPr>
    </w:p>
    <w:p w14:paraId="01268AFA" w14:textId="7776C7FF" w:rsidR="007F440F" w:rsidRDefault="007F440F" w:rsidP="007F440F">
      <w:pPr>
        <w:pStyle w:val="paragraph"/>
        <w:spacing w:before="0" w:beforeAutospacing="0" w:after="0" w:afterAutospacing="0"/>
        <w:textAlignment w:val="baseline"/>
        <w:rPr>
          <w:rFonts w:ascii="Segoe UI" w:hAnsi="Segoe UI" w:cs="Segoe UI"/>
          <w:b/>
          <w:bCs/>
          <w:sz w:val="18"/>
          <w:szCs w:val="18"/>
        </w:rPr>
      </w:pPr>
      <w:r w:rsidRPr="007F440F">
        <w:rPr>
          <w:rStyle w:val="Heading4Char"/>
        </w:rPr>
        <w:t>TRIPS flexibilities can increase access to medicine and have successfully done so under existing patent protections</w:t>
      </w:r>
      <w:r>
        <w:rPr>
          <w:rStyle w:val="normaltextrun"/>
          <w:rFonts w:eastAsiaTheme="majorEastAsia" w:cs="Calibri"/>
          <w:color w:val="000000"/>
          <w:szCs w:val="26"/>
        </w:rPr>
        <w:t>. </w:t>
      </w:r>
      <w:r>
        <w:rPr>
          <w:rStyle w:val="eop"/>
          <w:b/>
          <w:bCs/>
          <w:color w:val="000000"/>
          <w:sz w:val="26"/>
          <w:szCs w:val="26"/>
        </w:rPr>
        <w:t> </w:t>
      </w:r>
    </w:p>
    <w:p w14:paraId="3EAE58F6" w14:textId="77777777" w:rsidR="007F440F" w:rsidRDefault="007F440F" w:rsidP="007F440F">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color w:val="000000"/>
          <w:szCs w:val="26"/>
        </w:rPr>
        <w:t>Quigley, 2015</w:t>
      </w:r>
      <w:r>
        <w:rPr>
          <w:rStyle w:val="normaltextrun"/>
          <w:rFonts w:eastAsiaTheme="majorEastAsia" w:cs="Calibri"/>
          <w:color w:val="000000"/>
          <w:sz w:val="22"/>
          <w:szCs w:val="22"/>
        </w:rPr>
        <w:t> [Fran Quigley, Clinical Professor at Indiana University McKinney School of Law, November 23</w:t>
      </w:r>
      <w:r>
        <w:rPr>
          <w:rStyle w:val="normaltextrun"/>
          <w:rFonts w:eastAsiaTheme="majorEastAsia" w:cs="Calibri"/>
          <w:color w:val="000000"/>
          <w:sz w:val="17"/>
          <w:szCs w:val="17"/>
          <w:vertAlign w:val="superscript"/>
        </w:rPr>
        <w:t>rd</w:t>
      </w:r>
      <w:r>
        <w:rPr>
          <w:rStyle w:val="normaltextrun"/>
          <w:rFonts w:eastAsiaTheme="majorEastAsia" w:cs="Calibri"/>
          <w:color w:val="000000"/>
          <w:sz w:val="22"/>
          <w:szCs w:val="22"/>
        </w:rPr>
        <w:t>, 2015, “making Medicines Accessible: Alternatives to the Flawed Patent System”, Health and Human Rights Journal, </w:t>
      </w:r>
      <w:hyperlink r:id="rId6" w:tgtFrame="_blank" w:history="1">
        <w:r>
          <w:rPr>
            <w:rStyle w:val="normaltextrun"/>
            <w:rFonts w:eastAsiaTheme="majorEastAsia" w:cs="Calibri"/>
            <w:color w:val="000000"/>
            <w:sz w:val="22"/>
            <w:szCs w:val="22"/>
          </w:rPr>
          <w:t>https://www.hhrjournal.org/2015/11/making-medicines-accessible-alternatives-to-the-flawed-patent-system-2/</w:t>
        </w:r>
      </w:hyperlink>
      <w:r>
        <w:rPr>
          <w:rStyle w:val="normaltextrun"/>
          <w:rFonts w:eastAsiaTheme="majorEastAsia" w:cs="Calibri"/>
          <w:color w:val="000000"/>
          <w:sz w:val="22"/>
          <w:szCs w:val="22"/>
        </w:rPr>
        <w:t> ] /</w:t>
      </w:r>
      <w:proofErr w:type="spellStart"/>
      <w:r>
        <w:rPr>
          <w:rStyle w:val="spellingerror"/>
          <w:rFonts w:ascii="Calibri" w:hAnsi="Calibri" w:cs="Calibri"/>
          <w:color w:val="000000"/>
          <w:sz w:val="22"/>
          <w:szCs w:val="22"/>
        </w:rPr>
        <w:t>TriumphDebate</w:t>
      </w:r>
      <w:proofErr w:type="spellEnd"/>
      <w:r>
        <w:rPr>
          <w:rStyle w:val="eop"/>
          <w:color w:val="000000"/>
          <w:szCs w:val="22"/>
        </w:rPr>
        <w:t> </w:t>
      </w:r>
    </w:p>
    <w:p w14:paraId="41979B6D" w14:textId="77777777" w:rsidR="007F440F" w:rsidRDefault="007F440F" w:rsidP="007F440F">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color w:val="000000"/>
          <w:sz w:val="16"/>
          <w:szCs w:val="16"/>
        </w:rPr>
        <w:t>The TRIPS agreement represented an historic advancement of the patent paradigm. </w:t>
      </w:r>
      <w:r>
        <w:rPr>
          <w:rStyle w:val="normaltextrun"/>
          <w:rFonts w:eastAsiaTheme="majorEastAsia" w:cs="Calibri"/>
          <w:b/>
          <w:bCs/>
          <w:color w:val="000000"/>
          <w:sz w:val="22"/>
          <w:szCs w:val="22"/>
          <w:u w:val="single"/>
        </w:rPr>
        <w:t>Monopoly protection for medicines became the law in many nations that had previously treated medicines as a public good off-limits from private profiteering</w:t>
      </w:r>
      <w:r>
        <w:rPr>
          <w:rStyle w:val="normaltextrun"/>
          <w:rFonts w:eastAsiaTheme="majorEastAsia" w:cs="Calibri"/>
          <w:color w:val="000000"/>
          <w:sz w:val="16"/>
          <w:szCs w:val="16"/>
        </w:rPr>
        <w:t>.15 But TRIPS did include several substantial exemptions from patent protection, exemptions that came to be known as “flexibilities”. </w:t>
      </w:r>
      <w:r>
        <w:rPr>
          <w:rStyle w:val="normaltextrun"/>
          <w:rFonts w:eastAsiaTheme="majorEastAsia" w:cs="Calibri"/>
          <w:b/>
          <w:bCs/>
          <w:color w:val="000000"/>
          <w:sz w:val="22"/>
          <w:szCs w:val="22"/>
          <w:u w:val="single"/>
          <w:shd w:val="clear" w:color="auto" w:fill="00FF00"/>
        </w:rPr>
        <w:t>TRIPS flexibilities allow for a detour around patent-erected barriers that otherwise block access to many critical medicines, yet full embrace of these flexibilities would not change existing international intellectual property law.</w:t>
      </w:r>
      <w:r>
        <w:rPr>
          <w:rStyle w:val="normaltextrun"/>
          <w:rFonts w:eastAsiaTheme="majorEastAsia" w:cs="Calibri"/>
          <w:b/>
          <w:bCs/>
          <w:color w:val="000000"/>
          <w:sz w:val="22"/>
          <w:szCs w:val="22"/>
          <w:u w:val="single"/>
        </w:rPr>
        <w:t> The central TRIPS flexibility is found in Article 31 of the agreement, which allows governments to issue compulsory licenses for patented drugs</w:t>
      </w:r>
      <w:r>
        <w:rPr>
          <w:rStyle w:val="normaltextrun"/>
          <w:rFonts w:eastAsiaTheme="majorEastAsia" w:cs="Calibri"/>
          <w:color w:val="000000"/>
          <w:sz w:val="16"/>
          <w:szCs w:val="16"/>
        </w:rPr>
        <w:t>.16 Compulsory licenses permit the manufacture and sale of generic medicines, presumably at prices far lower than the patented versions, with remuneration paid to the patent holder. </w:t>
      </w:r>
      <w:r>
        <w:rPr>
          <w:rStyle w:val="normaltextrun"/>
          <w:rFonts w:eastAsiaTheme="majorEastAsia" w:cs="Calibri"/>
          <w:b/>
          <w:bCs/>
          <w:color w:val="000000"/>
          <w:sz w:val="22"/>
          <w:szCs w:val="22"/>
          <w:u w:val="single"/>
          <w:shd w:val="clear" w:color="auto" w:fill="00FF00"/>
        </w:rPr>
        <w:t>TRIPS also allows governments to engage in parallel importation of generic medicine manufactured elsewhere</w:t>
      </w:r>
      <w:r>
        <w:rPr>
          <w:rStyle w:val="normaltextrun"/>
          <w:rFonts w:eastAsiaTheme="majorEastAsia" w:cs="Calibri"/>
          <w:color w:val="000000"/>
          <w:sz w:val="16"/>
          <w:szCs w:val="16"/>
        </w:rPr>
        <w:t>.17 </w:t>
      </w:r>
      <w:r>
        <w:rPr>
          <w:rStyle w:val="normaltextrun"/>
          <w:rFonts w:eastAsiaTheme="majorEastAsia" w:cs="Calibri"/>
          <w:b/>
          <w:bCs/>
          <w:color w:val="000000"/>
          <w:sz w:val="22"/>
          <w:szCs w:val="22"/>
          <w:u w:val="single"/>
        </w:rPr>
        <w:t>The 2001 WTO Doha Declaration underscored the availability and importance of these flexibilities for use in responding to public health needs.18 </w:t>
      </w:r>
      <w:r>
        <w:rPr>
          <w:rStyle w:val="normaltextrun"/>
          <w:rFonts w:eastAsiaTheme="majorEastAsia" w:cs="Calibri"/>
          <w:b/>
          <w:bCs/>
          <w:color w:val="000000"/>
          <w:sz w:val="22"/>
          <w:szCs w:val="22"/>
          <w:u w:val="single"/>
          <w:shd w:val="clear" w:color="auto" w:fill="00FF00"/>
        </w:rPr>
        <w:t>TRIPS flexibilities have been employed to significantly increase access to medicines in India, Colombia, Indonesia, and over 50 other nations that have produced or procured generic HIV/AIDs medications</w:t>
      </w:r>
      <w:r>
        <w:rPr>
          <w:rStyle w:val="normaltextrun"/>
          <w:rFonts w:eastAsiaTheme="majorEastAsia" w:cs="Calibri"/>
          <w:b/>
          <w:bCs/>
          <w:color w:val="000000"/>
          <w:sz w:val="22"/>
          <w:szCs w:val="22"/>
          <w:u w:val="single"/>
        </w:rPr>
        <w:t>.</w:t>
      </w:r>
      <w:r>
        <w:rPr>
          <w:rStyle w:val="normaltextrun"/>
          <w:rFonts w:eastAsiaTheme="majorEastAsia" w:cs="Calibri"/>
          <w:color w:val="000000"/>
          <w:sz w:val="16"/>
          <w:szCs w:val="16"/>
        </w:rPr>
        <w:t>19 </w:t>
      </w:r>
      <w:r>
        <w:rPr>
          <w:rStyle w:val="normaltextrun"/>
          <w:rFonts w:eastAsiaTheme="majorEastAsia" w:cs="Calibri"/>
          <w:b/>
          <w:bCs/>
          <w:color w:val="000000"/>
          <w:sz w:val="22"/>
          <w:szCs w:val="22"/>
          <w:u w:val="single"/>
        </w:rPr>
        <w:t>However, since TRIPS and Doha, the US Trade Representative and the pharmaceutical industry have pushed for bilateral and multilateral trade agreements, known as “TRIPS-Plus Agreements,” that narrow the availability of these non-patent options</w:t>
      </w:r>
      <w:r>
        <w:rPr>
          <w:rStyle w:val="normaltextrun"/>
          <w:rFonts w:eastAsiaTheme="majorEastAsia" w:cs="Calibri"/>
          <w:color w:val="000000"/>
          <w:sz w:val="16"/>
          <w:szCs w:val="16"/>
        </w:rPr>
        <w:t>.20 Many access to medicine advocates consider TRIPS flexibilities to be significantly under-utilized in low and middle-income countries. For example, the Fix the Patent Laws campaign in South Africa urges expanded use of TRIPS flexibilities.21 </w:t>
      </w:r>
      <w:r>
        <w:rPr>
          <w:rStyle w:val="normaltextrun"/>
          <w:rFonts w:eastAsiaTheme="majorEastAsia" w:cs="Calibri"/>
          <w:b/>
          <w:bCs/>
          <w:color w:val="000000"/>
          <w:sz w:val="22"/>
          <w:szCs w:val="22"/>
          <w:u w:val="single"/>
          <w:shd w:val="clear" w:color="auto" w:fill="00FF00"/>
        </w:rPr>
        <w:t>Thus, the featured reform in this category would be a significantly broader embrace of the patent exemptions already available under international law.</w:t>
      </w:r>
    </w:p>
    <w:p w14:paraId="374853CE" w14:textId="77777777" w:rsidR="007F440F" w:rsidRPr="00E24E17" w:rsidRDefault="007F440F" w:rsidP="00986A8A">
      <w:pPr>
        <w:rPr>
          <w:rStyle w:val="StyleUnderline"/>
        </w:rPr>
      </w:pPr>
    </w:p>
    <w:p w14:paraId="7F1BCEEF" w14:textId="6333B762" w:rsidR="00E24E17" w:rsidRDefault="00861CCF" w:rsidP="00861CCF">
      <w:pPr>
        <w:pStyle w:val="Heading4"/>
      </w:pPr>
      <w:r>
        <w:t xml:space="preserve">The </w:t>
      </w:r>
      <w:proofErr w:type="spellStart"/>
      <w:r>
        <w:t>Aff</w:t>
      </w:r>
      <w:proofErr w:type="spellEnd"/>
      <w:r>
        <w:t xml:space="preserve"> is wrong about Data </w:t>
      </w:r>
      <w:proofErr w:type="spellStart"/>
      <w:r>
        <w:t>Exlusivity</w:t>
      </w:r>
      <w:proofErr w:type="spellEnd"/>
      <w:r>
        <w:t xml:space="preserve"> </w:t>
      </w:r>
    </w:p>
    <w:p w14:paraId="520F258F" w14:textId="1FAA13F6" w:rsidR="00236EB8" w:rsidRPr="00E33F6E" w:rsidRDefault="00E33F6E" w:rsidP="00E33F6E">
      <w:pPr>
        <w:spacing w:before="100" w:beforeAutospacing="1" w:after="100" w:afterAutospacing="1" w:line="240" w:lineRule="auto"/>
        <w:ind w:left="567" w:hanging="567"/>
        <w:rPr>
          <w:rFonts w:ascii="Times New Roman" w:eastAsia="Times New Roman" w:hAnsi="Times New Roman" w:cs="Times New Roman"/>
          <w:sz w:val="24"/>
          <w:szCs w:val="24"/>
        </w:rPr>
      </w:pPr>
      <w:r w:rsidRPr="00E33F6E">
        <w:rPr>
          <w:rFonts w:ascii="Times New Roman" w:eastAsia="Times New Roman" w:hAnsi="Times New Roman" w:cs="Times New Roman"/>
          <w:sz w:val="24"/>
          <w:szCs w:val="24"/>
        </w:rPr>
        <w:t xml:space="preserve">“Data Exclusivity Is Not the Same as Market Exclusivity.” </w:t>
      </w:r>
      <w:proofErr w:type="spellStart"/>
      <w:r w:rsidRPr="00E33F6E">
        <w:rPr>
          <w:rFonts w:ascii="Times New Roman" w:eastAsia="Times New Roman" w:hAnsi="Times New Roman" w:cs="Times New Roman"/>
          <w:i/>
          <w:iCs/>
          <w:sz w:val="24"/>
          <w:szCs w:val="24"/>
        </w:rPr>
        <w:t>GaBi</w:t>
      </w:r>
      <w:proofErr w:type="spellEnd"/>
      <w:r w:rsidRPr="00E33F6E">
        <w:rPr>
          <w:rFonts w:ascii="Times New Roman" w:eastAsia="Times New Roman" w:hAnsi="Times New Roman" w:cs="Times New Roman"/>
          <w:i/>
          <w:iCs/>
          <w:sz w:val="24"/>
          <w:szCs w:val="24"/>
        </w:rPr>
        <w:t xml:space="preserve"> Online</w:t>
      </w:r>
      <w:r w:rsidRPr="00E33F6E">
        <w:rPr>
          <w:rFonts w:ascii="Times New Roman" w:eastAsia="Times New Roman" w:hAnsi="Times New Roman" w:cs="Times New Roman"/>
          <w:sz w:val="24"/>
          <w:szCs w:val="24"/>
        </w:rPr>
        <w:t xml:space="preserve">, www.gabionline.net/policies-legislation/Data-exclusivity-is-not-the-same-as-market-exclusivity. </w:t>
      </w:r>
    </w:p>
    <w:p w14:paraId="16FE869E" w14:textId="37BDED4F" w:rsidR="006C2434" w:rsidRPr="004D4B72" w:rsidRDefault="00E24E17" w:rsidP="006C2434">
      <w:pPr>
        <w:rPr>
          <w:rStyle w:val="Style13ptBold"/>
          <w:sz w:val="12"/>
        </w:rPr>
      </w:pPr>
      <w:r w:rsidRPr="004D4B72">
        <w:rPr>
          <w:rFonts w:ascii="Lora" w:hAnsi="Lora"/>
          <w:color w:val="383838"/>
          <w:sz w:val="12"/>
          <w:szCs w:val="26"/>
        </w:rPr>
        <w:t>According to him</w:t>
      </w:r>
      <w:r w:rsidRPr="00E33890">
        <w:rPr>
          <w:rStyle w:val="StyleUnderline"/>
          <w:highlight w:val="green"/>
        </w:rPr>
        <w:t>, data exclusivity is not the same as market exclusivity</w:t>
      </w:r>
      <w:r w:rsidRPr="00E33890">
        <w:rPr>
          <w:rFonts w:ascii="Lora" w:hAnsi="Lora"/>
          <w:color w:val="383838"/>
          <w:sz w:val="12"/>
          <w:szCs w:val="26"/>
          <w:highlight w:val="green"/>
        </w:rPr>
        <w:t>.</w:t>
      </w:r>
      <w:r w:rsidRPr="004D4B72">
        <w:rPr>
          <w:rFonts w:ascii="Lora" w:hAnsi="Lora"/>
          <w:color w:val="383838"/>
          <w:sz w:val="12"/>
          <w:szCs w:val="26"/>
        </w:rPr>
        <w:t xml:space="preserve"> “During a period of data exclusivity, a competitor would be unable to piggyback on the massive investment in R &amp; D made by an innovator to receive approval from the FDA for their ‘copy-cat’ product. Simply put, during the period of exclusivity the FDA may not rely on an innovator’s safety and efficacy data to approve a competitor’s product. </w:t>
      </w:r>
      <w:r w:rsidRPr="00E33890">
        <w:rPr>
          <w:rStyle w:val="StyleUnderline"/>
          <w:highlight w:val="green"/>
        </w:rPr>
        <w:t>Market exclusivity is</w:t>
      </w:r>
      <w:r w:rsidRPr="001046B0">
        <w:rPr>
          <w:rStyle w:val="StyleUnderline"/>
        </w:rPr>
        <w:t xml:space="preserve"> an altogether different thing – it is the inability of any competitor to enter a specific market. Market exclusivity for biological products would mean that there could be, for example, just one drug to treat </w:t>
      </w:r>
      <w:proofErr w:type="spellStart"/>
      <w:r w:rsidRPr="001046B0">
        <w:rPr>
          <w:rStyle w:val="StyleUnderline"/>
        </w:rPr>
        <w:t>leukaemia</w:t>
      </w:r>
      <w:proofErr w:type="spellEnd"/>
      <w:r w:rsidRPr="001046B0">
        <w:rPr>
          <w:rStyle w:val="StyleUnderline"/>
        </w:rPr>
        <w:t>, one drug to treat diabetes, one drug to treat MS. “This is not the case”, he stresses. “</w:t>
      </w:r>
      <w:r w:rsidRPr="00F2478A">
        <w:rPr>
          <w:rStyle w:val="StyleUnderline"/>
          <w:highlight w:val="green"/>
        </w:rPr>
        <w:t xml:space="preserve">At any moment, hundreds of biotech companies are racing to develop the next wonder drug for any one of these diseases. That situation will not change because of data exclusivity periods. </w:t>
      </w:r>
      <w:r w:rsidRPr="00F2478A">
        <w:rPr>
          <w:rStyle w:val="Emphasis"/>
          <w:highlight w:val="green"/>
        </w:rPr>
        <w:t>There will continue to be competition among innovative biological products regardless of a data exclusivity period</w:t>
      </w:r>
      <w:r w:rsidRPr="004D4B72">
        <w:rPr>
          <w:rFonts w:ascii="Lora" w:hAnsi="Lora"/>
          <w:color w:val="383838"/>
          <w:sz w:val="12"/>
          <w:szCs w:val="26"/>
        </w:rPr>
        <w:t xml:space="preserve"> enacted as part of biosimilars legislation”.</w:t>
      </w:r>
      <w:r w:rsidR="00425BCB" w:rsidRPr="004D4B72">
        <w:rPr>
          <w:rFonts w:ascii="Lora" w:hAnsi="Lora"/>
          <w:color w:val="383838"/>
          <w:sz w:val="12"/>
          <w:szCs w:val="26"/>
        </w:rPr>
        <w:t xml:space="preserve"> </w:t>
      </w:r>
      <w:r w:rsidRPr="004D4B72">
        <w:rPr>
          <w:rFonts w:ascii="Lora" w:hAnsi="Lora"/>
          <w:color w:val="383838"/>
          <w:sz w:val="12"/>
          <w:szCs w:val="26"/>
        </w:rPr>
        <w:t xml:space="preserve">According to </w:t>
      </w:r>
      <w:proofErr w:type="spellStart"/>
      <w:r w:rsidRPr="004D4B72">
        <w:rPr>
          <w:rFonts w:ascii="Lora" w:hAnsi="Lora"/>
          <w:color w:val="383838"/>
          <w:sz w:val="12"/>
          <w:szCs w:val="26"/>
        </w:rPr>
        <w:t>Mr</w:t>
      </w:r>
      <w:proofErr w:type="spellEnd"/>
      <w:r w:rsidRPr="004D4B72">
        <w:rPr>
          <w:rFonts w:ascii="Lora" w:hAnsi="Lora"/>
          <w:color w:val="383838"/>
          <w:sz w:val="12"/>
          <w:szCs w:val="26"/>
        </w:rPr>
        <w:t xml:space="preserve"> Quinn, providing innovators with </w:t>
      </w:r>
      <w:r w:rsidRPr="00F2478A">
        <w:rPr>
          <w:rStyle w:val="StyleUnderline"/>
          <w:highlight w:val="green"/>
        </w:rPr>
        <w:t>data exclusivity enables them to recoup the investments they made into developing new products and testing product safety and efficacy. “This allows them to continue to invest in new breakthrough medicines, therapies and cures for diseases such as cancer, HIV/Aids and ALS</w:t>
      </w:r>
      <w:r w:rsidRPr="005E7D7E">
        <w:rPr>
          <w:rStyle w:val="StyleUnderline"/>
        </w:rPr>
        <w:t>. Competitors are free at any time to conduct their own costly research and development, including clinical trials, and create their own biologicals”, he argues.</w:t>
      </w:r>
      <w:r w:rsidR="00425BCB" w:rsidRPr="005E7D7E">
        <w:rPr>
          <w:rStyle w:val="StyleUnderline"/>
        </w:rPr>
        <w:t xml:space="preserve"> </w:t>
      </w:r>
      <w:r w:rsidRPr="005E7D7E">
        <w:rPr>
          <w:rStyle w:val="StyleUnderline"/>
        </w:rPr>
        <w:t xml:space="preserve">Furthermore, </w:t>
      </w:r>
      <w:proofErr w:type="spellStart"/>
      <w:r w:rsidRPr="005E7D7E">
        <w:rPr>
          <w:rStyle w:val="StyleUnderline"/>
        </w:rPr>
        <w:t>Mr</w:t>
      </w:r>
      <w:proofErr w:type="spellEnd"/>
      <w:r w:rsidRPr="005E7D7E">
        <w:rPr>
          <w:rStyle w:val="StyleUnderline"/>
        </w:rPr>
        <w:t xml:space="preserve"> Quinn states that </w:t>
      </w:r>
      <w:r w:rsidRPr="00F2478A">
        <w:rPr>
          <w:rStyle w:val="StyleUnderline"/>
          <w:highlight w:val="green"/>
        </w:rPr>
        <w:t>it is fiction that 12 years of data exclusivity would extend innovators’ monopoly power. “Data exclusivity does not give it any sort of monopoly”,</w:t>
      </w:r>
      <w:r w:rsidRPr="005E7D7E">
        <w:rPr>
          <w:rStyle w:val="StyleUnderline"/>
        </w:rPr>
        <w:t xml:space="preserve"> he writes. “You would be hard pressed to find a term that is used more and understood less than the term ‘monopoly’</w:t>
      </w:r>
      <w:r w:rsidRPr="004D4B72">
        <w:rPr>
          <w:rFonts w:ascii="Lora" w:hAnsi="Lora"/>
          <w:color w:val="383838"/>
          <w:sz w:val="12"/>
          <w:szCs w:val="26"/>
        </w:rPr>
        <w:t xml:space="preserve">. “Patents don’t give monopolies, and neither would data exclusivity. </w:t>
      </w:r>
      <w:r w:rsidRPr="005E7D7E">
        <w:rPr>
          <w:rStyle w:val="StyleUnderline"/>
        </w:rPr>
        <w:t xml:space="preserve">If patents gave </w:t>
      </w:r>
      <w:proofErr w:type="gramStart"/>
      <w:r w:rsidRPr="005E7D7E">
        <w:rPr>
          <w:rStyle w:val="StyleUnderline"/>
        </w:rPr>
        <w:t>monopolies</w:t>
      </w:r>
      <w:proofErr w:type="gramEnd"/>
      <w:r w:rsidRPr="005E7D7E">
        <w:rPr>
          <w:rStyle w:val="StyleUnderline"/>
        </w:rPr>
        <w:t xml:space="preserve"> then how is it possible that anyone other than Apple could sell a portable MP3 player? Apple has the iPod and iPhone locked up tight, but not so tight that other companies are prohibited from selling similar products. Look at all the iPhone </w:t>
      </w:r>
      <w:proofErr w:type="spellStart"/>
      <w:r w:rsidRPr="005E7D7E">
        <w:rPr>
          <w:rStyle w:val="StyleUnderline"/>
        </w:rPr>
        <w:t>wanna-bes</w:t>
      </w:r>
      <w:proofErr w:type="spellEnd"/>
      <w:r w:rsidRPr="005E7D7E">
        <w:rPr>
          <w:rStyle w:val="StyleUnderline"/>
        </w:rPr>
        <w:t xml:space="preserve"> that are on the market now.</w:t>
      </w:r>
      <w:r w:rsidRPr="004D4B72">
        <w:rPr>
          <w:rFonts w:ascii="Lora" w:hAnsi="Lora"/>
          <w:color w:val="383838"/>
          <w:sz w:val="12"/>
          <w:szCs w:val="26"/>
        </w:rPr>
        <w:t xml:space="preserve"> Seriously! You </w:t>
      </w:r>
      <w:proofErr w:type="gramStart"/>
      <w:r w:rsidRPr="004D4B72">
        <w:rPr>
          <w:rFonts w:ascii="Lora" w:hAnsi="Lora"/>
          <w:color w:val="383838"/>
          <w:sz w:val="12"/>
          <w:szCs w:val="26"/>
        </w:rPr>
        <w:t>have to</w:t>
      </w:r>
      <w:proofErr w:type="gramEnd"/>
      <w:r w:rsidRPr="004D4B72">
        <w:rPr>
          <w:rFonts w:ascii="Lora" w:hAnsi="Lora"/>
          <w:color w:val="383838"/>
          <w:sz w:val="12"/>
          <w:szCs w:val="26"/>
        </w:rPr>
        <w:t xml:space="preserve"> stop thinking that patents grant monopolies. What they do is make it difficult for others to copy an innovation, but </w:t>
      </w:r>
      <w:r w:rsidRPr="004D4B72">
        <w:rPr>
          <w:rStyle w:val="StyleUnderline"/>
        </w:rPr>
        <w:t>if you can make something that does the same thing that isn’t a copy, then patent law does not prevent that”.</w:t>
      </w:r>
      <w:r w:rsidR="00425BCB" w:rsidRPr="004D4B72">
        <w:rPr>
          <w:rFonts w:ascii="Lora" w:hAnsi="Lora"/>
          <w:color w:val="383838"/>
          <w:sz w:val="12"/>
          <w:szCs w:val="26"/>
        </w:rPr>
        <w:t xml:space="preserve"> </w:t>
      </w:r>
      <w:r w:rsidRPr="004D4B72">
        <w:rPr>
          <w:rFonts w:ascii="Lora" w:hAnsi="Lora"/>
          <w:color w:val="383838"/>
          <w:sz w:val="12"/>
          <w:szCs w:val="26"/>
        </w:rPr>
        <w:t>He explains that similarly, products that compete with innovative biologicals can still be introduced during the period of data exclusivity. A period of data exclusivity merely means that those who do not innovate cannot piggyback off the hard work of innovators and rely on the research conducted by the innovator company. They must conduct their own safety and efficacy research and testing to obtain FDA approval and, obviously, not infringe the patents owned by the innovator. “</w:t>
      </w:r>
      <w:proofErr w:type="gramStart"/>
      <w:r w:rsidRPr="004D4B72">
        <w:rPr>
          <w:rFonts w:ascii="Lora" w:hAnsi="Lora"/>
          <w:color w:val="383838"/>
          <w:sz w:val="12"/>
          <w:szCs w:val="26"/>
        </w:rPr>
        <w:t>So</w:t>
      </w:r>
      <w:proofErr w:type="gramEnd"/>
      <w:r w:rsidRPr="004D4B72">
        <w:rPr>
          <w:rFonts w:ascii="Lora" w:hAnsi="Lora"/>
          <w:color w:val="383838"/>
          <w:sz w:val="12"/>
          <w:szCs w:val="26"/>
        </w:rPr>
        <w:t xml:space="preserve"> can we please stop using the world ‘monopoly’? No matter how many times it is used it will never accurately describe the protections provided. If you doubt that do a patent search and you will see in every industry numerous </w:t>
      </w:r>
      <w:proofErr w:type="gramStart"/>
      <w:r w:rsidRPr="004D4B72">
        <w:rPr>
          <w:rFonts w:ascii="Lora" w:hAnsi="Lora"/>
          <w:color w:val="383838"/>
          <w:sz w:val="12"/>
          <w:szCs w:val="26"/>
        </w:rPr>
        <w:t>patents</w:t>
      </w:r>
      <w:proofErr w:type="gramEnd"/>
      <w:r w:rsidRPr="004D4B72">
        <w:rPr>
          <w:rFonts w:ascii="Lora" w:hAnsi="Lora"/>
          <w:color w:val="383838"/>
          <w:sz w:val="12"/>
          <w:szCs w:val="26"/>
        </w:rPr>
        <w:t xml:space="preserve"> that all purport to cover similar things. How else, for example, could Microsoft and Apple both have patent portfolios? How else could Motorola and Nokia have patent portfolios? How else could AMD and IBM have patent portfolios? And so on” </w:t>
      </w:r>
      <w:proofErr w:type="spellStart"/>
      <w:r w:rsidRPr="004D4B72">
        <w:rPr>
          <w:rFonts w:ascii="Lora" w:hAnsi="Lora"/>
          <w:color w:val="383838"/>
          <w:sz w:val="12"/>
          <w:szCs w:val="26"/>
        </w:rPr>
        <w:t>Mr</w:t>
      </w:r>
      <w:proofErr w:type="spellEnd"/>
      <w:r w:rsidRPr="004D4B72">
        <w:rPr>
          <w:rFonts w:ascii="Lora" w:hAnsi="Lora"/>
          <w:color w:val="383838"/>
          <w:sz w:val="12"/>
          <w:szCs w:val="26"/>
        </w:rPr>
        <w:t xml:space="preserve"> Quinn states. (see also</w:t>
      </w:r>
      <w:r w:rsidR="00425BCB" w:rsidRPr="004D4B72">
        <w:rPr>
          <w:rFonts w:ascii="Lora" w:hAnsi="Lora"/>
          <w:color w:val="383838"/>
          <w:sz w:val="12"/>
          <w:szCs w:val="26"/>
        </w:rPr>
        <w:t xml:space="preserve"> </w:t>
      </w:r>
      <w:hyperlink r:id="rId7" w:tgtFrame="_blank" w:history="1">
        <w:r w:rsidRPr="004D4B72">
          <w:rPr>
            <w:rStyle w:val="Hyperlink"/>
            <w:rFonts w:ascii="Lora" w:hAnsi="Lora"/>
            <w:color w:val="FC6300"/>
            <w:sz w:val="12"/>
            <w:szCs w:val="26"/>
          </w:rPr>
          <w:t>Minimal 12 years of biologicals data exclusivity required</w:t>
        </w:r>
      </w:hyperlink>
      <w:r w:rsidRPr="004D4B72">
        <w:rPr>
          <w:rFonts w:ascii="Lora" w:hAnsi="Lora"/>
          <w:color w:val="383838"/>
          <w:sz w:val="12"/>
          <w:szCs w:val="26"/>
        </w:rPr>
        <w:t>,</w:t>
      </w:r>
      <w:r w:rsidR="00425BCB" w:rsidRPr="004D4B72">
        <w:rPr>
          <w:rFonts w:ascii="Lora" w:hAnsi="Lora"/>
          <w:color w:val="383838"/>
          <w:sz w:val="12"/>
          <w:szCs w:val="26"/>
        </w:rPr>
        <w:t xml:space="preserve"> </w:t>
      </w:r>
      <w:hyperlink r:id="rId8" w:tgtFrame="_blank" w:history="1">
        <w:r w:rsidRPr="004D4B72">
          <w:rPr>
            <w:rStyle w:val="Hyperlink"/>
            <w:rFonts w:ascii="Lora" w:hAnsi="Lora"/>
            <w:color w:val="FC6300"/>
            <w:sz w:val="12"/>
            <w:szCs w:val="26"/>
          </w:rPr>
          <w:t xml:space="preserve">12 years exclusivity workable for patients; not </w:t>
        </w:r>
        <w:r w:rsidRPr="004D4B72">
          <w:rPr>
            <w:rStyle w:val="Hyperlink"/>
            <w:rFonts w:ascii="Lora" w:hAnsi="Lora"/>
            <w:color w:val="FC6300"/>
            <w:sz w:val="12"/>
            <w:szCs w:val="26"/>
          </w:rPr>
          <w:t>anticompetitive</w:t>
        </w:r>
      </w:hyperlink>
      <w:r w:rsidR="00425BCB" w:rsidRPr="004D4B72">
        <w:rPr>
          <w:rFonts w:ascii="Lora" w:hAnsi="Lora"/>
          <w:color w:val="383838"/>
          <w:sz w:val="12"/>
          <w:szCs w:val="26"/>
        </w:rPr>
        <w:t xml:space="preserve"> </w:t>
      </w:r>
      <w:r w:rsidRPr="004D4B72">
        <w:rPr>
          <w:rFonts w:ascii="Lora" w:hAnsi="Lora"/>
          <w:color w:val="383838"/>
          <w:sz w:val="12"/>
          <w:szCs w:val="26"/>
        </w:rPr>
        <w:t>and</w:t>
      </w:r>
      <w:r w:rsidR="00425BCB" w:rsidRPr="004D4B72">
        <w:rPr>
          <w:rFonts w:ascii="Lora" w:hAnsi="Lora"/>
          <w:color w:val="383838"/>
          <w:sz w:val="12"/>
          <w:szCs w:val="26"/>
        </w:rPr>
        <w:t xml:space="preserve"> </w:t>
      </w:r>
      <w:hyperlink r:id="rId9" w:tgtFrame="_blank" w:history="1">
        <w:r w:rsidRPr="004D4B72">
          <w:rPr>
            <w:rStyle w:val="Hyperlink"/>
            <w:rFonts w:ascii="Lora" w:hAnsi="Lora"/>
            <w:color w:val="FC6300"/>
            <w:sz w:val="12"/>
            <w:szCs w:val="26"/>
          </w:rPr>
          <w:t>Innovative biologicals development must be preserved</w:t>
        </w:r>
      </w:hyperlink>
      <w:r w:rsidRPr="004D4B72">
        <w:rPr>
          <w:rFonts w:ascii="Lora" w:hAnsi="Lora"/>
          <w:color w:val="383838"/>
          <w:sz w:val="12"/>
          <w:szCs w:val="26"/>
        </w:rPr>
        <w:t>)</w:t>
      </w:r>
      <w:r w:rsidR="00425BCB" w:rsidRPr="004D4B72">
        <w:rPr>
          <w:rFonts w:ascii="Lora" w:hAnsi="Lora"/>
          <w:color w:val="383838"/>
          <w:sz w:val="12"/>
          <w:szCs w:val="26"/>
        </w:rPr>
        <w:t xml:space="preserve"> </w:t>
      </w:r>
    </w:p>
    <w:sectPr w:rsidR="006C2434" w:rsidRPr="004D4B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Lora">
    <w:charset w:val="00"/>
    <w:family w:val="auto"/>
    <w:pitch w:val="variable"/>
    <w:sig w:usb0="A00002F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A0F7A"/>
    <w:multiLevelType w:val="hybridMultilevel"/>
    <w:tmpl w:val="D0C6C426"/>
    <w:lvl w:ilvl="0" w:tplc="4C34EA4A">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DE3B79"/>
    <w:multiLevelType w:val="hybridMultilevel"/>
    <w:tmpl w:val="7012E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EC1C58"/>
    <w:multiLevelType w:val="hybridMultilevel"/>
    <w:tmpl w:val="7556C4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9E0998A">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011FFF"/>
    <w:multiLevelType w:val="hybridMultilevel"/>
    <w:tmpl w:val="49B61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B26"/>
    <w:rsid w:val="00020CB7"/>
    <w:rsid w:val="000C7716"/>
    <w:rsid w:val="001046B0"/>
    <w:rsid w:val="00151B26"/>
    <w:rsid w:val="001F1858"/>
    <w:rsid w:val="00236EB8"/>
    <w:rsid w:val="002A7002"/>
    <w:rsid w:val="00314672"/>
    <w:rsid w:val="003C2A44"/>
    <w:rsid w:val="00402AEE"/>
    <w:rsid w:val="00425BCB"/>
    <w:rsid w:val="004502EA"/>
    <w:rsid w:val="004D4B72"/>
    <w:rsid w:val="00555A65"/>
    <w:rsid w:val="005E17D7"/>
    <w:rsid w:val="005E7D7E"/>
    <w:rsid w:val="00612273"/>
    <w:rsid w:val="00625373"/>
    <w:rsid w:val="00677984"/>
    <w:rsid w:val="006C2434"/>
    <w:rsid w:val="0073758E"/>
    <w:rsid w:val="007F440F"/>
    <w:rsid w:val="00861CCF"/>
    <w:rsid w:val="008F5E90"/>
    <w:rsid w:val="00986A8A"/>
    <w:rsid w:val="00AA2397"/>
    <w:rsid w:val="00CC01D0"/>
    <w:rsid w:val="00CC05C6"/>
    <w:rsid w:val="00CD1AED"/>
    <w:rsid w:val="00E1101E"/>
    <w:rsid w:val="00E24E17"/>
    <w:rsid w:val="00E33890"/>
    <w:rsid w:val="00E33F6E"/>
    <w:rsid w:val="00E5256E"/>
    <w:rsid w:val="00E8519C"/>
    <w:rsid w:val="00F24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0D022"/>
  <w15:docId w15:val="{8B06E3B0-146D-4F3B-BB6E-7F174A4F4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1B26"/>
    <w:rPr>
      <w:rFonts w:ascii="Calibri" w:hAnsi="Calibri" w:cs="Calibri"/>
    </w:rPr>
  </w:style>
  <w:style w:type="paragraph" w:styleId="Heading1">
    <w:name w:val="heading 1"/>
    <w:aliases w:val="Pocket"/>
    <w:basedOn w:val="Normal"/>
    <w:next w:val="Normal"/>
    <w:link w:val="Heading1Char"/>
    <w:qFormat/>
    <w:rsid w:val="00151B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1B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51B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51B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1B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1B26"/>
  </w:style>
  <w:style w:type="character" w:customStyle="1" w:styleId="Heading1Char">
    <w:name w:val="Heading 1 Char"/>
    <w:aliases w:val="Pocket Char"/>
    <w:basedOn w:val="DefaultParagraphFont"/>
    <w:link w:val="Heading1"/>
    <w:rsid w:val="00151B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1B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51B2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51B2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151B2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1B2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6"/>
    <w:qFormat/>
    <w:rsid w:val="00151B26"/>
    <w:rPr>
      <w:b w:val="0"/>
      <w:sz w:val="22"/>
      <w:u w:val="single"/>
    </w:rPr>
  </w:style>
  <w:style w:type="character" w:styleId="Hyperlink">
    <w:name w:val="Hyperlink"/>
    <w:aliases w:val="No Spacing Char,Card Char,Debate Text Char,No Spacing11 Char,No Spacing31 Char,No Spacing22 Char,No Spacing111 Char,No Spacing3 Char,No Spacing2 Char,Read stuff Char,tag Char,No Spacing1121 Char,Dont use Char,No Spacing41 Char,No Spacing1 Char"/>
    <w:basedOn w:val="DefaultParagraphFont"/>
    <w:link w:val="NoSpacing"/>
    <w:uiPriority w:val="99"/>
    <w:unhideWhenUsed/>
    <w:rsid w:val="00151B26"/>
    <w:rPr>
      <w:color w:val="auto"/>
      <w:u w:val="none"/>
    </w:rPr>
  </w:style>
  <w:style w:type="character" w:styleId="FollowedHyperlink">
    <w:name w:val="FollowedHyperlink"/>
    <w:basedOn w:val="DefaultParagraphFont"/>
    <w:uiPriority w:val="99"/>
    <w:semiHidden/>
    <w:unhideWhenUsed/>
    <w:rsid w:val="00151B26"/>
    <w:rPr>
      <w:color w:val="auto"/>
      <w:u w:val="none"/>
    </w:rPr>
  </w:style>
  <w:style w:type="paragraph" w:styleId="ListParagraph">
    <w:name w:val="List Paragraph"/>
    <w:basedOn w:val="Normal"/>
    <w:uiPriority w:val="34"/>
    <w:qFormat/>
    <w:rsid w:val="00612273"/>
    <w:pPr>
      <w:ind w:left="720"/>
      <w:contextualSpacing/>
    </w:pPr>
  </w:style>
  <w:style w:type="paragraph" w:styleId="NormalWeb">
    <w:name w:val="Normal (Web)"/>
    <w:basedOn w:val="Normal"/>
    <w:uiPriority w:val="99"/>
    <w:unhideWhenUsed/>
    <w:rsid w:val="00986A8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Card,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402AE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402AEE"/>
    <w:pPr>
      <w:widowControl w:val="0"/>
      <w:pBdr>
        <w:top w:val="single" w:sz="18" w:space="0" w:color="auto"/>
        <w:left w:val="single" w:sz="18" w:space="0" w:color="auto"/>
        <w:bottom w:val="single" w:sz="18" w:space="0" w:color="auto"/>
        <w:right w:val="single" w:sz="18" w:space="0" w:color="auto"/>
      </w:pBdr>
      <w:spacing w:line="252" w:lineRule="auto"/>
      <w:ind w:left="720"/>
      <w:jc w:val="both"/>
    </w:pPr>
    <w:rPr>
      <w:rFonts w:ascii="Calibri" w:hAnsi="Calibri" w:cs="Calibri"/>
      <w:b/>
      <w:iCs/>
      <w:u w:val="single"/>
    </w:rPr>
  </w:style>
  <w:style w:type="paragraph" w:styleId="Title">
    <w:name w:val="Title"/>
    <w:basedOn w:val="Normal"/>
    <w:link w:val="TitleChar"/>
    <w:uiPriority w:val="6"/>
    <w:qFormat/>
    <w:rsid w:val="002A7002"/>
    <w:pPr>
      <w:spacing w:before="240" w:after="60" w:line="240"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6"/>
    <w:qFormat/>
    <w:rsid w:val="002A7002"/>
    <w:rPr>
      <w:u w:val="single"/>
    </w:rPr>
  </w:style>
  <w:style w:type="paragraph" w:customStyle="1" w:styleId="paragraph">
    <w:name w:val="paragraph"/>
    <w:basedOn w:val="Normal"/>
    <w:rsid w:val="007F44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F440F"/>
  </w:style>
  <w:style w:type="character" w:customStyle="1" w:styleId="eop">
    <w:name w:val="eop"/>
    <w:basedOn w:val="DefaultParagraphFont"/>
    <w:rsid w:val="007F440F"/>
  </w:style>
  <w:style w:type="character" w:customStyle="1" w:styleId="spellingerror">
    <w:name w:val="spellingerror"/>
    <w:basedOn w:val="DefaultParagraphFont"/>
    <w:rsid w:val="007F440F"/>
  </w:style>
  <w:style w:type="character" w:customStyle="1" w:styleId="pagebreaktextspan">
    <w:name w:val="pagebreaktextspan"/>
    <w:basedOn w:val="DefaultParagraphFont"/>
    <w:rsid w:val="007F4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2024">
      <w:bodyDiv w:val="1"/>
      <w:marLeft w:val="0"/>
      <w:marRight w:val="0"/>
      <w:marTop w:val="0"/>
      <w:marBottom w:val="0"/>
      <w:divBdr>
        <w:top w:val="none" w:sz="0" w:space="0" w:color="auto"/>
        <w:left w:val="none" w:sz="0" w:space="0" w:color="auto"/>
        <w:bottom w:val="none" w:sz="0" w:space="0" w:color="auto"/>
        <w:right w:val="none" w:sz="0" w:space="0" w:color="auto"/>
      </w:divBdr>
    </w:div>
    <w:div w:id="320280353">
      <w:bodyDiv w:val="1"/>
      <w:marLeft w:val="0"/>
      <w:marRight w:val="0"/>
      <w:marTop w:val="0"/>
      <w:marBottom w:val="0"/>
      <w:divBdr>
        <w:top w:val="none" w:sz="0" w:space="0" w:color="auto"/>
        <w:left w:val="none" w:sz="0" w:space="0" w:color="auto"/>
        <w:bottom w:val="none" w:sz="0" w:space="0" w:color="auto"/>
        <w:right w:val="none" w:sz="0" w:space="0" w:color="auto"/>
      </w:divBdr>
    </w:div>
    <w:div w:id="456025673">
      <w:bodyDiv w:val="1"/>
      <w:marLeft w:val="0"/>
      <w:marRight w:val="0"/>
      <w:marTop w:val="0"/>
      <w:marBottom w:val="0"/>
      <w:divBdr>
        <w:top w:val="none" w:sz="0" w:space="0" w:color="auto"/>
        <w:left w:val="none" w:sz="0" w:space="0" w:color="auto"/>
        <w:bottom w:val="none" w:sz="0" w:space="0" w:color="auto"/>
        <w:right w:val="none" w:sz="0" w:space="0" w:color="auto"/>
      </w:divBdr>
      <w:divsChild>
        <w:div w:id="819463427">
          <w:marLeft w:val="0"/>
          <w:marRight w:val="0"/>
          <w:marTop w:val="0"/>
          <w:marBottom w:val="0"/>
          <w:divBdr>
            <w:top w:val="none" w:sz="0" w:space="0" w:color="auto"/>
            <w:left w:val="none" w:sz="0" w:space="0" w:color="auto"/>
            <w:bottom w:val="none" w:sz="0" w:space="0" w:color="auto"/>
            <w:right w:val="none" w:sz="0" w:space="0" w:color="auto"/>
          </w:divBdr>
        </w:div>
        <w:div w:id="1222863704">
          <w:marLeft w:val="0"/>
          <w:marRight w:val="0"/>
          <w:marTop w:val="0"/>
          <w:marBottom w:val="0"/>
          <w:divBdr>
            <w:top w:val="none" w:sz="0" w:space="0" w:color="auto"/>
            <w:left w:val="none" w:sz="0" w:space="0" w:color="auto"/>
            <w:bottom w:val="none" w:sz="0" w:space="0" w:color="auto"/>
            <w:right w:val="none" w:sz="0" w:space="0" w:color="auto"/>
          </w:divBdr>
        </w:div>
        <w:div w:id="702554460">
          <w:marLeft w:val="0"/>
          <w:marRight w:val="0"/>
          <w:marTop w:val="0"/>
          <w:marBottom w:val="0"/>
          <w:divBdr>
            <w:top w:val="none" w:sz="0" w:space="0" w:color="auto"/>
            <w:left w:val="none" w:sz="0" w:space="0" w:color="auto"/>
            <w:bottom w:val="none" w:sz="0" w:space="0" w:color="auto"/>
            <w:right w:val="none" w:sz="0" w:space="0" w:color="auto"/>
          </w:divBdr>
        </w:div>
        <w:div w:id="1318730192">
          <w:marLeft w:val="0"/>
          <w:marRight w:val="0"/>
          <w:marTop w:val="0"/>
          <w:marBottom w:val="0"/>
          <w:divBdr>
            <w:top w:val="none" w:sz="0" w:space="0" w:color="auto"/>
            <w:left w:val="none" w:sz="0" w:space="0" w:color="auto"/>
            <w:bottom w:val="none" w:sz="0" w:space="0" w:color="auto"/>
            <w:right w:val="none" w:sz="0" w:space="0" w:color="auto"/>
          </w:divBdr>
        </w:div>
        <w:div w:id="180556444">
          <w:marLeft w:val="0"/>
          <w:marRight w:val="0"/>
          <w:marTop w:val="0"/>
          <w:marBottom w:val="0"/>
          <w:divBdr>
            <w:top w:val="none" w:sz="0" w:space="0" w:color="auto"/>
            <w:left w:val="none" w:sz="0" w:space="0" w:color="auto"/>
            <w:bottom w:val="none" w:sz="0" w:space="0" w:color="auto"/>
            <w:right w:val="none" w:sz="0" w:space="0" w:color="auto"/>
          </w:divBdr>
        </w:div>
        <w:div w:id="1944803474">
          <w:marLeft w:val="0"/>
          <w:marRight w:val="0"/>
          <w:marTop w:val="0"/>
          <w:marBottom w:val="0"/>
          <w:divBdr>
            <w:top w:val="none" w:sz="0" w:space="0" w:color="auto"/>
            <w:left w:val="none" w:sz="0" w:space="0" w:color="auto"/>
            <w:bottom w:val="none" w:sz="0" w:space="0" w:color="auto"/>
            <w:right w:val="none" w:sz="0" w:space="0" w:color="auto"/>
          </w:divBdr>
        </w:div>
        <w:div w:id="2097820776">
          <w:marLeft w:val="0"/>
          <w:marRight w:val="0"/>
          <w:marTop w:val="0"/>
          <w:marBottom w:val="0"/>
          <w:divBdr>
            <w:top w:val="none" w:sz="0" w:space="0" w:color="auto"/>
            <w:left w:val="none" w:sz="0" w:space="0" w:color="auto"/>
            <w:bottom w:val="none" w:sz="0" w:space="0" w:color="auto"/>
            <w:right w:val="none" w:sz="0" w:space="0" w:color="auto"/>
          </w:divBdr>
        </w:div>
      </w:divsChild>
    </w:div>
    <w:div w:id="685786010">
      <w:bodyDiv w:val="1"/>
      <w:marLeft w:val="0"/>
      <w:marRight w:val="0"/>
      <w:marTop w:val="0"/>
      <w:marBottom w:val="0"/>
      <w:divBdr>
        <w:top w:val="none" w:sz="0" w:space="0" w:color="auto"/>
        <w:left w:val="none" w:sz="0" w:space="0" w:color="auto"/>
        <w:bottom w:val="none" w:sz="0" w:space="0" w:color="auto"/>
        <w:right w:val="none" w:sz="0" w:space="0" w:color="auto"/>
      </w:divBdr>
    </w:div>
    <w:div w:id="1203636426">
      <w:bodyDiv w:val="1"/>
      <w:marLeft w:val="0"/>
      <w:marRight w:val="0"/>
      <w:marTop w:val="0"/>
      <w:marBottom w:val="0"/>
      <w:divBdr>
        <w:top w:val="none" w:sz="0" w:space="0" w:color="auto"/>
        <w:left w:val="none" w:sz="0" w:space="0" w:color="auto"/>
        <w:bottom w:val="none" w:sz="0" w:space="0" w:color="auto"/>
        <w:right w:val="none" w:sz="0" w:space="0" w:color="auto"/>
      </w:divBdr>
    </w:div>
    <w:div w:id="1518890559">
      <w:bodyDiv w:val="1"/>
      <w:marLeft w:val="0"/>
      <w:marRight w:val="0"/>
      <w:marTop w:val="0"/>
      <w:marBottom w:val="0"/>
      <w:divBdr>
        <w:top w:val="none" w:sz="0" w:space="0" w:color="auto"/>
        <w:left w:val="none" w:sz="0" w:space="0" w:color="auto"/>
        <w:bottom w:val="none" w:sz="0" w:space="0" w:color="auto"/>
        <w:right w:val="none" w:sz="0" w:space="0" w:color="auto"/>
      </w:divBdr>
      <w:divsChild>
        <w:div w:id="1639801936">
          <w:marLeft w:val="0"/>
          <w:marRight w:val="0"/>
          <w:marTop w:val="300"/>
          <w:marBottom w:val="0"/>
          <w:divBdr>
            <w:top w:val="none" w:sz="0" w:space="0" w:color="auto"/>
            <w:left w:val="none" w:sz="0" w:space="0" w:color="auto"/>
            <w:bottom w:val="none" w:sz="0" w:space="0" w:color="auto"/>
            <w:right w:val="none" w:sz="0" w:space="0" w:color="auto"/>
          </w:divBdr>
        </w:div>
        <w:div w:id="157235733">
          <w:marLeft w:val="0"/>
          <w:marRight w:val="0"/>
          <w:marTop w:val="300"/>
          <w:marBottom w:val="0"/>
          <w:divBdr>
            <w:top w:val="none" w:sz="0" w:space="0" w:color="auto"/>
            <w:left w:val="none" w:sz="0" w:space="0" w:color="auto"/>
            <w:bottom w:val="none" w:sz="0" w:space="0" w:color="auto"/>
            <w:right w:val="none" w:sz="0" w:space="0" w:color="auto"/>
          </w:divBdr>
        </w:div>
      </w:divsChild>
    </w:div>
    <w:div w:id="1746027981">
      <w:bodyDiv w:val="1"/>
      <w:marLeft w:val="0"/>
      <w:marRight w:val="0"/>
      <w:marTop w:val="0"/>
      <w:marBottom w:val="0"/>
      <w:divBdr>
        <w:top w:val="none" w:sz="0" w:space="0" w:color="auto"/>
        <w:left w:val="none" w:sz="0" w:space="0" w:color="auto"/>
        <w:bottom w:val="none" w:sz="0" w:space="0" w:color="auto"/>
        <w:right w:val="none" w:sz="0" w:space="0" w:color="auto"/>
      </w:divBdr>
    </w:div>
    <w:div w:id="2077318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abionline.net/Generics/General/12-years-exclusivity-workable-for-patients-not-anticompetitive" TargetMode="External"/><Relationship Id="rId3" Type="http://schemas.openxmlformats.org/officeDocument/2006/relationships/settings" Target="settings.xml"/><Relationship Id="rId7" Type="http://schemas.openxmlformats.org/officeDocument/2006/relationships/hyperlink" Target="http://www.gabionline.net/Biosimilars/News/Minimal-12-years-of-biologicals-data-exclusivity-requir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hrjournal.org/2015/11/making-medicines-accessible-alternatives-to-the-flawed-patent-system-2/" TargetMode="External"/><Relationship Id="rId11" Type="http://schemas.openxmlformats.org/officeDocument/2006/relationships/theme" Target="theme/theme1.xml"/><Relationship Id="rId5" Type="http://schemas.openxmlformats.org/officeDocument/2006/relationships/hyperlink" Target="https://www.wto.org/english/news_e/news15_e/trip_06nov15_e.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abionline.net/Pharma-News/Innovative-biologicals-development-must-be-preserv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a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7196</Words>
  <Characters>41021</Characters>
  <Application>Microsoft Office Word</Application>
  <DocSecurity>0</DocSecurity>
  <Lines>341</Lines>
  <Paragraphs>96</Paragraphs>
  <ScaleCrop>false</ScaleCrop>
  <Company/>
  <LinksUpToDate>false</LinksUpToDate>
  <CharactersWithSpaces>48121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Ananya B</dc:creator>
  <cp:keywords/>
  <dc:description/>
  <cp:lastModifiedBy>Ananya B</cp:lastModifiedBy>
  <cp:revision>2</cp:revision>
  <dcterms:created xsi:type="dcterms:W3CDTF">2021-09-18T20:26:00Z</dcterms:created>
  <dcterms:modified xsi:type="dcterms:W3CDTF">2021-09-18T20:26:00Z</dcterms:modified>
</cp:coreProperties>
</file>