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11267" w14:textId="10F37EDA" w:rsidR="001F6D4D" w:rsidRDefault="001F6D4D" w:rsidP="001F6D4D">
      <w:pPr>
        <w:pStyle w:val="Heading3"/>
      </w:pPr>
      <w:r>
        <w:t>1</w:t>
      </w:r>
    </w:p>
    <w:p w14:paraId="74BE70B9" w14:textId="76FB3140" w:rsidR="001F6D4D" w:rsidRDefault="00521241" w:rsidP="00521241">
      <w:pPr>
        <w:pStyle w:val="Heading3"/>
      </w:pPr>
      <w:r>
        <w:t>Case</w:t>
      </w:r>
    </w:p>
    <w:p w14:paraId="3A010971" w14:textId="77777777" w:rsidR="00521241" w:rsidRDefault="00521241" w:rsidP="00521241">
      <w:pPr>
        <w:pStyle w:val="Heading3"/>
      </w:pPr>
      <w:r>
        <w:t>ADV</w:t>
      </w:r>
    </w:p>
    <w:p w14:paraId="54D3F922" w14:textId="77777777" w:rsidR="00521241" w:rsidRDefault="00521241" w:rsidP="00521241"/>
    <w:p w14:paraId="63097952" w14:textId="77777777" w:rsidR="00521241" w:rsidRPr="006A3FD4" w:rsidRDefault="00521241" w:rsidP="00521241">
      <w:pPr>
        <w:shd w:val="clear" w:color="auto" w:fill="FEFEFE"/>
        <w:spacing w:before="300" w:after="0" w:line="240" w:lineRule="auto"/>
        <w:rPr>
          <w:rFonts w:ascii="Times New Roman" w:eastAsia="Times New Roman" w:hAnsi="Times New Roman" w:cs="Times New Roman"/>
          <w:sz w:val="24"/>
        </w:rPr>
      </w:pPr>
      <w:r>
        <w:rPr>
          <w:rFonts w:eastAsia="Times New Roman"/>
          <w:b/>
          <w:bCs/>
          <w:color w:val="333333"/>
          <w:sz w:val="26"/>
          <w:szCs w:val="26"/>
          <w:shd w:val="clear" w:color="auto" w:fill="FEFEFE"/>
        </w:rPr>
        <w:t>P</w:t>
      </w:r>
      <w:r w:rsidRPr="006A3FD4">
        <w:rPr>
          <w:rFonts w:eastAsia="Times New Roman"/>
          <w:b/>
          <w:bCs/>
          <w:color w:val="333333"/>
          <w:sz w:val="26"/>
          <w:szCs w:val="26"/>
          <w:shd w:val="clear" w:color="auto" w:fill="FEFEFE"/>
        </w:rPr>
        <w:t xml:space="preserve">harma </w:t>
      </w:r>
      <w:r>
        <w:rPr>
          <w:rFonts w:eastAsia="Times New Roman"/>
          <w:b/>
          <w:bCs/>
          <w:color w:val="333333"/>
          <w:sz w:val="26"/>
          <w:szCs w:val="26"/>
          <w:shd w:val="clear" w:color="auto" w:fill="FEFEFE"/>
        </w:rPr>
        <w:t>innovation is doing great now – answers all your warrants</w:t>
      </w:r>
      <w:r w:rsidRPr="006A3FD4">
        <w:rPr>
          <w:rFonts w:eastAsia="Times New Roman"/>
          <w:b/>
          <w:bCs/>
          <w:color w:val="333333"/>
          <w:sz w:val="26"/>
          <w:szCs w:val="26"/>
          <w:shd w:val="clear" w:color="auto" w:fill="FEFEFE"/>
        </w:rPr>
        <w:t>.</w:t>
      </w:r>
    </w:p>
    <w:p w14:paraId="7D80352C" w14:textId="77777777" w:rsidR="00521241" w:rsidRPr="003C67B2" w:rsidRDefault="00521241" w:rsidP="00521241">
      <w:r w:rsidRPr="003C67B2">
        <w:t>Lisa Jarvis, 1-17-2020, (Based in Chicago, Lisa has been covering the biotech and pharmaceutical industries at C&amp;EN since 2006. She writes feature articles that weave together the business and science of developing drugs, while also serving as pharmaceuticals editor for the magazine. She has a particular interest in rare diseases, innovative models for drug discovery, and emerging technologies.)</w:t>
      </w:r>
      <w:r>
        <w:t xml:space="preserve"> </w:t>
      </w:r>
      <w:r w:rsidRPr="003C67B2">
        <w:t xml:space="preserve">"The new drugs of 2019," Chemical &amp;amp; Engineering News, </w:t>
      </w:r>
      <w:hyperlink r:id="rId11" w:history="1">
        <w:r w:rsidRPr="003C67B2">
          <w:rPr>
            <w:rStyle w:val="Hyperlink"/>
          </w:rPr>
          <w:t>https://cen.acs.org/pharmaceuticals/drug-development/new-drugs-2019/98/i3</w:t>
        </w:r>
      </w:hyperlink>
      <w:r w:rsidRPr="003C67B2">
        <w:t xml:space="preserve"> //Jay</w:t>
      </w:r>
    </w:p>
    <w:p w14:paraId="3A84D8E3" w14:textId="77777777" w:rsidR="00521241" w:rsidRPr="0002543D" w:rsidRDefault="00521241" w:rsidP="00521241">
      <w:pPr>
        <w:shd w:val="clear" w:color="auto" w:fill="FEFEFE"/>
        <w:spacing w:after="0" w:line="240" w:lineRule="auto"/>
        <w:rPr>
          <w:rFonts w:eastAsia="Times New Roman"/>
          <w:color w:val="333333"/>
          <w:sz w:val="14"/>
          <w:szCs w:val="14"/>
          <w:shd w:val="clear" w:color="auto" w:fill="FEFEFE"/>
        </w:rPr>
      </w:pPr>
    </w:p>
    <w:p w14:paraId="158158B4" w14:textId="77777777" w:rsidR="00521241" w:rsidRPr="005F2A53" w:rsidRDefault="00521241" w:rsidP="00521241">
      <w:pPr>
        <w:rPr>
          <w:sz w:val="12"/>
        </w:rPr>
      </w:pPr>
      <w:r w:rsidRPr="005F2A53">
        <w:rPr>
          <w:sz w:val="12"/>
        </w:rPr>
        <w:t xml:space="preserve">Although pharmaceutical companies last year were unable to top the record-shattering </w:t>
      </w:r>
      <w:hyperlink r:id="rId12"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modalities </w:t>
      </w:r>
      <w:r w:rsidRPr="005F2A53">
        <w:rPr>
          <w:rStyle w:val="StyleUnderline"/>
          <w:highlight w:val="green"/>
        </w:rPr>
        <w:t>and many new treatments</w:t>
      </w:r>
      <w:r w:rsidRPr="005F2A53">
        <w:rPr>
          <w:rStyle w:val="StyleUnderline"/>
        </w:rPr>
        <w:t xml:space="preserve"> </w:t>
      </w:r>
      <w:r w:rsidRPr="005F2A53">
        <w:rPr>
          <w:rStyle w:val="StyleUnderline"/>
          <w:highlight w:val="green"/>
        </w:rPr>
        <w:t>for</w:t>
      </w:r>
      <w:r w:rsidRPr="005F2A53">
        <w:rPr>
          <w:rStyle w:val="StyleUnderline"/>
        </w:rPr>
        <w:t xml:space="preserve"> long-</w:t>
      </w:r>
      <w:r w:rsidRPr="005F2A53">
        <w:rPr>
          <w:rStyle w:val="StyleUnderline"/>
          <w:highlight w:val="green"/>
        </w:rPr>
        <w:t>neglected diseases</w:t>
      </w:r>
      <w:r w:rsidRPr="005F2A53">
        <w:rPr>
          <w:sz w:val="12"/>
        </w:rPr>
        <w:t xml:space="preserve">. Taken together, </w:t>
      </w:r>
      <w:r w:rsidRPr="005F2A53">
        <w:rPr>
          <w:sz w:val="12"/>
          <w:highlight w:val="green"/>
        </w:rPr>
        <w:t>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most productive period in</w:t>
      </w:r>
      <w:r w:rsidRPr="005F2A53">
        <w:rPr>
          <w:rStyle w:val="Emphasis"/>
        </w:rPr>
        <w:t xml:space="preserve"> more than 2 </w:t>
      </w:r>
      <w:r w:rsidRPr="005F2A53">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new </w:t>
      </w:r>
      <w:r w:rsidRPr="005F2A53">
        <w:rPr>
          <w:rStyle w:val="StyleUnderline"/>
          <w:highlight w:val="green"/>
        </w:rPr>
        <w:t>drugs for</w:t>
      </w:r>
      <w:r w:rsidRPr="005F2A53">
        <w:rPr>
          <w:rStyle w:val="StyleUnderline"/>
        </w:rPr>
        <w:t xml:space="preserve"> </w:t>
      </w:r>
      <w:r w:rsidRPr="005F2A53">
        <w:rPr>
          <w:rStyle w:val="StyleUnderline"/>
          <w:highlight w:val="green"/>
        </w:rPr>
        <w:t>sickle cell</w:t>
      </w:r>
      <w:r w:rsidRPr="005F2A53">
        <w:rPr>
          <w:rStyle w:val="StyleUnderline"/>
        </w:rPr>
        <w:t xml:space="preserve"> anemia </w:t>
      </w:r>
      <w:r w:rsidRPr="005F2A53">
        <w:rPr>
          <w:sz w:val="12"/>
        </w:rPr>
        <w:t xml:space="preserve">(Global Blood Therapeutics’ Oxbryta and Novartis’s Adakveo), </w:t>
      </w:r>
      <w:r w:rsidRPr="005F2A53">
        <w:rPr>
          <w:rStyle w:val="StyleUnderline"/>
        </w:rPr>
        <w:t xml:space="preserve">an </w:t>
      </w:r>
      <w:r w:rsidRPr="005F2A53">
        <w:rPr>
          <w:rStyle w:val="StyleUnderline"/>
          <w:highlight w:val="green"/>
        </w:rPr>
        <w:t xml:space="preserve">antibiotic for </w:t>
      </w:r>
      <w:r w:rsidRPr="005F2A53">
        <w:rPr>
          <w:rStyle w:val="StyleUnderline"/>
        </w:rPr>
        <w:t>treatment</w:t>
      </w:r>
      <w:r w:rsidRPr="005F2A53">
        <w:rPr>
          <w:rStyle w:val="StyleUnderline"/>
          <w:highlight w:val="green"/>
        </w:rPr>
        <w:t>-resistant tuberculosis</w:t>
      </w:r>
      <w:r w:rsidRPr="005F2A53">
        <w:rPr>
          <w:rStyle w:val="StyleUnderline"/>
        </w:rPr>
        <w:t xml:space="preserve"> </w:t>
      </w:r>
      <w:r w:rsidRPr="005F2A53">
        <w:rPr>
          <w:sz w:val="12"/>
        </w:rPr>
        <w:t xml:space="preserve">(Global Alliance for TB Drug Development’s pretomanid), </w:t>
      </w:r>
      <w:r w:rsidRPr="005F2A53">
        <w:rPr>
          <w:rStyle w:val="StyleUnderline"/>
        </w:rPr>
        <w:t>and a therapy for women experiencing postpartum depression</w:t>
      </w:r>
      <w:r w:rsidRPr="005F2A53">
        <w:rPr>
          <w:sz w:val="12"/>
        </w:rPr>
        <w:t xml:space="preserve"> (Sage Therapeutics’ Zulresso). “The quality of the </w:t>
      </w:r>
      <w:r w:rsidRPr="005F2A53">
        <w:rPr>
          <w:rStyle w:val="StyleUnderline"/>
        </w:rPr>
        <w:t>drugs over the last decade or so has steadily improved since the depths of the innovation crisis 10–12 years ago,”</w:t>
      </w:r>
      <w:r w:rsidRPr="005F2A53">
        <w:rPr>
          <w:sz w:val="12"/>
        </w:rPr>
        <w:t xml:space="preserve"> says Bernard Munos, a senior fellow at FasterCures, a drug research think tank. “We’re seeing stuff that frankly would have looked like science fiction back then.” Those futuristic new therapies include </w:t>
      </w:r>
      <w:hyperlink r:id="rId13" w:history="1">
        <w:r w:rsidRPr="005F2A53">
          <w:rPr>
            <w:rStyle w:val="Hyperlink"/>
            <w:sz w:val="12"/>
          </w:rPr>
          <w:t>Novartis’s Zolgensma</w:t>
        </w:r>
      </w:hyperlink>
      <w:r w:rsidRPr="005F2A53">
        <w:rPr>
          <w:sz w:val="12"/>
        </w:rPr>
        <w:t xml:space="preserve">, a gene therapy for spinal muscular atrophy; Alnylam Pharmaceuticals’ Givlaari,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5F2A53">
        <w:rPr>
          <w:rStyle w:val="StyleUnderline"/>
          <w:highlight w:val="green"/>
        </w:rPr>
        <w:t>Ebola</w:t>
      </w:r>
      <w:r w:rsidRPr="005F2A53">
        <w:rPr>
          <w:rStyle w:val="StyleUnderline"/>
        </w:rPr>
        <w:t xml:space="preserve">, </w:t>
      </w:r>
      <w:r w:rsidRPr="005F2A53">
        <w:rPr>
          <w:rStyle w:val="StyleUnderline"/>
          <w:highlight w:val="green"/>
        </w:rPr>
        <w:t>smallpox</w:t>
      </w:r>
      <w:r w:rsidRPr="005F2A53">
        <w:rPr>
          <w:rStyle w:val="StyleUnderline"/>
        </w:rPr>
        <w:t xml:space="preserve">, and </w:t>
      </w:r>
      <w:r w:rsidRPr="005F2A53">
        <w:rPr>
          <w:rStyle w:val="StyleUnderline"/>
          <w:highlight w:val="green"/>
        </w:rPr>
        <w:t>dengue</w:t>
      </w:r>
      <w:r w:rsidRPr="005F2A53">
        <w:rPr>
          <w:rStyle w:val="StyleUnderline"/>
        </w:rPr>
        <w:t xml:space="preserve"> fever.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new-approvals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Spravato,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14"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1E34BBDF" w14:textId="77777777" w:rsidR="00521241" w:rsidRDefault="00521241" w:rsidP="00521241">
      <w:pPr>
        <w:pStyle w:val="Heading4"/>
        <w:rPr>
          <w:rStyle w:val="Style13ptBold"/>
          <w:b/>
          <w:bCs w:val="0"/>
        </w:rPr>
      </w:pPr>
      <w:r>
        <w:rPr>
          <w:rStyle w:val="Style13ptBold"/>
          <w:b/>
          <w:bCs w:val="0"/>
        </w:rPr>
        <w:t xml:space="preserve">Reducing IP protections </w:t>
      </w:r>
      <w:r>
        <w:rPr>
          <w:rStyle w:val="Style13ptBold"/>
          <w:b/>
          <w:bCs w:val="0"/>
          <w:u w:val="single"/>
        </w:rPr>
        <w:t>chills</w:t>
      </w:r>
      <w:r>
        <w:rPr>
          <w:rStyle w:val="Style13ptBold"/>
          <w:b/>
          <w:bCs w:val="0"/>
        </w:rPr>
        <w:t xml:space="preserve"> future investment – even </w:t>
      </w:r>
      <w:r>
        <w:rPr>
          <w:rStyle w:val="Style13ptBold"/>
          <w:b/>
          <w:bCs w:val="0"/>
          <w:u w:val="single"/>
        </w:rPr>
        <w:t>the perception</w:t>
      </w:r>
      <w:r>
        <w:rPr>
          <w:rStyle w:val="Style13ptBold"/>
          <w:b/>
          <w:bCs w:val="0"/>
        </w:rPr>
        <w:t xml:space="preserve"> of wavering commitment </w:t>
      </w:r>
      <w:r>
        <w:rPr>
          <w:rStyle w:val="Style13ptBold"/>
          <w:b/>
          <w:bCs w:val="0"/>
          <w:u w:val="single"/>
        </w:rPr>
        <w:t>scares off</w:t>
      </w:r>
      <w:r>
        <w:rPr>
          <w:rStyle w:val="Style13ptBold"/>
          <w:b/>
          <w:bCs w:val="0"/>
        </w:rPr>
        <w:t xml:space="preserve"> companies.</w:t>
      </w:r>
    </w:p>
    <w:p w14:paraId="6818229D" w14:textId="77777777" w:rsidR="00521241" w:rsidRPr="00B32E50" w:rsidRDefault="00521241" w:rsidP="00521241">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5"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00F4E19E" w14:textId="77777777" w:rsidR="00521241" w:rsidRPr="00B32E50" w:rsidRDefault="00521241" w:rsidP="00521241">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4D80122F" w14:textId="77777777" w:rsidR="00521241" w:rsidRPr="00DB2DD0" w:rsidRDefault="00521241" w:rsidP="00521241">
      <w:pPr>
        <w:rPr>
          <w:rStyle w:val="Style13ptBold"/>
        </w:rPr>
      </w:pPr>
      <w:r w:rsidRPr="00DB2DD0">
        <w:rPr>
          <w:rStyle w:val="Style13ptBold"/>
        </w:rPr>
        <w:t>Park et al 21</w:t>
      </w:r>
    </w:p>
    <w:p w14:paraId="45468039" w14:textId="77777777" w:rsidR="00521241" w:rsidRPr="001206FB" w:rsidRDefault="00521241" w:rsidP="00521241">
      <w:pPr>
        <w:rPr>
          <w:sz w:val="12"/>
          <w:szCs w:val="12"/>
        </w:rPr>
      </w:pPr>
      <w:r w:rsidRPr="001206FB">
        <w:rPr>
          <w:sz w:val="12"/>
          <w:szCs w:val="12"/>
        </w:rPr>
        <w:t xml:space="preserve">Deok Bum Park, Bo-Eun Ahn, Hosun Son, Young-Ran Lee, Yu-Ri Kim, Su Kyoung Jo, Jeong-Hoon Chun, Jae-Yon Yu, Myung-Min Choi &amp; Gi-eun Rhie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3CB1E645" w14:textId="77777777" w:rsidR="00521241" w:rsidRPr="00A3026A" w:rsidRDefault="00521241" w:rsidP="00521241">
      <w:pPr>
        <w:rPr>
          <w:sz w:val="8"/>
        </w:rPr>
      </w:pPr>
      <w:r w:rsidRPr="0045088E">
        <w:rPr>
          <w:rStyle w:val="StyleUnderline"/>
        </w:rPr>
        <w:t>Anthrax and smallpox are high-risk infectious diseases, and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w:t>
      </w:r>
      <w:r w:rsidRPr="004D3BB1">
        <w:rPr>
          <w:rStyle w:val="StyleUnderline"/>
          <w:bCs/>
          <w:highlight w:val="green"/>
        </w:rPr>
        <w:t>both 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component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Variolar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cells, and has been suggested as an effective vaccine adjuvant [8, 9]</w:t>
      </w:r>
      <w:r w:rsidRPr="005578B3">
        <w:rPr>
          <w:sz w:val="8"/>
        </w:rPr>
        <w:t xml:space="preserve">. </w:t>
      </w:r>
      <w:r w:rsidRPr="005578B3">
        <w:rPr>
          <w:sz w:val="2"/>
          <w:szCs w:val="2"/>
        </w:rPr>
        <w:t xml:space="preserve">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ADP-ribosyltransferase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(thPA).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(thPA), IL-15 (hIL15), or CTA1 (hCTA1) were cloned into pVVT1-EGFP-C7L. The GeneBank sequence ID for PA, IL-15, and CTA1 are AAA22637.1, NP_000576.1, and CAA24995.1, respectively. The expected molecular weight of integrated thPA, IL-15, and CTA1 are 81 kDa (757 aa), 18 kDa (162 aa), and 29 kDa (258 aa), respectively. Viral vector constructs are integrated into KVAC103 genome by homologous recombination at TK gene site Full size image Protein expression of PA and CTA1 in the dual vaccine candidate viruses were confirmed by immunoblot assay (Fig. 2)a.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a The expression of PA and CTA1 was detected by immunoblot assay in cell lysates. Vero cells were infected with KVAC-thPA-C7L and KVAC-CTA1-C7L for 48 h, and 50 μg of cell lysates from the infected cells were analyzed. The molecular weights from a size marker are indicated on the left. b The expression level of IL-15 was detected by ELISA. The IL-15 expression levels of infected Vero cells with KVAC103 derivatives were determined by the IL-15 ELISA kit (Biolegend). The bars on the graph indicates means of IL-15 expression levels from duplicated results in the same experiments, and the error bars stand for the standard error of the mean (***P &lt; 0.001). NS, not significant. One-way ANOVA was applied for analysis Full size image In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a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s.c.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observed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Cs/>
        </w:rPr>
        <w:t>, it is confirmed that</w:t>
      </w:r>
      <w:r w:rsidRPr="000166D8">
        <w:rPr>
          <w:rStyle w:val="Emphasis"/>
        </w:rPr>
        <w:t xml:space="preserve"> </w:t>
      </w:r>
      <w:r w:rsidRPr="00E703DD">
        <w:rPr>
          <w:rStyle w:val="Emphasis"/>
          <w:highlight w:val="green"/>
        </w:rPr>
        <w:t>KVAC103</w:t>
      </w:r>
      <w:r w:rsidRPr="000166D8">
        <w:rPr>
          <w:rStyle w:val="Emphasis"/>
        </w:rPr>
        <w:t xml:space="preserve"> also </w:t>
      </w:r>
      <w:r w:rsidRPr="00E703DD">
        <w:rPr>
          <w:rStyle w:val="Emphasis"/>
          <w:highlight w:val="green"/>
        </w:rPr>
        <w:t>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 xml:space="preserve">The </w:t>
      </w:r>
      <w:r w:rsidRPr="00E703DD">
        <w:rPr>
          <w:rStyle w:val="Emphasis"/>
        </w:rPr>
        <w:t>attenuated vaccinia virus strain</w:t>
      </w:r>
      <w:r w:rsidRPr="00E703DD">
        <w:rPr>
          <w:rStyle w:val="StyleUnderline"/>
        </w:rPr>
        <w:t xml:space="preserve"> KVAC103 and the viral vector pVVT1-EGFP-C7L were provided by Korea National Institute of Health (KNIH). This vector contains the vaccine virus C7L gene which encodes interferon antagonist, and this is one of the 26 genes defective in KVAC103 compared to its ancestor strain. </w:t>
      </w:r>
      <w:r w:rsidRPr="00E703DD">
        <w:rPr>
          <w:rStyle w:val="Emphasis"/>
        </w:rPr>
        <w:t>This gene is required for enhanced viral reproduction</w:t>
      </w:r>
      <w:r w:rsidRPr="00E703DD">
        <w:rPr>
          <w:rStyle w:val="StyleUnderline"/>
        </w:rPr>
        <w:t xml:space="preserve"> [24]. Construction</w:t>
      </w:r>
      <w:r w:rsidRPr="001206FB">
        <w:rPr>
          <w:rStyle w:val="StyleUnderline"/>
        </w:rPr>
        <w:t xml:space="preserve"> of anthrax/smallpox dual vaccine candidate vectors Viral vector constructs were generated using the pVVT1-EGFP-C7L vector [24] as a template (Fig. 1</w:t>
      </w:r>
      <w:r w:rsidRPr="000166D8">
        <w:rPr>
          <w:rStyle w:val="Emphasis"/>
          <w:bCs/>
        </w:rPr>
        <w:t>).</w:t>
      </w:r>
      <w:r w:rsidRPr="000166D8">
        <w:rPr>
          <w:rStyle w:val="Emphasis"/>
        </w:rPr>
        <w:t xml:space="preserve"> Human IL-15 gene and human codon-optimized B. anthracis PA and CTA1 genes were synthesized (Bioneer).</w:t>
      </w:r>
      <w:r w:rsidRPr="005578B3">
        <w:rPr>
          <w:sz w:val="8"/>
        </w:rPr>
        <w:t xml:space="preserve"> </w:t>
      </w:r>
      <w:r w:rsidRPr="005578B3">
        <w:rPr>
          <w:sz w:val="2"/>
          <w:szCs w:val="2"/>
        </w:rPr>
        <w:t xml:space="preserve">The synthesized genes were cloned into the vector using SfiI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were staining with crystal violet and the plaque numbers on each well were counted. Western blot analysis Virus-infected Vero cells or their culture supernatants were lysed in 1× RIPA buffer (G-Bioscience) containing 1% PMSF (Theromfisher Scientific) at 4 °C. Fifty μg of protein from each cell lysate was resolved on denaturing polyacrylamide gel electrophoresis (PAGE) and transferred to polyvinylidene difluoride (PVDF) membrane (Amersham). Expression levels of PA and CTA1 proteins were detected using mouse monoclonal antibodies against PA and cholera toxin, respectively (Abcam, 1:1000), and horse radish peroxide (HRP)-conjugated secondary antibodies (Abcam, 1:3000). Mouse immunization and serum collection Female A/J mice (5-week old) were purchased from SLC, Inc. (Japan) and housed in an animal biosafety level 2 (ABL2) facility in KCDC. Mice were immunized with the vaccine candidate virus (5 × 107 pfu/mouse) with or without the adjuvant-expressing virus (5 × 107 pfu/mouse) 2-times at 3-week intervals subcutaneously (s.c.)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μg/ml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(Biolegend)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min. Stained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s.c. injections. Survival of the mice was monitored for 14 days as described in Fig. 4. Spores were prepared according to a previous study [26]. The LD50 determined by Reed-Muench method [27] in A/J mice model via s.c.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The datasets used and/or analyzed during the current study are available from the corresponding author on reasonable request. References 1. Russell PK. Project BioShield: What It Is, Why It Is Needed, and Its Accomplishments So Far. Clin Infect Dis. 2007;45(Supplement_1):S68–72. Article Google Scholar 2. Cieslak TJ, Christopher GW, Kortepeter MG, Rowe JR, Pavlin JA, Culpepper RC, Eitzen EM Jr. Immunization against potential biological warfare agents. Clin Infect Dis. 2000;30(6):843–50. CAS Article Google Scholar 3. Cybulski RJ Jr, Sanz P, O'Brien AD. Anthrax vaccination strategies. Mol Asp Med. 2009;30(6):490–502. CAS Article Google Scholar 4. Rhie GE, Park YM, Chun JH, Yoo CK, Seong WK, Oh HB. Expression and secretion of the protective antigen of Bacillus anthracis in Bacillus brevis. FEMS Immunol Med Microbiol. 2005;45(2):331–9. CAS Article Google Scholar 5. Kang CK, Kim NH, Kim CJ, Rhie GE, Jo SK, Ahn M, Kang J, Choe PG, Park WB, Kim NJ, et al. Immunogenicity and safety of a novel recombinant protective antigen anthrax vaccine (GC1109), a randomized, single-blind, placebo controlled phase II clinical study. Vaccine. 2019;37:3820–4.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Yoo JS, Lee SW. Development of viral vector using attenuated Vaccinia virus strain, KVAC103. Public Health Weekly Report, KCDC. 2016;9(38):755–9. Google Scholar 8. Tovey MG, Lallemand C. Adjuvant activity of cytokines. Methods Mol Biol. 2010;626:287–309. CAS Article Google Scholar 9. Perera PY, Lichy JH, Waldmann TA, Perera LP. The role of interleukin-15 in inflammation and immune responses to infection: implications for its therapeutic use. Microbes Infect. 2012;14(3):247–61. CAS Article Google Scholar 10. Calarota SA, Dai A, Trocio JN, Weiner DB, Lori F, Lisziewicz J. IL-15 as memory T-cell adjuvant for topical HIV-1 DermaVir vaccine. Vaccine. 2008;26(40):5188–95. CAS Article Google Scholar 11. Oh S, Berzofsky JA, Burke DS, Waldmann TA, Perera LP. Coadministration of HIV vaccine vectors with vaccinia viruses expressing IL-15 but not IL-2 induces long-lasting cellular immunity. Proc Natl Acad Sci U S A. 2003;100(6):3392–7. CAS Article Google Scholar 12. Perera LP, Waldmann TA, Mosca JD, Baldwin N, Berzofsky JA, Oh S. Development of smallpox vaccine candidates with integrated interleukin-15 that demonstrate superior immunogenicity, efficacy, and safety in mice. J Virol. 2007;81(16):8774–83. CAS Article Google Scholar 13. Valkenburg SA, Li OT, Mak PW, Mok CK, Nicholls JM, Guan Y, Waldmann TA, Peiris JS, Perera LP, Poon LL. IL-15 adjuvanted multivalent vaccinia-based universal influenza vaccine requires CD4+ T cells for heterosubtypic protection. Proc Natl Acad Sci U S A. 2014;111(15):5676–81. CAS Article Google Scholar 14. Saikh KU, Kissner TL, Nystrom S, Ruthel G, Ulrich RG. Interleukin-15 increases vaccine efficacy through a mechanism linked to dendritic cell maturation and enhanced antibody titers. Clin Vaccine Immunol. 2008;15(1):131–7. CAS Article Google Scholar 15. Agren L, Lowenadler B, Lycke N. A novel concept in mucosal adjuvanticity: the CTA1-DD adjuvant is a B cell-targeted fusion protein that incorporates the enzymatically active cholera toxin A1 subunit. Immunol Cell Biol. 1998;76(3):280–7. CAS Article Google Scholar 16. Agren LC, Ekman L, Lowenadler B, Nedrud JG, Lycke NY. Adjuvanticity of the cholera toxin A1-based gene fusion protein, CTA1-DD, is critically dependent on the ADP-ribosyltransferase and Ig-binding activity. J Immunol. 1999;162(4):2432–40. CAS PubMed Google Scholar 17. Eliasson DG, El Bakkouri K, Schon K, Ramne A, Festjens E, Lowenadler B, Fiers W, Saelens X, Lycke N. CTA1-M2e-DD: a novel mucosal adjuvant targeted influenza vaccine. Vaccine. 2008;26(9):1243–52. CAS Article Google Scholar 18. Sundling C, Schon K, Morner A, Forsell MNE, Wyatt RT, Thorstensson R, Hedestam GBK, Lycke NY. CTA1-DD adjuvant promotes strong immunity against human immunodeficiency virus type 1 envelope glycoproteins following mucosal immunization. J Gen Virol. 2008;89(Pt 12):2954–64. CAS Article Google Scholar 19. Akhiani AA, Stensson A, Schon K, Lycke N. The nontoxic CTA1-DD adjuvant enhances protective immunity against helicobacter pylori infection following mucosal immunization. Scand J Immunol. 2006;63(2):97–105. CAS Article Google Scholar 20. Andersen CS, Dietrich J, Agger EM, Lycke NY, Lovgren K, Andersen P. The combined CTA1-DD/ISCOMs vector is an effective intranasal adjuvant for boosting prior Mycobacterium bovis BCG immunity to Mycobacterium tuberculosis. Infect Immun. 2007;75(1):408–16. CAS Article Google Scholar 21. Altenburg AF, Kreijtz JH, de Vries RD, Song F, Fux R, Rimmelzwaan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Curr Gene Ther. 2008;8(2):97–120. CAS Article Google Scholar 23. Merkel TJ, Perera PY, Kelly VK, Verma A, Llewellyn ZN, Waldmann TA, Mosca JD, Perera LP. Development of a highly efficacious vaccinia-based dual vaccine against smallpox and anthrax, two important bioterror entities. Proc Natl Acad Sci U S A. 2010;107(42):18091–6. CAS Article Google Scholar </w:t>
      </w:r>
      <w:r w:rsidRPr="005578B3">
        <w:rPr>
          <w:rStyle w:val="StyleUnderline"/>
        </w:rPr>
        <w:t xml:space="preserve">24. Son HS, Yeo SG, Lee SW: </w:t>
      </w:r>
      <w:r w:rsidRPr="000166D8">
        <w:rPr>
          <w:rStyle w:val="Emphasis"/>
        </w:rPr>
        <w:t>Recombinant Vaccinia Virus Derived From Kvac103 Strain. In. US patent 9,879,281: Korea centers for disease control and prevention; 2016</w:t>
      </w:r>
      <w:r w:rsidRPr="005578B3">
        <w:rPr>
          <w:sz w:val="8"/>
        </w:rPr>
        <w:t>. 25. Chun JH, Choi OJ, Cho MH, Hong KJ, Seong WK, Oh HB, Rhie GE. Serological correlate of protection in Guinea pigs for a recombinant protective antigen Anthrax vaccine produced from Bacillus brevis. Osong Public Health Res Perspect. 2012;3(3):170–6. Article Google Scholar 26. Ivins B, Fellows P, Pitt L, Estep J, Farchaus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0FDBBD8F" w14:textId="77777777" w:rsidR="00521241" w:rsidRDefault="00521241" w:rsidP="00521241">
      <w:pPr>
        <w:rPr>
          <w:rStyle w:val="Style13ptBold"/>
        </w:rPr>
      </w:pPr>
      <w:r>
        <w:rPr>
          <w:rStyle w:val="Style13ptBold"/>
        </w:rPr>
        <w:t>They don’t solve – don’t do most of the necessary solvency</w:t>
      </w:r>
    </w:p>
    <w:p w14:paraId="7C03DE47" w14:textId="77777777" w:rsidR="00521241" w:rsidRPr="00895874" w:rsidRDefault="00521241" w:rsidP="00521241">
      <w:pPr>
        <w:rPr>
          <w:rStyle w:val="Style13ptBold"/>
        </w:rPr>
      </w:pPr>
      <w:r w:rsidRPr="00895874">
        <w:rPr>
          <w:rStyle w:val="Style13ptBold"/>
        </w:rPr>
        <w:t xml:space="preserve">1AC Arnold Ventures, RECUT, </w:t>
      </w:r>
      <w:r w:rsidRPr="00895874">
        <w:rPr>
          <w:rStyle w:val="Style13ptBold"/>
          <w:highlight w:val="green"/>
        </w:rPr>
        <w:t>READS GREEN</w:t>
      </w:r>
    </w:p>
    <w:p w14:paraId="3B734700" w14:textId="77777777" w:rsidR="00521241" w:rsidRPr="00895874" w:rsidRDefault="00521241" w:rsidP="00521241">
      <w:pPr>
        <w:rPr>
          <w:sz w:val="12"/>
          <w:szCs w:val="12"/>
        </w:rPr>
      </w:pPr>
      <w:r w:rsidRPr="00895874">
        <w:rPr>
          <w:sz w:val="12"/>
          <w:szCs w:val="12"/>
        </w:rPr>
        <w:t xml:space="preserve">9-24-2020 "'Evergreening' Stunts Competition, Costs Consumers and Taxpayers" </w:t>
      </w:r>
      <w:hyperlink r:id="rId17" w:history="1">
        <w:r w:rsidRPr="00895874">
          <w:rPr>
            <w:rStyle w:val="Hyperlink"/>
            <w:sz w:val="12"/>
            <w:szCs w:val="12"/>
          </w:rPr>
          <w:t>https://www.arnoldventures.org/stories/evergreening-stunts-competition-costs-consumers-and-taxpayers/</w:t>
        </w:r>
      </w:hyperlink>
      <w:r w:rsidRPr="00895874">
        <w:rPr>
          <w:sz w:val="12"/>
          <w:szCs w:val="12"/>
        </w:rPr>
        <w:t xml:space="preserve"> (Arnold Ventures is focused on evidence-based giving in a wide range of categories including: criminal justice, education, health care, and public finance)//Elmer -recut CAT</w:t>
      </w:r>
    </w:p>
    <w:p w14:paraId="5077928E" w14:textId="77777777" w:rsidR="00521241" w:rsidRDefault="00521241" w:rsidP="00521241">
      <w:r w:rsidRPr="00607335">
        <w:rPr>
          <w:rStyle w:val="StyleUnderline"/>
          <w:highlight w:val="green"/>
        </w:rPr>
        <w:t>What Can Be Done</w:t>
      </w:r>
      <w:r>
        <w:t xml:space="preserve"> </w:t>
      </w:r>
      <w:r w:rsidRPr="00895874">
        <w:t>As the Evergreen Drug Patent Search makes clear, the positive impact of Hatch-Waxman has been steadily and severely eroded by a regulatory system vulnerable to increasingly sophisticated forms of manipulation.</w:t>
      </w:r>
      <w:r>
        <w:t xml:space="preserve"> </w:t>
      </w:r>
      <w:r w:rsidRPr="00895874">
        <w:t>“You might say that the patent and regulatory system has been weaponized,” Feldman said. “When billions of dollars are at stake, there’s a lot of money available to look for ways to exploit the legal system. And companies have become adept at this, as our work has found.”</w:t>
      </w:r>
      <w:r>
        <w:t xml:space="preserve"> </w:t>
      </w:r>
      <w:r w:rsidRPr="00895874">
        <w:rPr>
          <w:rStyle w:val="StyleUnderline"/>
        </w:rPr>
        <w:t xml:space="preserve">There are several key steps that Congress could take to restore the balance between innovation and competition that is the key to a successful prescription drug regulatory process. These may include: </w:t>
      </w:r>
      <w:r w:rsidRPr="00895874">
        <w:rPr>
          <w:rStyle w:val="StyleUnderline"/>
          <w:highlight w:val="green"/>
        </w:rPr>
        <w:t xml:space="preserve">Imposing restrictions on the number of patents </w:t>
      </w:r>
      <w:r w:rsidRPr="00895874">
        <w:rPr>
          <w:rStyle w:val="StyleUnderline"/>
        </w:rPr>
        <w:t xml:space="preserve">that </w:t>
      </w:r>
      <w:r w:rsidRPr="00895874">
        <w:rPr>
          <w:rStyle w:val="StyleUnderline"/>
          <w:highlight w:val="green"/>
        </w:rPr>
        <w:t xml:space="preserve">prescription drug manufacturers can defend in court to discourage </w:t>
      </w:r>
      <w:r w:rsidRPr="00895874">
        <w:rPr>
          <w:rStyle w:val="StyleUnderline"/>
        </w:rPr>
        <w:t xml:space="preserve">the use of anticompetitive </w:t>
      </w:r>
      <w:r w:rsidRPr="00895874">
        <w:rPr>
          <w:rStyle w:val="StyleUnderline"/>
          <w:highlight w:val="green"/>
        </w:rPr>
        <w:t>patent thickets</w:t>
      </w:r>
      <w:r w:rsidRPr="00895874">
        <w:rPr>
          <w:rStyle w:val="StyleUnderline"/>
        </w:rPr>
        <w:t xml:space="preserve">. </w:t>
      </w:r>
      <w:r w:rsidRPr="00895874">
        <w:rPr>
          <w:rStyle w:val="StyleUnderline"/>
          <w:highlight w:val="green"/>
        </w:rPr>
        <w:t xml:space="preserve">Limiting </w:t>
      </w:r>
      <w:r w:rsidRPr="00895874">
        <w:rPr>
          <w:rStyle w:val="StyleUnderline"/>
        </w:rPr>
        <w:t xml:space="preserve">the patentability of so-called </w:t>
      </w:r>
      <w:r w:rsidRPr="00895874">
        <w:rPr>
          <w:rStyle w:val="StyleUnderline"/>
          <w:highlight w:val="green"/>
        </w:rPr>
        <w:t xml:space="preserve">secondary patents </w:t>
      </w:r>
      <w:r w:rsidRPr="00895874">
        <w:rPr>
          <w:rStyle w:val="StyleUnderline"/>
        </w:rPr>
        <w:t xml:space="preserve">— which don’t improve the safety or efficacy of a drug — through patent and exclusivity reform. </w:t>
      </w:r>
      <w:r w:rsidRPr="00607335">
        <w:rPr>
          <w:rStyle w:val="StyleUnderline"/>
          <w:highlight w:val="green"/>
        </w:rPr>
        <w:t xml:space="preserve">Reforming </w:t>
      </w:r>
      <w:r w:rsidRPr="00895874">
        <w:rPr>
          <w:rStyle w:val="StyleUnderline"/>
        </w:rPr>
        <w:t xml:space="preserve">the </w:t>
      </w:r>
      <w:r w:rsidRPr="00607335">
        <w:rPr>
          <w:rStyle w:val="StyleUnderline"/>
          <w:highlight w:val="green"/>
        </w:rPr>
        <w:t>180-day generic exclusivity</w:t>
      </w:r>
      <w:r w:rsidRPr="00895874">
        <w:rPr>
          <w:rStyle w:val="StyleUnderline"/>
        </w:rPr>
        <w:t>, which can currently be abused to block other competitive therapies</w:t>
      </w:r>
      <w:r w:rsidRPr="00895874">
        <w:t>.</w:t>
      </w:r>
      <w:r>
        <w:t xml:space="preserve"> </w:t>
      </w:r>
      <w:r w:rsidRPr="00895874">
        <w:t>“The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w:t>
      </w:r>
      <w:r>
        <w:t xml:space="preserve"> </w:t>
      </w:r>
      <w:r w:rsidRPr="00895874">
        <w:t xml:space="preserve">“Our incentives have gotten out of whack,” Martin said. </w:t>
      </w:r>
      <w:r w:rsidRPr="00895874">
        <w:rPr>
          <w:rStyle w:val="StyleUnderline"/>
        </w:rPr>
        <w:t>“The luxury of monopoly protection should only be provided to innovations that provide meaningful benefits in saving lives, curing illnesses, or improving the quality of people’s lives</w:t>
      </w:r>
      <w:r w:rsidRPr="00895874">
        <w:t>. It should not be provided to those gaming the system. If we can change that, we can save consumers, employers, and taxpayers many billions of dollars while increasing the incentives for pharmaceutical companies to achieve breakthroughs."</w:t>
      </w:r>
    </w:p>
    <w:p w14:paraId="163E3D56" w14:textId="77777777" w:rsidR="00521241" w:rsidRDefault="00521241" w:rsidP="00521241">
      <w:pPr>
        <w:pStyle w:val="Heading4"/>
      </w:pPr>
      <w:r>
        <w:t>Critical innovation STARTS At the NIH.</w:t>
      </w:r>
    </w:p>
    <w:p w14:paraId="6CC3C75C" w14:textId="77777777" w:rsidR="00521241" w:rsidRDefault="00521241" w:rsidP="00521241">
      <w:r w:rsidRPr="00FD63C6">
        <w:rPr>
          <w:rStyle w:val="Style13ptBold"/>
        </w:rPr>
        <w:t>NIH COVID-19 Research 20</w:t>
      </w:r>
      <w:r w:rsidRPr="00D92788">
        <w:t xml:space="preserve">, 12-18-2020, "National Institutes of Health," </w:t>
      </w:r>
      <w:hyperlink r:id="rId18" w:history="1">
        <w:r w:rsidRPr="00683C8D">
          <w:rPr>
            <w:rStyle w:val="Hyperlink"/>
          </w:rPr>
          <w:t>https://covid19.nih.gov/treatments-and-vaccines/covid-19-vaccines</w:t>
        </w:r>
      </w:hyperlink>
      <w:r>
        <w:t xml:space="preserve"> //Jay</w:t>
      </w:r>
    </w:p>
    <w:p w14:paraId="2DC3FA53" w14:textId="77777777" w:rsidR="00521241" w:rsidRPr="00A3026A" w:rsidRDefault="00521241" w:rsidP="00521241">
      <w:pPr>
        <w:rPr>
          <w:sz w:val="12"/>
        </w:rPr>
      </w:pPr>
      <w:r w:rsidRPr="00D92788">
        <w:rPr>
          <w:sz w:val="10"/>
        </w:rPr>
        <w:t xml:space="preserve">Understanding Vaccine Studies What are the differences between the vaccines that are available?  Vaccine syringe These vaccines have received emergency use authorization from the FDA:   </w:t>
      </w:r>
      <w:r w:rsidRPr="00176FE7">
        <w:rPr>
          <w:rStyle w:val="StyleUnderline"/>
          <w:highlight w:val="green"/>
        </w:rPr>
        <w:t>ModernaTX</w:t>
      </w:r>
      <w:r w:rsidRPr="00D92788">
        <w:rPr>
          <w:rStyle w:val="StyleUnderline"/>
        </w:rPr>
        <w:t>, Inc.,</w:t>
      </w:r>
      <w:r w:rsidRPr="00176FE7">
        <w:rPr>
          <w:rStyle w:val="StyleUnderline"/>
          <w:highlight w:val="green"/>
        </w:rPr>
        <w:t> mRNA-1273</w:t>
      </w:r>
      <w:r w:rsidRPr="00D92788">
        <w:rPr>
          <w:rStyle w:val="StyleUnderline"/>
        </w:rPr>
        <w:t xml:space="preserve">: On December 18, 2020, the FDA authorized emergency use </w:t>
      </w:r>
      <w:r w:rsidRPr="00176FE7">
        <w:rPr>
          <w:rStyle w:val="StyleUnderline"/>
        </w:rPr>
        <w:t>of this</w:t>
      </w:r>
      <w:r w:rsidRPr="00176FE7">
        <w:rPr>
          <w:rStyle w:val="StyleUnderline"/>
          <w:highlight w:val="green"/>
        </w:rPr>
        <w:t> NIH-funded COVID-19 vaccine</w:t>
      </w:r>
      <w:r w:rsidRPr="00D92788">
        <w:rPr>
          <w:rStyle w:val="StyleUnderline"/>
        </w:rPr>
        <w:t> in the United States for people 18 years and older</w:t>
      </w:r>
      <w:r w:rsidRPr="00D92788">
        <w:rPr>
          <w:sz w:val="10"/>
        </w:rPr>
        <w:t xml:space="preserve">. View the infographic to see what’s in the Moderna COVID-19 vaccine.  Pfizer, Inc., and BioNTech BNT162b2: On December 11, 2020, the FDA authorized emergency use of the first COVID-19 vaccine in the United States for people 16 years and older. View the infographic to see what’s in the Pfizer COVID-19 vaccine.  </w:t>
      </w:r>
      <w:r w:rsidRPr="00D92788">
        <w:rPr>
          <w:rStyle w:val="StyleUnderline"/>
        </w:rPr>
        <w:t xml:space="preserve">Janssen Pharmaceutical Companies of </w:t>
      </w:r>
      <w:r w:rsidRPr="00176FE7">
        <w:rPr>
          <w:rStyle w:val="StyleUnderline"/>
          <w:highlight w:val="green"/>
        </w:rPr>
        <w:t>Johnson &amp; Johnson</w:t>
      </w:r>
      <w:r w:rsidRPr="00D92788">
        <w:rPr>
          <w:rStyle w:val="StyleUnderline"/>
        </w:rPr>
        <w:t>: On February 27, 2021, the FDA authorized emergency use of this single-shot vaccine for people 18 years and older. D</w:t>
      </w:r>
      <w:r w:rsidRPr="00176FE7">
        <w:rPr>
          <w:rStyle w:val="StyleUnderline"/>
          <w:highlight w:val="green"/>
        </w:rPr>
        <w:t>eveloped with support from NIH funding,</w:t>
      </w:r>
      <w:r w:rsidRPr="00D92788">
        <w:rPr>
          <w:rStyle w:val="StyleUnderline"/>
        </w:rPr>
        <w:t xml:space="preserve"> this vaccine does not require special refrigeration.</w:t>
      </w:r>
      <w:r w:rsidRPr="00D92788">
        <w:rPr>
          <w:sz w:val="10"/>
        </w:rPr>
        <w:t xml:space="preserve">  Women younger than 50 years old should be aware of the rare risk of blood clots after vaccination. How do I know the vaccines are safe and effective? Vaccine vial and syringe being held Vaccines have very high safety standards, and the vaccines available to prevent COVID-19 are no exception. COVID-19 vaccines are authorized  by the FDA for use only if they have proven safe and effective in a large group of people. Although the search for and development of the COVID-19 vaccines seemed to move fast, decades of existing research on coronaviruses gave the scientific community a head start on understanding COVID-19 and developing a vaccine. Researchers, the federal government, and drug companies came together like never before to cooperate and share resources, making the testing process more efficient. Also, the FDA has made the safety standards and approval process even tougher than usual. The FDA set minimum requirements for the effectiveness of products to approve only those vaccines that could offer immunity to the majority of the population.   Find more questions and answers about a COVID-19 vaccine How long will my immunity last after I get the vaccine?  Vaccine being administered to individual Researchers don’t know for sure how long immunity produced by vaccination lasts. You are considered fully protected two weeks after your second dose of the Moderna or Pfizer-BioNTech vaccine, or two weeks after the single-dose Johnson &amp; Johnson’s Janssen vaccine.   However, because we do not know how long the vaccine protects you, you should still take precautions to protect yourself and others by following current CDC guidelines.   Do the vaccines work against the virus variants?  COVID molecule We know that the COVID-19 vaccines available now are effective at preventing COVID-19. So far, studies suggest that these vaccines should also work against the variants that have emerged. Current data show that the antibodies our bodies make after vaccination may recognize and protect against the variants. This is being closely investigated, and more studies are underway.   The rise of these variants is a reminder that as long as SARS-CoV-2 continues to spread, it has the potential to evolve into new variants. Viruses can’t mutate if they can’t replicate. The more people who get vaccinated, the harder it is for the virus to replicate. Widespread vaccination will help reduce the rise of additional variants.  Read about NIH research to study the variants When can children get a vaccine?  Children and teens ages 12 years and older can now get the Pfizer vaccine. COVID-19 vaccines are not yet approved for use in people younger than 12 (Pfizer) or 18 (Moderna and Johnson &amp; Johnson vaccines). However, clinical trials are now underway to test the safety and effectiveness of currently available vaccines in younger children. Experts hope children and adolescents will be approved to receive the vaccines by fall 2021. Will I need a booster shot after being fully vaccinated against COVID-19? Person signing up for treatment </w:t>
      </w:r>
      <w:r w:rsidRPr="00176FE7">
        <w:rPr>
          <w:rStyle w:val="StyleUnderline"/>
          <w:highlight w:val="green"/>
        </w:rPr>
        <w:t>NIH is researching whether people</w:t>
      </w:r>
      <w:r w:rsidRPr="00D92788">
        <w:rPr>
          <w:rStyle w:val="StyleUnderline"/>
        </w:rPr>
        <w:t xml:space="preserve"> who have been fully vaccinated against COVID-19 </w:t>
      </w:r>
      <w:r w:rsidRPr="00176FE7">
        <w:rPr>
          <w:rStyle w:val="StyleUnderline"/>
          <w:highlight w:val="green"/>
        </w:rPr>
        <w:t>will require additional shots for continued immunity</w:t>
      </w:r>
      <w:r w:rsidRPr="00D92788">
        <w:rPr>
          <w:sz w:val="10"/>
        </w:rPr>
        <w:t xml:space="preserve">. </w:t>
      </w:r>
    </w:p>
    <w:p w14:paraId="1D9D638E" w14:textId="655CAB8D" w:rsidR="00521241" w:rsidRDefault="00521241" w:rsidP="00521241"/>
    <w:p w14:paraId="2F2E3ACF" w14:textId="6A6795A7" w:rsidR="00521241" w:rsidRPr="00521241" w:rsidRDefault="00521241" w:rsidP="00521241">
      <w:r>
        <w:rPr>
          <w:noProof/>
        </w:rPr>
        <w:drawing>
          <wp:inline distT="0" distB="0" distL="0" distR="0" wp14:anchorId="22E52686" wp14:editId="439E0BEF">
            <wp:extent cx="2425700" cy="322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9"/>
                    <a:stretch>
                      <a:fillRect/>
                    </a:stretch>
                  </pic:blipFill>
                  <pic:spPr>
                    <a:xfrm>
                      <a:off x="0" y="0"/>
                      <a:ext cx="2425700" cy="3225800"/>
                    </a:xfrm>
                    <a:prstGeom prst="rect">
                      <a:avLst/>
                    </a:prstGeom>
                  </pic:spPr>
                </pic:pic>
              </a:graphicData>
            </a:graphic>
          </wp:inline>
        </w:drawing>
      </w:r>
    </w:p>
    <w:sectPr w:rsidR="00521241" w:rsidRPr="0052124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1A55E" w14:textId="77777777" w:rsidR="008A7FEC" w:rsidRDefault="008A7FEC" w:rsidP="008940A6">
      <w:pPr>
        <w:spacing w:after="0" w:line="240" w:lineRule="auto"/>
      </w:pPr>
      <w:r>
        <w:separator/>
      </w:r>
    </w:p>
  </w:endnote>
  <w:endnote w:type="continuationSeparator" w:id="0">
    <w:p w14:paraId="0DEC0E36" w14:textId="77777777" w:rsidR="008A7FEC" w:rsidRDefault="008A7FEC" w:rsidP="00894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D110F" w14:textId="77777777" w:rsidR="008A7FEC" w:rsidRDefault="008A7FEC" w:rsidP="008940A6">
      <w:pPr>
        <w:spacing w:after="0" w:line="240" w:lineRule="auto"/>
      </w:pPr>
      <w:r>
        <w:separator/>
      </w:r>
    </w:p>
  </w:footnote>
  <w:footnote w:type="continuationSeparator" w:id="0">
    <w:p w14:paraId="3C98DA2D" w14:textId="77777777" w:rsidR="008A7FEC" w:rsidRDefault="008A7FEC" w:rsidP="008940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attachedTemplate r:id="rId1"/>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6D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39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D4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7F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24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0A6"/>
    <w:rsid w:val="0089418F"/>
    <w:rsid w:val="00897C29"/>
    <w:rsid w:val="008A1A9C"/>
    <w:rsid w:val="008A4633"/>
    <w:rsid w:val="008A7FEC"/>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13A2C6"/>
  <w14:defaultImageDpi w14:val="300"/>
  <w15:docId w15:val="{6C6FBD1B-9EEC-0C4B-983A-D2EF3C44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6D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6D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6D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6D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1F6D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6D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D4D"/>
  </w:style>
  <w:style w:type="character" w:customStyle="1" w:styleId="Heading1Char">
    <w:name w:val="Heading 1 Char"/>
    <w:aliases w:val="Pocket Char"/>
    <w:basedOn w:val="DefaultParagraphFont"/>
    <w:link w:val="Heading1"/>
    <w:uiPriority w:val="9"/>
    <w:rsid w:val="001F6D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6D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6D4D"/>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1F6D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F6D4D"/>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1"/>
    <w:qFormat/>
    <w:rsid w:val="001F6D4D"/>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s"/>
    <w:basedOn w:val="DefaultParagraphFont"/>
    <w:link w:val="Emphasis1"/>
    <w:uiPriority w:val="20"/>
    <w:qFormat/>
    <w:rsid w:val="001F6D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6D4D"/>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1F6D4D"/>
    <w:rPr>
      <w:color w:val="auto"/>
      <w:u w:val="none"/>
    </w:rPr>
  </w:style>
  <w:style w:type="paragraph" w:styleId="DocumentMap">
    <w:name w:val="Document Map"/>
    <w:basedOn w:val="Normal"/>
    <w:link w:val="DocumentMapChar"/>
    <w:uiPriority w:val="99"/>
    <w:semiHidden/>
    <w:unhideWhenUsed/>
    <w:rsid w:val="001F6D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6D4D"/>
    <w:rPr>
      <w:rFonts w:ascii="Lucida Grande" w:hAnsi="Lucida Grande" w:cs="Lucida Grande"/>
    </w:rPr>
  </w:style>
  <w:style w:type="paragraph" w:styleId="ListParagraph">
    <w:name w:val="List Paragraph"/>
    <w:basedOn w:val="Normal"/>
    <w:uiPriority w:val="99"/>
    <w:unhideWhenUsed/>
    <w:qFormat/>
    <w:rsid w:val="001F6D4D"/>
    <w:pPr>
      <w:ind w:left="720"/>
      <w:contextualSpacing/>
    </w:pPr>
  </w:style>
  <w:style w:type="character" w:customStyle="1" w:styleId="underline">
    <w:name w:val="underline"/>
    <w:basedOn w:val="DefaultParagraphFont"/>
    <w:link w:val="textbold"/>
    <w:qFormat/>
    <w:rsid w:val="001F6D4D"/>
    <w:rPr>
      <w:b/>
      <w:u w:val="single"/>
    </w:rPr>
  </w:style>
  <w:style w:type="paragraph" w:customStyle="1" w:styleId="textbold">
    <w:name w:val="text bold"/>
    <w:basedOn w:val="Normal"/>
    <w:link w:val="underline"/>
    <w:uiPriority w:val="20"/>
    <w:qFormat/>
    <w:rsid w:val="001F6D4D"/>
    <w:pPr>
      <w:ind w:left="720"/>
    </w:pPr>
    <w:rPr>
      <w:rFonts w:asciiTheme="minorHAnsi" w:hAnsiTheme="minorHAnsi"/>
      <w:b/>
      <w:sz w:val="24"/>
      <w:u w:val="single"/>
    </w:rPr>
  </w:style>
  <w:style w:type="paragraph" w:customStyle="1" w:styleId="card">
    <w:name w:val="card"/>
    <w:aliases w:val="Card,Tags,Debate Text,No Spacing11,No Spacing31,No Spacing22,No Spacing111,No Spacing3,No Spacing2,Read stuff,tag,No Spacing1111,No Spacing1121,Dont use,No Spacing41,No Spacing1,No Spacing111112,No Spacing5,No Spacing112,Medium Grid 21,Tag and Cite"/>
    <w:basedOn w:val="Normal"/>
    <w:link w:val="cardChar"/>
    <w:autoRedefine/>
    <w:uiPriority w:val="99"/>
    <w:qFormat/>
    <w:rsid w:val="001F6D4D"/>
    <w:pPr>
      <w:ind w:left="144"/>
    </w:pPr>
    <w:rPr>
      <w:rFonts w:eastAsia="Calibri"/>
    </w:rPr>
  </w:style>
  <w:style w:type="character" w:customStyle="1" w:styleId="cardChar">
    <w:name w:val="card Char"/>
    <w:link w:val="card"/>
    <w:locked/>
    <w:rsid w:val="001F6D4D"/>
    <w:rPr>
      <w:rFonts w:ascii="Calibri" w:eastAsia="Calibri" w:hAnsi="Calibri"/>
      <w:sz w:val="22"/>
    </w:rPr>
  </w:style>
  <w:style w:type="paragraph" w:customStyle="1" w:styleId="Emphasis1">
    <w:name w:val="Emphasis1"/>
    <w:basedOn w:val="Normal"/>
    <w:link w:val="Emphasis"/>
    <w:uiPriority w:val="20"/>
    <w:qFormat/>
    <w:rsid w:val="001F6D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6,No Spacing7,Very Small Text,No Spacing8,Dont u,No Spacing311,No Spacing51,Note Level 2,Small Text,Note Level 21,No Spacing11211,Tag and Ci,ca"/>
    <w:basedOn w:val="Heading1"/>
    <w:link w:val="Hyperlink"/>
    <w:autoRedefine/>
    <w:uiPriority w:val="99"/>
    <w:qFormat/>
    <w:rsid w:val="001F6D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FootnoteReference1">
    <w:name w:val="Footnote Reference1"/>
    <w:rsid w:val="008940A6"/>
    <w:rPr>
      <w:color w:val="000000"/>
      <w:sz w:val="24"/>
      <w:vertAlign w:val="superscript"/>
    </w:rPr>
  </w:style>
  <w:style w:type="paragraph" w:customStyle="1" w:styleId="FootnoteText1">
    <w:name w:val="Footnote Text1"/>
    <w:rsid w:val="008940A6"/>
    <w:rPr>
      <w:rFonts w:ascii="Times" w:eastAsia="ヒラギノ角ゴ Pro W3" w:hAnsi="Times"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n.acs.org/articles/97/i22/FDA-approves-second-gene-therapy.html" TargetMode="External"/><Relationship Id="rId18" Type="http://schemas.openxmlformats.org/officeDocument/2006/relationships/hyperlink" Target="https://covid19.nih.gov/treatments-and-vaccines/covid-19-vaccin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en.acs.org/pharmaceuticals/drug-development/new-drugs-2018/97/i3" TargetMode="External"/><Relationship Id="rId17" Type="http://schemas.openxmlformats.org/officeDocument/2006/relationships/hyperlink" Target="https://www.arnoldventures.org/stories/evergreening-stunts-competition-costs-consumers-and-taxpayers/" TargetMode="External"/><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n.acs.org/pharmaceuticals/drug-development/new-drugs-2019/98/i3" TargetMode="External"/><Relationship Id="rId5" Type="http://schemas.openxmlformats.org/officeDocument/2006/relationships/numbering" Target="numbering.xml"/><Relationship Id="rId15" Type="http://schemas.openxmlformats.org/officeDocument/2006/relationships/hyperlink" Target="https://www.healthaffairs.org/doi/10.1377/hlthaff.2014.1047" TargetMode="External"/><Relationship Id="rId10" Type="http://schemas.openxmlformats.org/officeDocument/2006/relationships/endnotes" Target="endnote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n.acs.org/biological-chemistry/neuroscience/Ketamine-revolutionizing-antidepressant-research-still/98/i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6744</Words>
  <Characters>38446</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2021-09-06T18:08:00Z</dcterms:created>
  <dcterms:modified xsi:type="dcterms:W3CDTF">2021-09-06T18:51:00Z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