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84135C" w14:textId="77777777" w:rsidR="009C7C3C" w:rsidRDefault="009C7C3C" w:rsidP="009C7C3C">
      <w:pPr>
        <w:pStyle w:val="Heading3"/>
      </w:pPr>
      <w:r>
        <w:t>UV</w:t>
      </w:r>
    </w:p>
    <w:p w14:paraId="29E7665F" w14:textId="77777777" w:rsidR="009C7C3C" w:rsidRPr="00733F45" w:rsidRDefault="009C7C3C" w:rsidP="009C7C3C"/>
    <w:p w14:paraId="2D4F1BF6" w14:textId="77777777" w:rsidR="009C7C3C" w:rsidRPr="00733F45" w:rsidRDefault="009C7C3C" w:rsidP="009C7C3C"/>
    <w:p w14:paraId="4EF070DA" w14:textId="77777777" w:rsidR="009C7C3C" w:rsidRDefault="009C7C3C" w:rsidP="009C7C3C">
      <w:pPr>
        <w:pStyle w:val="Heading3"/>
      </w:pPr>
      <w:r>
        <w:lastRenderedPageBreak/>
        <w:t>1</w:t>
      </w:r>
    </w:p>
    <w:p w14:paraId="792635C8" w14:textId="77777777" w:rsidR="009C7C3C" w:rsidRDefault="009C7C3C" w:rsidP="009C7C3C">
      <w:pPr>
        <w:pStyle w:val="Heading4"/>
      </w:pPr>
      <w:r>
        <w:t>Counterplan Text – Member states of the World Trade Organization ought to consult the World Health Organization on whether or not to [</w:t>
      </w:r>
      <w:r w:rsidRPr="00624CF9">
        <w:rPr>
          <w:highlight w:val="green"/>
        </w:rPr>
        <w:t>do the Plan</w:t>
      </w:r>
      <w:r>
        <w:t>]. The World Health Organization ought to publicly declare that their decision on [</w:t>
      </w:r>
      <w:r w:rsidRPr="00D25F9B">
        <w:rPr>
          <w:highlight w:val="green"/>
        </w:rPr>
        <w:t>the Plan</w:t>
      </w:r>
      <w:r>
        <w:t>] will represent their future decisions on all intellectual property protections on medicines.</w:t>
      </w:r>
    </w:p>
    <w:p w14:paraId="49EA2AA6" w14:textId="77777777" w:rsidR="009C7C3C" w:rsidRPr="00624CF9" w:rsidRDefault="009C7C3C" w:rsidP="009C7C3C">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3772F8D9" w14:textId="77777777" w:rsidR="009C7C3C" w:rsidRPr="00F97FE0" w:rsidRDefault="009C7C3C" w:rsidP="009C7C3C">
      <w:r w:rsidRPr="00F97FE0">
        <w:rPr>
          <w:rStyle w:val="Style13ptBold"/>
        </w:rPr>
        <w:t>Rimmer</w:t>
      </w:r>
      <w:r>
        <w:rPr>
          <w:rStyle w:val="Style13ptBold"/>
        </w:rPr>
        <w:t xml:space="preserve"> 4</w:t>
      </w:r>
      <w:r w:rsidRPr="00F97FE0">
        <w:t>, Matthew. "The race to patent the SARS virus: the TRIPS agreement and access to essential medicines." Melbourne Journal of International Law 5.2 (2004): 335-374.</w:t>
      </w:r>
    </w:p>
    <w:p w14:paraId="50C16ECE" w14:textId="77777777" w:rsidR="009C7C3C" w:rsidRPr="00253762" w:rsidRDefault="009C7C3C" w:rsidP="009C7C3C">
      <w:hyperlink r:id="rId9"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 xml:space="preserve">)//SidK + Elmer </w:t>
      </w:r>
    </w:p>
    <w:p w14:paraId="27C4A3BD" w14:textId="77777777" w:rsidR="009C7C3C" w:rsidRDefault="009C7C3C" w:rsidP="009C7C3C">
      <w:pPr>
        <w:rPr>
          <w:sz w:val="16"/>
        </w:rPr>
      </w:pPr>
      <w:r w:rsidRPr="00F97FE0">
        <w:rPr>
          <w:sz w:val="16"/>
        </w:rPr>
        <w:t xml:space="preserve">The WHO has been instrumental in coordinating the international network of research on the SARS virus. It has emphasised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a number of </w:t>
      </w:r>
      <w:r w:rsidRPr="002548A8">
        <w:rPr>
          <w:rStyle w:val="StyleUnderline"/>
          <w:bCs/>
          <w:sz w:val="24"/>
        </w:rPr>
        <w:t>aspirational statements</w:t>
      </w:r>
      <w:r w:rsidRPr="002548A8">
        <w:rPr>
          <w:u w:val="single"/>
        </w:rPr>
        <w:t xml:space="preserve"> about patent law and access to essential medicines. Arguably, though, the organisation</w:t>
      </w:r>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Spokesman Dick Thompson said: ‘What we care about is [that] the international collaboration continues to function. Patents, they don’t really concern us’.208 The director of WHO’s 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commercialise such research. </w:t>
      </w:r>
      <w:r w:rsidRPr="00F97FE0">
        <w:rPr>
          <w:u w:val="single"/>
        </w:rPr>
        <w:t xml:space="preserve">Klaus Stöhr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organisation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high ranking officials from the </w:t>
      </w:r>
      <w:r w:rsidRPr="002548A8">
        <w:rPr>
          <w:sz w:val="16"/>
        </w:rPr>
        <w:lastRenderedPageBreak/>
        <w:t xml:space="preserve">organisation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Cs/>
          <w:sz w:val="24"/>
          <w:highlight w:val="green"/>
        </w:rPr>
        <w:t>needs</w:t>
      </w:r>
      <w:r w:rsidRPr="00D93FBE">
        <w:rPr>
          <w:b/>
          <w:bCs/>
          <w:highlight w:val="green"/>
          <w:u w:val="single"/>
        </w:rPr>
        <w:t xml:space="preserve"> </w:t>
      </w:r>
      <w:r w:rsidRPr="00D93FBE">
        <w:rPr>
          <w:rStyle w:val="StyleUnderline"/>
          <w:bCs/>
          <w:sz w:val="24"/>
          <w:highlight w:val="green"/>
        </w:rPr>
        <w:t>to</w:t>
      </w:r>
      <w:r w:rsidRPr="00D93FBE">
        <w:rPr>
          <w:b/>
          <w:bCs/>
          <w:highlight w:val="green"/>
          <w:u w:val="single"/>
        </w:rPr>
        <w:t xml:space="preserve"> </w:t>
      </w:r>
      <w:r w:rsidRPr="00D93FBE">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organisation Médecins Sans Frontières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xml:space="preserve">— especially in relation to patent </w:t>
      </w:r>
      <w:r w:rsidRPr="00F97FE0">
        <w:rPr>
          <w:u w:val="single"/>
        </w:rPr>
        <w:lastRenderedPageBreak/>
        <w:t>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Cs/>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Cs/>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it could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3DCA4767" w14:textId="77777777" w:rsidR="009C7C3C" w:rsidRDefault="009C7C3C" w:rsidP="009C7C3C">
      <w:pPr>
        <w:pStyle w:val="Heading4"/>
      </w:pPr>
      <w:r>
        <w:t>WHO Cred key to Global Right to Health – medicine access is critical.</w:t>
      </w:r>
    </w:p>
    <w:p w14:paraId="142207AC" w14:textId="77777777" w:rsidR="009C7C3C" w:rsidRDefault="009C7C3C" w:rsidP="009C7C3C">
      <w:pPr>
        <w:pStyle w:val="ListParagraph"/>
        <w:numPr>
          <w:ilvl w:val="0"/>
          <w:numId w:val="13"/>
        </w:numPr>
      </w:pPr>
      <w:r>
        <w:t>Note the Bottom Paragraph is at the bottom of the PDF – I put a paragraph break to indicate it as such – no words are missing.</w:t>
      </w:r>
    </w:p>
    <w:p w14:paraId="788D0F5F" w14:textId="77777777" w:rsidR="009C7C3C" w:rsidRPr="00146FCD" w:rsidRDefault="009C7C3C" w:rsidP="009C7C3C">
      <w:r w:rsidRPr="00146FCD">
        <w:rPr>
          <w:rStyle w:val="Style13ptBold"/>
        </w:rPr>
        <w:lastRenderedPageBreak/>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5693B110" w14:textId="77777777" w:rsidR="009C7C3C" w:rsidRPr="00D93FBE" w:rsidRDefault="009C7C3C" w:rsidP="009C7C3C">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to do so convincingly</w:t>
      </w:r>
      <w:r w:rsidRPr="002548A8">
        <w:rPr>
          <w:sz w:val="14"/>
        </w:rPr>
        <w:t xml:space="preserve">. The new Director-General must support and </w:t>
      </w:r>
      <w:r w:rsidRPr="002548A8">
        <w:rPr>
          <w:u w:val="single"/>
        </w:rPr>
        <w:t>reinvigorate the advocacy efforts of the organisation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7AFC8EE5" w14:textId="77777777" w:rsidR="009C7C3C" w:rsidRDefault="009C7C3C" w:rsidP="009C7C3C">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programme on antiretroviral medicines sounds good. In fact, the programme has served as a cover for the organisation’s frequent acceptance of industry arguments for restricting treatment access. </w:t>
      </w:r>
      <w:r w:rsidRPr="00D93FBE">
        <w:rPr>
          <w:u w:val="single"/>
        </w:rPr>
        <w:t>To re-establish WHO’s credibility, the new Director-General must lead the organisation to stand consistently with those most deprived of health services. Kenneth Roth, Executive Director, Human Rights Watch</w:t>
      </w:r>
      <w:r>
        <w:rPr>
          <w:u w:val="single"/>
        </w:rPr>
        <w:t>.</w:t>
      </w:r>
    </w:p>
    <w:p w14:paraId="4602F076" w14:textId="77777777" w:rsidR="009C7C3C" w:rsidRDefault="009C7C3C" w:rsidP="009C7C3C">
      <w:pPr>
        <w:pStyle w:val="Heading4"/>
      </w:pPr>
      <w:r>
        <w:t xml:space="preserve">Right to Health solves </w:t>
      </w:r>
      <w:r>
        <w:rPr>
          <w:u w:val="single"/>
        </w:rPr>
        <w:t>Nationalist Populism</w:t>
      </w:r>
      <w:r>
        <w:t>.</w:t>
      </w:r>
    </w:p>
    <w:p w14:paraId="79CFAFB6" w14:textId="77777777" w:rsidR="009C7C3C" w:rsidRPr="00D93FBE" w:rsidRDefault="009C7C3C" w:rsidP="009C7C3C">
      <w:r w:rsidRPr="00D93FBE">
        <w:rPr>
          <w:rStyle w:val="Style13ptBold"/>
        </w:rPr>
        <w:t>Friedman 17</w:t>
      </w:r>
      <w:r>
        <w:t xml:space="preserve"> Eric Friedman March 2017 “New WHO Leader Will Need Human Rights to Counter Nationalistic Populism” </w:t>
      </w:r>
      <w:hyperlink r:id="rId10"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2F94D8F2" w14:textId="77777777" w:rsidR="009C7C3C" w:rsidRPr="00D93FBE" w:rsidRDefault="009C7C3C" w:rsidP="009C7C3C">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present, yet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lastRenderedPageBreak/>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D93FBE">
        <w:rPr>
          <w:rStyle w:val="StyleUnderline"/>
          <w:bCs/>
          <w:sz w:val="24"/>
          <w:highlight w:val="green"/>
        </w:rPr>
        <w:t>nations are</w:t>
      </w:r>
      <w:r w:rsidRPr="00D93FBE">
        <w:rPr>
          <w:rStyle w:val="StyleUnderline"/>
          <w:bCs/>
          <w:sz w:val="24"/>
        </w:rPr>
        <w:t xml:space="preserve"> indeed </w:t>
      </w:r>
      <w:r w:rsidRPr="00D93FBE">
        <w:rPr>
          <w:rStyle w:val="StyleUnderline"/>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Cs/>
          <w:sz w:val="24"/>
          <w:highlight w:val="green"/>
        </w:rPr>
        <w:t>resistance of</w:t>
      </w:r>
      <w:r w:rsidRPr="00D93FBE">
        <w:rPr>
          <w:rStyle w:val="StyleUnderline"/>
          <w:bCs/>
          <w:sz w:val="24"/>
        </w:rPr>
        <w:t xml:space="preserve"> the </w:t>
      </w:r>
      <w:r w:rsidRPr="00D93FBE">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r w:rsidRPr="00D93FBE">
        <w:rPr>
          <w:rStyle w:val="Emphasis"/>
          <w:sz w:val="24"/>
        </w:rPr>
        <w:t>endeavor</w:t>
      </w:r>
      <w:r w:rsidRPr="00D93FBE">
        <w:rPr>
          <w:sz w:val="16"/>
        </w:rPr>
        <w:t>.</w:t>
      </w:r>
    </w:p>
    <w:p w14:paraId="7C539141" w14:textId="77777777" w:rsidR="009C7C3C" w:rsidRDefault="009C7C3C" w:rsidP="009C7C3C">
      <w:pPr>
        <w:pStyle w:val="Heading4"/>
      </w:pPr>
      <w:r>
        <w:t xml:space="preserve">Populism is an </w:t>
      </w:r>
      <w:r>
        <w:rPr>
          <w:u w:val="single"/>
        </w:rPr>
        <w:t>existential threat</w:t>
      </w:r>
      <w:r>
        <w:t>.</w:t>
      </w:r>
    </w:p>
    <w:p w14:paraId="2CF8668C" w14:textId="77777777" w:rsidR="009C7C3C" w:rsidRPr="00D93FBE" w:rsidRDefault="009C7C3C" w:rsidP="009C7C3C">
      <w:r w:rsidRPr="00D93FBE">
        <w:rPr>
          <w:rStyle w:val="Style13ptBold"/>
        </w:rPr>
        <w:t>de Waal 16</w:t>
      </w:r>
      <w:r>
        <w:t xml:space="preserve"> Alex de Waal 12-5-2016 “Garrison America and the Threat of Global War” </w:t>
      </w:r>
      <w:hyperlink r:id="rId11"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5082CD1E" w14:textId="77777777" w:rsidR="009C7C3C" w:rsidRPr="00D93FBE" w:rsidRDefault="009C7C3C" w:rsidP="009C7C3C">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fact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wars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w:t>
      </w:r>
      <w:r w:rsidRPr="00D93FBE">
        <w:rPr>
          <w:sz w:val="16"/>
        </w:rPr>
        <w:lastRenderedPageBreak/>
        <w:t xml:space="preserve">industry, as well as through the corruption and organized crime that follow in their wake (Afghanistan). We have impoverishment and starvation through economic warfare, the worst case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4503E3F2" w14:textId="77777777" w:rsidR="009C7C3C" w:rsidRDefault="009C7C3C" w:rsidP="009C7C3C">
      <w:pPr>
        <w:pStyle w:val="Heading3"/>
      </w:pPr>
      <w:r>
        <w:lastRenderedPageBreak/>
        <w:t>2</w:t>
      </w:r>
    </w:p>
    <w:p w14:paraId="414C91E8" w14:textId="77777777" w:rsidR="009C7C3C" w:rsidRPr="00255F53" w:rsidRDefault="009C7C3C" w:rsidP="009C7C3C">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318646B3" w14:textId="77777777" w:rsidR="009C7C3C" w:rsidRPr="00255F53" w:rsidRDefault="009C7C3C" w:rsidP="009C7C3C">
      <w:pPr>
        <w:pStyle w:val="Heading4"/>
        <w:rPr>
          <w:rFonts w:asciiTheme="majorHAnsi" w:hAnsiTheme="majorHAnsi" w:cstheme="majorHAnsi"/>
        </w:rPr>
      </w:pPr>
      <w:r w:rsidRPr="00255F53">
        <w:rPr>
          <w:rFonts w:asciiTheme="majorHAnsi" w:hAnsiTheme="majorHAnsi" w:cstheme="majorHAnsi"/>
        </w:rPr>
        <w:t>Prefer:</w:t>
      </w:r>
    </w:p>
    <w:p w14:paraId="07531D91" w14:textId="77777777" w:rsidR="009C7C3C" w:rsidRPr="00255F53" w:rsidRDefault="009C7C3C" w:rsidP="009C7C3C">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sidRPr="00255F53">
        <w:rPr>
          <w:rFonts w:asciiTheme="majorHAnsi" w:hAnsiTheme="majorHAnsi" w:cstheme="majorHAnsi"/>
          <w:u w:val="single"/>
        </w:rPr>
        <w:t>disvalue</w:t>
      </w:r>
      <w:r w:rsidRPr="00255F53">
        <w:rPr>
          <w:rFonts w:asciiTheme="majorHAnsi" w:hAnsiTheme="majorHAnsi" w:cstheme="majorHAnsi"/>
        </w:rPr>
        <w:t xml:space="preserve"> – everything else </w:t>
      </w:r>
      <w:r w:rsidRPr="00255F53">
        <w:rPr>
          <w:rFonts w:asciiTheme="majorHAnsi" w:hAnsiTheme="majorHAnsi" w:cstheme="majorHAnsi"/>
          <w:u w:val="single"/>
        </w:rPr>
        <w:t>regresses</w:t>
      </w:r>
      <w:r w:rsidRPr="00255F53">
        <w:rPr>
          <w:rFonts w:asciiTheme="majorHAnsi" w:hAnsiTheme="majorHAnsi" w:cstheme="majorHAnsi"/>
        </w:rPr>
        <w:t xml:space="preserve">. Evolutionary knowledge is reliable – </w:t>
      </w:r>
      <w:r w:rsidRPr="00255F53">
        <w:rPr>
          <w:rFonts w:asciiTheme="majorHAnsi" w:hAnsiTheme="majorHAnsi" w:cstheme="majorHAnsi"/>
          <w:u w:val="single"/>
        </w:rPr>
        <w:t>broad consensus</w:t>
      </w:r>
      <w:r w:rsidRPr="00255F53">
        <w:rPr>
          <w:rFonts w:asciiTheme="majorHAnsi" w:hAnsiTheme="majorHAnsi" w:cstheme="majorHAnsi"/>
        </w:rPr>
        <w:t xml:space="preserve"> and </w:t>
      </w:r>
      <w:r w:rsidRPr="00255F53">
        <w:rPr>
          <w:rFonts w:asciiTheme="majorHAnsi" w:hAnsiTheme="majorHAnsi" w:cstheme="majorHAnsi"/>
          <w:u w:val="single"/>
        </w:rPr>
        <w:t>robust neuroscience</w:t>
      </w:r>
      <w:r w:rsidRPr="00255F53">
        <w:rPr>
          <w:rFonts w:asciiTheme="majorHAnsi" w:hAnsiTheme="majorHAnsi" w:cstheme="majorHAnsi"/>
        </w:rPr>
        <w:t xml:space="preserve"> prove.</w:t>
      </w:r>
    </w:p>
    <w:p w14:paraId="1AA203AB" w14:textId="77777777" w:rsidR="009C7C3C" w:rsidRPr="00255F53" w:rsidRDefault="009C7C3C" w:rsidP="009C7C3C">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54736F3E" w14:textId="77777777" w:rsidR="009C7C3C" w:rsidRPr="00255F53" w:rsidRDefault="009C7C3C" w:rsidP="009C7C3C">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6B7F793C" w14:textId="77777777" w:rsidR="009C7C3C" w:rsidRPr="00255F53" w:rsidRDefault="009C7C3C" w:rsidP="009C7C3C">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w:t>
      </w:r>
      <w:r w:rsidRPr="00255F53">
        <w:rPr>
          <w:rFonts w:asciiTheme="majorHAnsi" w:hAnsiTheme="majorHAnsi" w:cstheme="majorHAnsi"/>
          <w:sz w:val="16"/>
        </w:rPr>
        <w:lastRenderedPageBreak/>
        <w:t xml:space="preserve">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salutogenesis, (salugenesis).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accumbens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w:t>
      </w:r>
      <w:r w:rsidRPr="00255F53">
        <w:rPr>
          <w:rFonts w:asciiTheme="majorHAnsi" w:hAnsiTheme="majorHAnsi" w:cstheme="majorHAnsi"/>
          <w:sz w:val="16"/>
        </w:rPr>
        <w:lastRenderedPageBreak/>
        <w:t xml:space="preserve">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 xml:space="preserve">researchers </w:t>
      </w:r>
      <w:r w:rsidRPr="00255F53">
        <w:rPr>
          <w:rFonts w:asciiTheme="majorHAnsi" w:hAnsiTheme="majorHAnsi" w:cstheme="majorHAnsi"/>
          <w:highlight w:val="green"/>
          <w:u w:val="single"/>
        </w:rPr>
        <w:lastRenderedPageBreak/>
        <w:t>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45AD93A" w14:textId="77777777" w:rsidR="009C7C3C" w:rsidRPr="00255F53" w:rsidRDefault="009C7C3C" w:rsidP="009C7C3C">
      <w:pPr>
        <w:pStyle w:val="Heading4"/>
        <w:rPr>
          <w:rFonts w:cs="Calibri"/>
        </w:rPr>
      </w:pPr>
      <w:r w:rsidRPr="00255F53">
        <w:rPr>
          <w:rFonts w:cs="Calibri"/>
        </w:rPr>
        <w:t xml:space="preserve">2] Lexical Prerequisite – suffering creates lifelong conditions and threats on life that preclude the ability of actors being able to engage in other ethical evaluations since they are in a constant state of crisis. </w:t>
      </w:r>
    </w:p>
    <w:p w14:paraId="7C4C453B" w14:textId="77777777" w:rsidR="009C7C3C" w:rsidRPr="00255F53" w:rsidRDefault="009C7C3C" w:rsidP="009C7C3C">
      <w:pPr>
        <w:pStyle w:val="Heading4"/>
        <w:tabs>
          <w:tab w:val="left" w:pos="2250"/>
        </w:tabs>
        <w:spacing w:line="240" w:lineRule="auto"/>
        <w:rPr>
          <w:rFonts w:cs="Calibri"/>
          <w:color w:val="000000" w:themeColor="text1"/>
        </w:rPr>
      </w:pPr>
      <w:r w:rsidRPr="00255F53">
        <w:rPr>
          <w:rFonts w:cs="Calibri"/>
          <w:color w:val="000000" w:themeColor="text1"/>
        </w:rPr>
        <w:t>3] Actor specificity</w:t>
      </w:r>
      <w:r>
        <w:rPr>
          <w:rFonts w:cs="Calibri"/>
          <w:color w:val="000000" w:themeColor="text1"/>
        </w:rPr>
        <w:t xml:space="preserve"> -- </w:t>
      </w:r>
      <w:r w:rsidRPr="00255F53">
        <w:rPr>
          <w:rFonts w:cs="Calibri"/>
          <w:color w:val="000000" w:themeColor="text1"/>
        </w:rPr>
        <w:t xml:space="preserve">Governments must aggregate since every policy benefit some and harms others, which also means side constraints freeze action. </w:t>
      </w:r>
    </w:p>
    <w:p w14:paraId="1508ED5C" w14:textId="77777777" w:rsidR="009C7C3C" w:rsidRPr="00255F53" w:rsidRDefault="009C7C3C" w:rsidP="009C7C3C">
      <w:pPr>
        <w:pStyle w:val="Heading4"/>
        <w:rPr>
          <w:rFonts w:cs="Calibri"/>
          <w:color w:val="000000" w:themeColor="text1"/>
        </w:rPr>
      </w:pPr>
      <w:r w:rsidRPr="00255F53">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255F53">
        <w:rPr>
          <w:rFonts w:cs="Calibri"/>
          <w:i/>
          <w:color w:val="000000" w:themeColor="text1"/>
          <w:u w:val="single"/>
        </w:rPr>
        <w:t>no</w:t>
      </w:r>
      <w:r w:rsidRPr="00255F53">
        <w:rPr>
          <w:rFonts w:cs="Calibri"/>
          <w:color w:val="000000" w:themeColor="text1"/>
        </w:rPr>
        <w:t xml:space="preserve"> action.</w:t>
      </w:r>
    </w:p>
    <w:p w14:paraId="12869EE4" w14:textId="77777777" w:rsidR="009C7C3C" w:rsidRDefault="009C7C3C" w:rsidP="009C7C3C">
      <w:pPr>
        <w:pStyle w:val="Heading4"/>
        <w:rPr>
          <w:rFonts w:cs="Calibri"/>
        </w:rPr>
      </w:pPr>
      <w:r w:rsidRPr="00255F53">
        <w:rPr>
          <w:rFonts w:cs="Calibri"/>
        </w:rPr>
        <w:t>5] No intent-foresight distinction—</w:t>
      </w:r>
      <w:r w:rsidRPr="00255F53">
        <w:rPr>
          <w:rFonts w:eastAsia="Calibri" w:cs="Calibri"/>
        </w:rPr>
        <w:t xml:space="preserve"> If</w:t>
      </w:r>
      <w:r w:rsidRPr="00255F53">
        <w:rPr>
          <w:rFonts w:cs="Calibri"/>
        </w:rPr>
        <w:t xml:space="preserve"> </w:t>
      </w:r>
      <w:r w:rsidRPr="00255F53">
        <w:rPr>
          <w:rFonts w:eastAsia="Calibri" w:cs="Calibri"/>
        </w:rPr>
        <w:t>we</w:t>
      </w:r>
      <w:r w:rsidRPr="00255F53">
        <w:rPr>
          <w:rFonts w:cs="Calibri"/>
        </w:rPr>
        <w:t xml:space="preserve"> </w:t>
      </w:r>
      <w:r w:rsidRPr="00255F53">
        <w:rPr>
          <w:rFonts w:eastAsia="Calibri" w:cs="Calibri"/>
        </w:rPr>
        <w:t>foresee</w:t>
      </w:r>
      <w:r w:rsidRPr="00255F53">
        <w:rPr>
          <w:rFonts w:cs="Calibri"/>
        </w:rPr>
        <w:t xml:space="preserve"> </w:t>
      </w:r>
      <w:r w:rsidRPr="00255F53">
        <w:rPr>
          <w:rFonts w:eastAsia="Calibri" w:cs="Calibri"/>
        </w:rPr>
        <w:t>a</w:t>
      </w:r>
      <w:r w:rsidRPr="00255F53">
        <w:rPr>
          <w:rFonts w:cs="Calibri"/>
        </w:rPr>
        <w:t xml:space="preserve"> </w:t>
      </w:r>
      <w:r w:rsidRPr="00255F53">
        <w:rPr>
          <w:rFonts w:eastAsia="Calibri" w:cs="Calibri"/>
        </w:rPr>
        <w:t>consequence</w:t>
      </w:r>
      <w:r w:rsidRPr="00255F53">
        <w:rPr>
          <w:rFonts w:cs="Calibri"/>
        </w:rPr>
        <w:t xml:space="preserve">, </w:t>
      </w:r>
      <w:r w:rsidRPr="00255F53">
        <w:rPr>
          <w:rFonts w:eastAsia="Calibri" w:cs="Calibri"/>
        </w:rPr>
        <w:t>then</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becomes</w:t>
      </w:r>
      <w:r w:rsidRPr="00255F53">
        <w:rPr>
          <w:rFonts w:cs="Calibri"/>
        </w:rPr>
        <w:t xml:space="preserve"> </w:t>
      </w:r>
      <w:r w:rsidRPr="00255F53">
        <w:rPr>
          <w:rFonts w:eastAsia="Calibri" w:cs="Calibri"/>
        </w:rPr>
        <w:t>part</w:t>
      </w:r>
      <w:r w:rsidRPr="00255F53">
        <w:rPr>
          <w:rFonts w:cs="Calibri"/>
        </w:rPr>
        <w:t xml:space="preserve"> </w:t>
      </w:r>
      <w:r w:rsidRPr="00255F53">
        <w:rPr>
          <w:rFonts w:eastAsia="Calibri" w:cs="Calibri"/>
        </w:rPr>
        <w:t>of</w:t>
      </w:r>
      <w:r w:rsidRPr="00255F53">
        <w:rPr>
          <w:rFonts w:cs="Calibri"/>
        </w:rPr>
        <w:t xml:space="preserve"> </w:t>
      </w:r>
      <w:r w:rsidRPr="00255F53">
        <w:rPr>
          <w:rFonts w:eastAsia="Calibri" w:cs="Calibri"/>
        </w:rPr>
        <w:t>our</w:t>
      </w:r>
      <w:r w:rsidRPr="00255F53">
        <w:rPr>
          <w:rFonts w:cs="Calibri"/>
        </w:rPr>
        <w:t xml:space="preserve"> </w:t>
      </w:r>
      <w:r w:rsidRPr="00255F53">
        <w:rPr>
          <w:rFonts w:eastAsia="Calibri" w:cs="Calibri"/>
        </w:rPr>
        <w:t>deliberation</w:t>
      </w:r>
      <w:r w:rsidRPr="00255F53">
        <w:rPr>
          <w:rFonts w:cs="Calibri"/>
        </w:rPr>
        <w:t xml:space="preserve"> </w:t>
      </w:r>
      <w:r w:rsidRPr="00255F53">
        <w:rPr>
          <w:rFonts w:eastAsia="Calibri" w:cs="Calibri"/>
        </w:rPr>
        <w:t>which</w:t>
      </w:r>
      <w:r w:rsidRPr="00255F53">
        <w:rPr>
          <w:rFonts w:cs="Calibri"/>
        </w:rPr>
        <w:t xml:space="preserve"> </w:t>
      </w:r>
      <w:r w:rsidRPr="00255F53">
        <w:rPr>
          <w:rFonts w:eastAsia="Calibri" w:cs="Calibri"/>
        </w:rPr>
        <w:t>makes</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intrinsic</w:t>
      </w:r>
      <w:r w:rsidRPr="00255F53">
        <w:rPr>
          <w:rFonts w:cs="Calibri"/>
        </w:rPr>
        <w:t xml:space="preserve"> </w:t>
      </w:r>
      <w:r w:rsidRPr="00255F53">
        <w:rPr>
          <w:rFonts w:eastAsia="Calibri" w:cs="Calibri"/>
        </w:rPr>
        <w:t>to</w:t>
      </w:r>
      <w:r w:rsidRPr="00255F53">
        <w:rPr>
          <w:rFonts w:cs="Calibri"/>
        </w:rPr>
        <w:t xml:space="preserve"> </w:t>
      </w:r>
      <w:r w:rsidRPr="00255F53">
        <w:rPr>
          <w:rFonts w:eastAsia="Calibri" w:cs="Calibri"/>
        </w:rPr>
        <w:t>our</w:t>
      </w:r>
      <w:r w:rsidRPr="00255F53">
        <w:rPr>
          <w:rFonts w:cs="Calibri"/>
        </w:rPr>
        <w:t xml:space="preserve"> </w:t>
      </w:r>
      <w:r w:rsidRPr="00255F53">
        <w:rPr>
          <w:rFonts w:eastAsia="Calibri" w:cs="Calibri"/>
        </w:rPr>
        <w:t>action</w:t>
      </w:r>
      <w:r w:rsidRPr="00255F53">
        <w:rPr>
          <w:rFonts w:cs="Calibri"/>
        </w:rPr>
        <w:t xml:space="preserve"> </w:t>
      </w:r>
      <w:r w:rsidRPr="00255F53">
        <w:rPr>
          <w:rFonts w:eastAsia="Calibri" w:cs="Calibri"/>
        </w:rPr>
        <w:t>since</w:t>
      </w:r>
      <w:r w:rsidRPr="00255F53">
        <w:rPr>
          <w:rFonts w:cs="Calibri"/>
        </w:rPr>
        <w:t xml:space="preserve"> </w:t>
      </w:r>
      <w:r w:rsidRPr="00255F53">
        <w:rPr>
          <w:rFonts w:eastAsia="Calibri" w:cs="Calibri"/>
        </w:rPr>
        <w:t>we</w:t>
      </w:r>
      <w:r w:rsidRPr="00255F53">
        <w:rPr>
          <w:rFonts w:cs="Calibri"/>
        </w:rPr>
        <w:t xml:space="preserve"> </w:t>
      </w:r>
      <w:r w:rsidRPr="00255F53">
        <w:rPr>
          <w:rFonts w:eastAsia="Calibri" w:cs="Calibri"/>
        </w:rPr>
        <w:t>intend</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to</w:t>
      </w:r>
      <w:r w:rsidRPr="00255F53">
        <w:rPr>
          <w:rFonts w:cs="Calibri"/>
        </w:rPr>
        <w:t xml:space="preserve"> </w:t>
      </w:r>
      <w:r w:rsidRPr="00255F53">
        <w:rPr>
          <w:rFonts w:eastAsia="Calibri" w:cs="Calibri"/>
        </w:rPr>
        <w:t>happen</w:t>
      </w:r>
      <w:r w:rsidRPr="00255F53">
        <w:rPr>
          <w:rFonts w:cs="Calibri"/>
        </w:rPr>
        <w:t>.</w:t>
      </w:r>
    </w:p>
    <w:p w14:paraId="518A5AB5" w14:textId="77777777" w:rsidR="009C7C3C" w:rsidRPr="00E804F6" w:rsidRDefault="009C7C3C" w:rsidP="009C7C3C"/>
    <w:p w14:paraId="43C6AF57" w14:textId="77777777" w:rsidR="009C7C3C" w:rsidRPr="00255F53" w:rsidRDefault="009C7C3C" w:rsidP="009C7C3C">
      <w:pPr>
        <w:pStyle w:val="Heading4"/>
        <w:rPr>
          <w:rFonts w:cs="Calibri"/>
        </w:rPr>
      </w:pPr>
      <w:r w:rsidRPr="00255F53">
        <w:rPr>
          <w:rFonts w:cs="Calibri"/>
        </w:rPr>
        <w:lastRenderedPageBreak/>
        <w:t>Extinction first –</w:t>
      </w:r>
    </w:p>
    <w:p w14:paraId="3841716D" w14:textId="77777777" w:rsidR="009C7C3C" w:rsidRPr="00255F53" w:rsidRDefault="009C7C3C" w:rsidP="009C7C3C">
      <w:pPr>
        <w:pStyle w:val="Heading4"/>
        <w:ind w:firstLine="720"/>
        <w:rPr>
          <w:rFonts w:cs="Calibri"/>
        </w:rPr>
      </w:pPr>
      <w:r w:rsidRPr="00255F53">
        <w:rPr>
          <w:rFonts w:cs="Calibri"/>
        </w:rPr>
        <w:t>1 – Forecloses future improvement – we can never improve society because our impact is irreversible</w:t>
      </w:r>
    </w:p>
    <w:p w14:paraId="41A92DC0" w14:textId="77777777" w:rsidR="009C7C3C" w:rsidRPr="00255F53" w:rsidRDefault="009C7C3C" w:rsidP="009C7C3C">
      <w:pPr>
        <w:pStyle w:val="Heading4"/>
        <w:ind w:firstLine="720"/>
        <w:rPr>
          <w:rFonts w:cs="Calibri"/>
        </w:rPr>
      </w:pPr>
      <w:r w:rsidRPr="00255F53">
        <w:rPr>
          <w:rFonts w:cs="Calibri"/>
        </w:rPr>
        <w:t>2 – Turns suffering – mass death causes suffering because people can’t get access to resources and basic necessities</w:t>
      </w:r>
    </w:p>
    <w:p w14:paraId="124CFFB6" w14:textId="77777777" w:rsidR="009C7C3C" w:rsidRPr="00255F53" w:rsidRDefault="009C7C3C" w:rsidP="009C7C3C">
      <w:pPr>
        <w:pStyle w:val="Heading4"/>
        <w:ind w:left="720"/>
        <w:rPr>
          <w:rFonts w:cs="Calibri"/>
        </w:rPr>
      </w:pPr>
      <w:r w:rsidRPr="00255F53">
        <w:rPr>
          <w:rFonts w:cs="Calibri"/>
        </w:rPr>
        <w:t>3 – Moral obligation – allowing people to die is unethical and should be prevented because it creates ethics towards other people</w:t>
      </w:r>
    </w:p>
    <w:p w14:paraId="2EFA9E3E" w14:textId="77777777" w:rsidR="009C7C3C" w:rsidRPr="00255F53" w:rsidRDefault="009C7C3C" w:rsidP="009C7C3C">
      <w:pPr>
        <w:pStyle w:val="Heading4"/>
        <w:ind w:firstLine="720"/>
        <w:rPr>
          <w:rFonts w:cs="Calibri"/>
        </w:rPr>
      </w:pPr>
      <w:r w:rsidRPr="00255F53">
        <w:rPr>
          <w:rFonts w:cs="Calibri"/>
        </w:rPr>
        <w:t>4 – Objectivity – body count is the most objective way to calculate impacts because comparing suffering is unethical</w:t>
      </w:r>
    </w:p>
    <w:p w14:paraId="5F95820B" w14:textId="77777777" w:rsidR="009C7C3C" w:rsidRPr="00255F53" w:rsidRDefault="009C7C3C" w:rsidP="009C7C3C">
      <w:pPr>
        <w:pStyle w:val="Heading4"/>
        <w:ind w:left="720"/>
      </w:pPr>
      <w:r w:rsidRPr="00255F53">
        <w:t>5 – Moral uncertainty – if we’re unsure about which interpretation of the world is true – we ought to preserve the world to keep debating about it</w:t>
      </w:r>
    </w:p>
    <w:p w14:paraId="05AAD1D1" w14:textId="77777777" w:rsidR="009C7C3C" w:rsidRPr="00E804F6" w:rsidRDefault="009C7C3C" w:rsidP="009C7C3C"/>
    <w:p w14:paraId="6151177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7C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C3C"/>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C96"/>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345B4"/>
  <w14:defaultImageDpi w14:val="300"/>
  <w15:docId w15:val="{B99109B6-2705-8D41-B584-DD04C86E8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7C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7C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7C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7C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9C7C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7C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7C3C"/>
  </w:style>
  <w:style w:type="character" w:customStyle="1" w:styleId="Heading1Char">
    <w:name w:val="Heading 1 Char"/>
    <w:aliases w:val="Pocket Char"/>
    <w:basedOn w:val="DefaultParagraphFont"/>
    <w:link w:val="Heading1"/>
    <w:uiPriority w:val="9"/>
    <w:rsid w:val="009C7C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7C3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7C3C"/>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9C7C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9C7C3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9C7C3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9C7C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7C3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9C7C3C"/>
    <w:rPr>
      <w:color w:val="auto"/>
      <w:u w:val="none"/>
    </w:rPr>
  </w:style>
  <w:style w:type="paragraph" w:styleId="DocumentMap">
    <w:name w:val="Document Map"/>
    <w:basedOn w:val="Normal"/>
    <w:link w:val="DocumentMapChar"/>
    <w:uiPriority w:val="99"/>
    <w:semiHidden/>
    <w:unhideWhenUsed/>
    <w:rsid w:val="009C7C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7C3C"/>
    <w:rPr>
      <w:rFonts w:ascii="Lucida Grande" w:hAnsi="Lucida Grande" w:cs="Lucida Grande"/>
    </w:rPr>
  </w:style>
  <w:style w:type="paragraph" w:customStyle="1" w:styleId="textbold">
    <w:name w:val="text bold"/>
    <w:basedOn w:val="Normal"/>
    <w:link w:val="Emphasis"/>
    <w:uiPriority w:val="20"/>
    <w:qFormat/>
    <w:rsid w:val="009C7C3C"/>
    <w:pPr>
      <w:ind w:left="720"/>
      <w:jc w:val="both"/>
    </w:pPr>
    <w:rPr>
      <w:b/>
      <w:iCs/>
      <w:u w:val="single"/>
    </w:rPr>
  </w:style>
  <w:style w:type="paragraph" w:styleId="ListParagraph">
    <w:name w:val="List Paragraph"/>
    <w:basedOn w:val="Normal"/>
    <w:uiPriority w:val="34"/>
    <w:unhideWhenUsed/>
    <w:qFormat/>
    <w:rsid w:val="009C7C3C"/>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Tags"/>
    <w:basedOn w:val="Heading1"/>
    <w:link w:val="Hyperlink"/>
    <w:autoRedefine/>
    <w:uiPriority w:val="99"/>
    <w:qFormat/>
    <w:rsid w:val="009C7C3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9C7C3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 w:type="paragraph" w:customStyle="1" w:styleId="Emphasis1">
    <w:name w:val="Emphasis1"/>
    <w:basedOn w:val="Normal"/>
    <w:autoRedefine/>
    <w:uiPriority w:val="20"/>
    <w:qFormat/>
    <w:rsid w:val="009C7C3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644656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ostonreview.net/war-security-politics-global-justice/alex-de-waal-garrison-america-and-threat-global-war" TargetMode="External"/><Relationship Id="rId5" Type="http://schemas.openxmlformats.org/officeDocument/2006/relationships/numbering" Target="numbering.xml"/><Relationship Id="rId10" Type="http://schemas.openxmlformats.org/officeDocument/2006/relationships/hyperlink" Target="https://www.hhrjournal.org/2017/03/new-who-leader-will-need-human-rights-to-counter-populism/" TargetMode="External"/><Relationship Id="rId4" Type="http://schemas.openxmlformats.org/officeDocument/2006/relationships/customXml" Target="../customXml/item4.xml"/><Relationship Id="rId9" Type="http://schemas.openxmlformats.org/officeDocument/2006/relationships/hyperlink" Target="https://law.unimelb.edu.au/__data/assets/pdf_file/0007/1681117/Rimmer.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20</Pages>
  <Words>7859</Words>
  <Characters>44797</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2</cp:revision>
  <dcterms:created xsi:type="dcterms:W3CDTF">2021-09-05T18:30:00Z</dcterms:created>
  <dcterms:modified xsi:type="dcterms:W3CDTF">2021-09-05T20:36:00Z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